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FD5" w:rsidRPr="00DD2B85" w:rsidRDefault="009D3C4E" w:rsidP="00D30FD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iCs/>
          <w:color w:val="1F1F1F"/>
          <w:sz w:val="40"/>
          <w:szCs w:val="40"/>
        </w:rPr>
      </w:pPr>
      <w:r>
        <w:rPr>
          <w:rFonts w:ascii="Verdana" w:hAnsi="Verdana" w:cs="Times New Roman"/>
          <w:b/>
          <w:iCs/>
          <w:noProof/>
          <w:color w:val="0070C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2BA4E" wp14:editId="1F020074">
                <wp:simplePos x="0" y="0"/>
                <wp:positionH relativeFrom="column">
                  <wp:posOffset>9366885</wp:posOffset>
                </wp:positionH>
                <wp:positionV relativeFrom="paragraph">
                  <wp:posOffset>91440</wp:posOffset>
                </wp:positionV>
                <wp:extent cx="647700" cy="5867400"/>
                <wp:effectExtent l="0" t="0" r="19050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5867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C4E" w:rsidRPr="009D3C4E" w:rsidRDefault="009D3C4E" w:rsidP="009D3C4E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Check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L</w:t>
                            </w:r>
                            <w:r w:rsidRPr="009D3C4E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ist -  Procedure  Standardizzate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737.55pt;margin-top:7.2pt;width:51pt;height:46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" fillcolor="#9cc2e5 [1940]" strokecolor="#9cc2e5 [1940]" strokeweight=".5pt">
                <v:textbox style="layout-flow:vertical;mso-layout-flow-alt:bottom-to-top">
                  <w:txbxContent>
                    <w:p w:rsidR="009D3C4E" w:rsidRPr="009D3C4E" w:rsidRDefault="009D3C4E" w:rsidP="009D3C4E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40"/>
                          <w:szCs w:val="40"/>
                        </w:rPr>
                        <w:t>Check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L</w:t>
                      </w:r>
                      <w:r w:rsidRPr="009D3C4E">
                        <w:rPr>
                          <w:rFonts w:ascii="Verdana" w:hAnsi="Verdana"/>
                          <w:b/>
                          <w:color w:val="FFFFFF" w:themeColor="background1"/>
                          <w:sz w:val="40"/>
                          <w:szCs w:val="40"/>
                        </w:rPr>
                        <w:t>ist -  Procedure  Standardizzate</w:t>
                      </w:r>
                    </w:p>
                  </w:txbxContent>
                </v:textbox>
              </v:shape>
            </w:pict>
          </mc:Fallback>
        </mc:AlternateContent>
      </w:r>
      <w:r w:rsidR="008214D9" w:rsidRPr="008214D9">
        <w:rPr>
          <w:rFonts w:ascii="Verdana" w:hAnsi="Verdana" w:cs="Times New Roman"/>
          <w:b/>
          <w:iCs/>
          <w:color w:val="0070C0"/>
          <w:sz w:val="40"/>
          <w:szCs w:val="40"/>
        </w:rPr>
        <w:t>CHECK-LIST</w:t>
      </w:r>
      <w:r w:rsidR="0090139D">
        <w:rPr>
          <w:rFonts w:ascii="Verdana" w:hAnsi="Verdana" w:cs="Times New Roman"/>
          <w:b/>
          <w:iCs/>
          <w:color w:val="1F1F1F"/>
          <w:sz w:val="40"/>
          <w:szCs w:val="40"/>
        </w:rPr>
        <w:br/>
      </w:r>
      <w:r w:rsidR="00D30FD5">
        <w:rPr>
          <w:rFonts w:ascii="Verdana" w:hAnsi="Verdana" w:cs="Times New Roman"/>
          <w:b/>
          <w:iCs/>
          <w:color w:val="1F1F1F"/>
          <w:sz w:val="24"/>
          <w:szCs w:val="24"/>
        </w:rPr>
        <w:t xml:space="preserve">CK1 - </w:t>
      </w:r>
      <w:r w:rsidR="00D30FD5" w:rsidRPr="00EA4DED">
        <w:rPr>
          <w:rFonts w:ascii="Verdana" w:hAnsi="Verdana" w:cs="Times New Roman"/>
          <w:b/>
          <w:iCs/>
          <w:color w:val="1F1F1F"/>
          <w:sz w:val="24"/>
          <w:szCs w:val="24"/>
        </w:rPr>
        <w:t xml:space="preserve">Famiglia di Pericoli: </w:t>
      </w:r>
      <w:r w:rsidR="00D30FD5" w:rsidRPr="00EA4DED">
        <w:rPr>
          <w:rFonts w:ascii="Verdana" w:hAnsi="Verdana" w:cs="Times New Roman"/>
          <w:iCs/>
          <w:color w:val="1F1F1F"/>
          <w:sz w:val="24"/>
          <w:szCs w:val="24"/>
        </w:rPr>
        <w:t>Luoghi di Lavoro</w:t>
      </w:r>
      <w:r w:rsidR="00D30FD5">
        <w:rPr>
          <w:rFonts w:ascii="Verdana" w:hAnsi="Verdana" w:cs="Times New Roman"/>
          <w:b/>
          <w:iCs/>
          <w:color w:val="1F1F1F"/>
          <w:sz w:val="24"/>
          <w:szCs w:val="24"/>
        </w:rPr>
        <w:br/>
        <w:t xml:space="preserve">CK1.4 - </w:t>
      </w:r>
      <w:r w:rsidR="00D30FD5" w:rsidRPr="00EA4DED">
        <w:rPr>
          <w:rFonts w:ascii="Verdana" w:hAnsi="Verdana" w:cs="Times New Roman"/>
          <w:b/>
          <w:iCs/>
          <w:color w:val="1F1F1F"/>
          <w:sz w:val="24"/>
          <w:szCs w:val="24"/>
        </w:rPr>
        <w:t xml:space="preserve">Pericoli: </w:t>
      </w:r>
      <w:r w:rsidR="00D30FD5" w:rsidRPr="00E11F69">
        <w:rPr>
          <w:rFonts w:ascii="Verdana" w:hAnsi="Verdana" w:cs="Times New Roman"/>
          <w:iCs/>
          <w:color w:val="1F1F1F"/>
          <w:sz w:val="24"/>
          <w:szCs w:val="24"/>
        </w:rPr>
        <w:t>Vie di circolazione interne ed esterne</w:t>
      </w:r>
    </w:p>
    <w:p w:rsidR="00D30FD5" w:rsidRPr="00D30FD5" w:rsidRDefault="00D30FD5" w:rsidP="00D30FD5">
      <w:pPr>
        <w:autoSpaceDE w:val="0"/>
        <w:autoSpaceDN w:val="0"/>
        <w:adjustRightInd w:val="0"/>
        <w:spacing w:after="0" w:line="240" w:lineRule="auto"/>
        <w:rPr>
          <w:rFonts w:ascii="Verdana" w:eastAsia="HiddenHorzOCR" w:hAnsi="Verdana" w:cs="HiddenHorzOCR"/>
          <w:color w:val="1F1F1F"/>
          <w:sz w:val="18"/>
          <w:szCs w:val="18"/>
        </w:rPr>
      </w:pPr>
      <w:r w:rsidRPr="00EA4DED">
        <w:rPr>
          <w:rFonts w:ascii="Verdana" w:hAnsi="Verdana" w:cs="Times New Roman"/>
          <w:iCs/>
          <w:color w:val="1F1F1F"/>
          <w:sz w:val="18"/>
          <w:szCs w:val="18"/>
        </w:rPr>
        <w:t xml:space="preserve">Realizzato secondo le procedure standardizzate </w:t>
      </w:r>
      <w:r w:rsidRPr="00EA4DED">
        <w:rPr>
          <w:rFonts w:ascii="Verdana" w:hAnsi="Verdana" w:cs="Times New Roman"/>
          <w:iCs/>
          <w:color w:val="303030"/>
          <w:sz w:val="18"/>
          <w:szCs w:val="18"/>
        </w:rPr>
        <w:t xml:space="preserve">ai sensi </w:t>
      </w:r>
      <w:r w:rsidRPr="00EA4DED">
        <w:rPr>
          <w:rFonts w:ascii="Verdana" w:hAnsi="Verdana" w:cs="Times New Roman"/>
          <w:iCs/>
          <w:color w:val="1F1F1F"/>
          <w:sz w:val="18"/>
          <w:szCs w:val="18"/>
        </w:rPr>
        <w:t xml:space="preserve">degli artt. 17, 28, 29 del </w:t>
      </w:r>
      <w:proofErr w:type="spellStart"/>
      <w:r w:rsidRPr="00EA4DED">
        <w:rPr>
          <w:rFonts w:ascii="Verdana" w:hAnsi="Verdana" w:cs="Times New Roman"/>
          <w:iCs/>
          <w:color w:val="1F1F1F"/>
          <w:sz w:val="18"/>
          <w:szCs w:val="18"/>
        </w:rPr>
        <w:t>D.Lgs.</w:t>
      </w:r>
      <w:proofErr w:type="spellEnd"/>
      <w:r w:rsidRPr="00EA4DED">
        <w:rPr>
          <w:rFonts w:ascii="Verdana" w:hAnsi="Verdana" w:cs="Times New Roman"/>
          <w:iCs/>
          <w:color w:val="1F1F1F"/>
          <w:sz w:val="18"/>
          <w:szCs w:val="18"/>
        </w:rPr>
        <w:t xml:space="preserve"> 81/08 e </w:t>
      </w:r>
      <w:proofErr w:type="spellStart"/>
      <w:r w:rsidRPr="00EA4DED">
        <w:rPr>
          <w:rFonts w:ascii="Verdana" w:eastAsia="HiddenHorzOCR" w:hAnsi="Verdana" w:cs="HiddenHorzOCR"/>
          <w:color w:val="1F1F1F"/>
          <w:sz w:val="18"/>
          <w:szCs w:val="18"/>
        </w:rPr>
        <w:t>s</w:t>
      </w:r>
      <w:r w:rsidRPr="00EA4DED">
        <w:rPr>
          <w:rFonts w:ascii="Verdana" w:eastAsia="HiddenHorzOCR" w:hAnsi="Verdana" w:cs="HiddenHorzOCR"/>
          <w:color w:val="444444"/>
          <w:sz w:val="18"/>
          <w:szCs w:val="18"/>
        </w:rPr>
        <w:t>.</w:t>
      </w:r>
      <w:r w:rsidRPr="00EA4DED">
        <w:rPr>
          <w:rFonts w:ascii="Verdana" w:eastAsia="HiddenHorzOCR" w:hAnsi="Verdana" w:cs="HiddenHorzOCR"/>
          <w:color w:val="1F1F1F"/>
          <w:sz w:val="18"/>
          <w:szCs w:val="18"/>
        </w:rPr>
        <w:t>m.i</w:t>
      </w:r>
      <w:proofErr w:type="spellEnd"/>
      <w:r>
        <w:rPr>
          <w:rFonts w:ascii="Verdana" w:eastAsia="HiddenHorzOCR" w:hAnsi="Verdana" w:cs="HiddenHorzOCR"/>
          <w:color w:val="1F1F1F"/>
          <w:sz w:val="18"/>
          <w:szCs w:val="18"/>
        </w:rPr>
        <w:t xml:space="preserve"> </w:t>
      </w:r>
      <w:proofErr w:type="spellStart"/>
      <w:r>
        <w:rPr>
          <w:rFonts w:ascii="Verdana" w:eastAsia="HiddenHorzOCR" w:hAnsi="Verdana" w:cs="HiddenHorzOCR"/>
          <w:color w:val="1F1F1F"/>
          <w:sz w:val="18"/>
          <w:szCs w:val="18"/>
        </w:rPr>
        <w:t>rif.</w:t>
      </w:r>
      <w:proofErr w:type="spellEnd"/>
      <w:r>
        <w:rPr>
          <w:rFonts w:ascii="Verdana" w:eastAsia="HiddenHorzOCR" w:hAnsi="Verdana" w:cs="HiddenHorzOCR"/>
          <w:color w:val="1F1F1F"/>
          <w:sz w:val="18"/>
          <w:szCs w:val="18"/>
        </w:rPr>
        <w:t xml:space="preserve"> </w:t>
      </w:r>
      <w:proofErr w:type="spellStart"/>
      <w:r>
        <w:rPr>
          <w:rFonts w:ascii="Verdana" w:eastAsia="HiddenHorzOCR" w:hAnsi="Verdana" w:cs="HiddenHorzOCR"/>
          <w:color w:val="1F1F1F"/>
          <w:sz w:val="18"/>
          <w:szCs w:val="18"/>
        </w:rPr>
        <w:t>All</w:t>
      </w:r>
      <w:proofErr w:type="spellEnd"/>
      <w:r>
        <w:rPr>
          <w:rFonts w:ascii="Verdana" w:eastAsia="HiddenHorzOCR" w:hAnsi="Verdana" w:cs="HiddenHorzOCR"/>
          <w:color w:val="1F1F1F"/>
          <w:sz w:val="18"/>
          <w:szCs w:val="18"/>
        </w:rPr>
        <w:t>. IV</w:t>
      </w:r>
    </w:p>
    <w:p w:rsidR="00D30FD5" w:rsidRPr="00052B2E" w:rsidRDefault="00D30FD5" w:rsidP="00D30FD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212121"/>
          <w:sz w:val="24"/>
          <w:szCs w:val="24"/>
        </w:rPr>
      </w:pPr>
    </w:p>
    <w:tbl>
      <w:tblPr>
        <w:tblStyle w:val="Grigliatabella"/>
        <w:tblW w:w="1442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0773"/>
        <w:gridCol w:w="993"/>
        <w:gridCol w:w="993"/>
        <w:gridCol w:w="993"/>
      </w:tblGrid>
      <w:tr w:rsidR="00D30FD5" w:rsidRPr="00B11E99" w:rsidTr="00EB53E4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D30FD5" w:rsidRPr="00677541" w:rsidRDefault="00D30FD5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color w:val="21212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212121"/>
                <w:sz w:val="18"/>
                <w:szCs w:val="18"/>
              </w:rPr>
              <w:t>COD</w:t>
            </w:r>
          </w:p>
        </w:tc>
        <w:tc>
          <w:tcPr>
            <w:tcW w:w="10773" w:type="dxa"/>
            <w:shd w:val="clear" w:color="auto" w:fill="D9D9D9" w:themeFill="background1" w:themeFillShade="D9"/>
          </w:tcPr>
          <w:p w:rsidR="00D30FD5" w:rsidRPr="00677541" w:rsidRDefault="00D30FD5" w:rsidP="00EB53E4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color w:val="21212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212121"/>
                <w:sz w:val="18"/>
                <w:szCs w:val="18"/>
              </w:rPr>
              <w:t>Requisito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D30FD5" w:rsidRPr="00677541" w:rsidRDefault="00D30FD5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color w:val="21212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212121"/>
                <w:sz w:val="18"/>
                <w:szCs w:val="18"/>
              </w:rPr>
              <w:t>SI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D30FD5" w:rsidRDefault="00D30FD5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color w:val="21212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212121"/>
                <w:sz w:val="18"/>
                <w:szCs w:val="18"/>
              </w:rPr>
              <w:t>NO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D30FD5" w:rsidRDefault="00D30FD5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color w:val="21212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212121"/>
                <w:sz w:val="18"/>
                <w:szCs w:val="18"/>
              </w:rPr>
              <w:t>NOTE</w:t>
            </w:r>
          </w:p>
        </w:tc>
      </w:tr>
      <w:tr w:rsidR="00D30FD5" w:rsidRPr="00B11E99" w:rsidTr="00EB53E4">
        <w:tc>
          <w:tcPr>
            <w:tcW w:w="675" w:type="dxa"/>
            <w:vAlign w:val="center"/>
          </w:tcPr>
          <w:p w:rsidR="00D30FD5" w:rsidRPr="00B11E99" w:rsidRDefault="00D30FD5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212121"/>
                <w:sz w:val="18"/>
                <w:szCs w:val="18"/>
              </w:rPr>
              <w:t>01</w:t>
            </w:r>
          </w:p>
        </w:tc>
        <w:tc>
          <w:tcPr>
            <w:tcW w:w="10773" w:type="dxa"/>
          </w:tcPr>
          <w:p w:rsidR="00D30FD5" w:rsidRPr="00D478DF" w:rsidRDefault="00D30FD5" w:rsidP="00EB53E4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  <w:r w:rsidRPr="00E11F69">
              <w:rPr>
                <w:rFonts w:ascii="Verdana" w:hAnsi="Verdana" w:cs="Times New Roman"/>
                <w:color w:val="212121"/>
                <w:sz w:val="18"/>
                <w:szCs w:val="18"/>
              </w:rPr>
              <w:t xml:space="preserve">Le vie di circolazione, comprese scale, scale fisse e banchine e rampe di carico, </w:t>
            </w:r>
            <w:r>
              <w:rPr>
                <w:rFonts w:ascii="Verdana" w:hAnsi="Verdana" w:cs="Times New Roman"/>
                <w:color w:val="212121"/>
                <w:sz w:val="18"/>
                <w:szCs w:val="18"/>
              </w:rPr>
              <w:t>sono</w:t>
            </w:r>
            <w:r w:rsidRPr="00E11F69">
              <w:rPr>
                <w:rFonts w:ascii="Verdana" w:hAnsi="Verdana" w:cs="Times New Roman"/>
                <w:color w:val="212121"/>
                <w:sz w:val="18"/>
                <w:szCs w:val="18"/>
              </w:rPr>
              <w:t xml:space="preserve"> situate e calcolate in modo tale che i pedoni o i veicoli possano utilizzarle facilmente in piena sicurezza e conformemente alla loro destinazione e che i lavoratori operanti nelle vicinanze di queste vie di circolazione non corrano alcun rischio</w:t>
            </w:r>
            <w:r>
              <w:rPr>
                <w:rFonts w:ascii="Verdana" w:hAnsi="Verdana" w:cs="Times New Roman"/>
                <w:color w:val="212121"/>
                <w:sz w:val="18"/>
                <w:szCs w:val="18"/>
              </w:rPr>
              <w:t xml:space="preserve">? </w:t>
            </w:r>
            <w:r w:rsidRPr="0030402E">
              <w:rPr>
                <w:rFonts w:ascii="Verdana" w:hAnsi="Verdana" w:cs="Times New Roman"/>
                <w:i/>
                <w:color w:val="212121"/>
                <w:sz w:val="16"/>
                <w:szCs w:val="16"/>
              </w:rPr>
              <w:t>Nota 1</w:t>
            </w:r>
          </w:p>
        </w:tc>
        <w:tc>
          <w:tcPr>
            <w:tcW w:w="993" w:type="dxa"/>
          </w:tcPr>
          <w:p w:rsidR="00D30FD5" w:rsidRPr="002E74D9" w:rsidRDefault="00D30FD5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D30FD5" w:rsidRPr="002E74D9" w:rsidRDefault="00D30FD5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D30FD5" w:rsidRPr="002E74D9" w:rsidRDefault="00D30FD5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  <w:tr w:rsidR="00D30FD5" w:rsidRPr="00B11E99" w:rsidTr="00EB53E4">
        <w:tc>
          <w:tcPr>
            <w:tcW w:w="675" w:type="dxa"/>
            <w:vAlign w:val="center"/>
          </w:tcPr>
          <w:p w:rsidR="00D30FD5" w:rsidRPr="00117E75" w:rsidRDefault="00D30FD5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393939"/>
                <w:sz w:val="18"/>
                <w:szCs w:val="18"/>
              </w:rPr>
            </w:pPr>
            <w:r>
              <w:rPr>
                <w:rFonts w:ascii="Verdana" w:hAnsi="Verdana" w:cs="Times New Roman"/>
                <w:color w:val="393939"/>
                <w:sz w:val="18"/>
                <w:szCs w:val="18"/>
              </w:rPr>
              <w:t>02</w:t>
            </w:r>
          </w:p>
        </w:tc>
        <w:tc>
          <w:tcPr>
            <w:tcW w:w="10773" w:type="dxa"/>
          </w:tcPr>
          <w:p w:rsidR="00D30FD5" w:rsidRPr="00B11E99" w:rsidRDefault="00D30FD5" w:rsidP="00EB53E4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  <w:r w:rsidRPr="00E11F69">
              <w:rPr>
                <w:rFonts w:ascii="Verdana" w:hAnsi="Verdana" w:cs="Times New Roman"/>
                <w:color w:val="212121"/>
                <w:sz w:val="18"/>
                <w:szCs w:val="18"/>
              </w:rPr>
              <w:t>Le vie di circolazione destinate ai veicoli sono ad una distanza sufficiente da porte, portoni, passaggi per pedoni, corridoi e scale?</w:t>
            </w:r>
          </w:p>
        </w:tc>
        <w:tc>
          <w:tcPr>
            <w:tcW w:w="993" w:type="dxa"/>
          </w:tcPr>
          <w:p w:rsidR="00D30FD5" w:rsidRPr="00B11E99" w:rsidRDefault="00D30FD5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D30FD5" w:rsidRPr="00B11E99" w:rsidRDefault="00D30FD5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D30FD5" w:rsidRPr="00B11E99" w:rsidRDefault="00D30FD5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  <w:tr w:rsidR="00D30FD5" w:rsidRPr="00B11E99" w:rsidTr="00EB53E4">
        <w:tc>
          <w:tcPr>
            <w:tcW w:w="675" w:type="dxa"/>
            <w:vAlign w:val="center"/>
          </w:tcPr>
          <w:p w:rsidR="00D30FD5" w:rsidRPr="00B11E99" w:rsidRDefault="00D30FD5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393939"/>
                <w:sz w:val="18"/>
                <w:szCs w:val="18"/>
              </w:rPr>
            </w:pPr>
            <w:r>
              <w:rPr>
                <w:rFonts w:ascii="Verdana" w:hAnsi="Verdana" w:cs="Times New Roman"/>
                <w:color w:val="393939"/>
                <w:sz w:val="18"/>
                <w:szCs w:val="18"/>
              </w:rPr>
              <w:t>03</w:t>
            </w:r>
          </w:p>
        </w:tc>
        <w:tc>
          <w:tcPr>
            <w:tcW w:w="10773" w:type="dxa"/>
          </w:tcPr>
          <w:p w:rsidR="00D30FD5" w:rsidRPr="00B11E99" w:rsidRDefault="00D30FD5" w:rsidP="00EB53E4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212121"/>
                <w:sz w:val="18"/>
                <w:szCs w:val="18"/>
              </w:rPr>
              <w:t>Il tracciato delle vie di circolazione risulta essere evidenziato?</w:t>
            </w:r>
          </w:p>
        </w:tc>
        <w:tc>
          <w:tcPr>
            <w:tcW w:w="993" w:type="dxa"/>
          </w:tcPr>
          <w:p w:rsidR="00D30FD5" w:rsidRPr="00B11E99" w:rsidRDefault="00D30FD5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D30FD5" w:rsidRPr="00B11E99" w:rsidRDefault="00D30FD5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D30FD5" w:rsidRPr="00B11E99" w:rsidRDefault="00D30FD5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  <w:tr w:rsidR="00D30FD5" w:rsidRPr="00B11E99" w:rsidTr="00EB53E4">
        <w:tc>
          <w:tcPr>
            <w:tcW w:w="675" w:type="dxa"/>
            <w:vAlign w:val="center"/>
          </w:tcPr>
          <w:p w:rsidR="00D30FD5" w:rsidRPr="00B11E99" w:rsidRDefault="00D30FD5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393939"/>
                <w:sz w:val="18"/>
                <w:szCs w:val="18"/>
              </w:rPr>
            </w:pPr>
            <w:r>
              <w:rPr>
                <w:rFonts w:ascii="Verdana" w:hAnsi="Verdana" w:cs="Times New Roman"/>
                <w:color w:val="393939"/>
                <w:sz w:val="18"/>
                <w:szCs w:val="18"/>
              </w:rPr>
              <w:t>04</w:t>
            </w:r>
          </w:p>
        </w:tc>
        <w:tc>
          <w:tcPr>
            <w:tcW w:w="10773" w:type="dxa"/>
          </w:tcPr>
          <w:p w:rsidR="00D30FD5" w:rsidRPr="00B11E99" w:rsidRDefault="00D30FD5" w:rsidP="00EB53E4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  <w:r w:rsidRPr="00E11F69">
              <w:rPr>
                <w:rFonts w:ascii="Verdana" w:hAnsi="Verdana" w:cs="Times New Roman"/>
                <w:color w:val="212121"/>
                <w:sz w:val="18"/>
                <w:szCs w:val="18"/>
              </w:rPr>
              <w:t xml:space="preserve">Nei luoghi di lavoro che comportano zone di pericolo in funzione della natura del lavoro e presentano rischi di cadute dei lavoratori o rischi di cadute d'oggetti sono dotati di dispositivi per impedire che i lavoratori non autorizzati </w:t>
            </w:r>
            <w:r>
              <w:rPr>
                <w:rFonts w:ascii="Verdana" w:hAnsi="Verdana" w:cs="Times New Roman"/>
                <w:color w:val="212121"/>
                <w:sz w:val="18"/>
                <w:szCs w:val="18"/>
              </w:rPr>
              <w:t xml:space="preserve">possano accedere a dette zone? </w:t>
            </w:r>
            <w:r>
              <w:rPr>
                <w:rFonts w:ascii="Verdana" w:hAnsi="Verdana" w:cs="Times New Roman"/>
                <w:i/>
                <w:color w:val="212121"/>
                <w:sz w:val="16"/>
                <w:szCs w:val="16"/>
              </w:rPr>
              <w:t>Nota 2</w:t>
            </w:r>
          </w:p>
        </w:tc>
        <w:tc>
          <w:tcPr>
            <w:tcW w:w="993" w:type="dxa"/>
          </w:tcPr>
          <w:p w:rsidR="00D30FD5" w:rsidRPr="00B11E99" w:rsidRDefault="00D30FD5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D30FD5" w:rsidRPr="00B11E99" w:rsidRDefault="00D30FD5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D30FD5" w:rsidRPr="00B11E99" w:rsidRDefault="00D30FD5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  <w:tr w:rsidR="00D30FD5" w:rsidRPr="00E043D2" w:rsidTr="00EB53E4">
        <w:tc>
          <w:tcPr>
            <w:tcW w:w="675" w:type="dxa"/>
            <w:vAlign w:val="center"/>
          </w:tcPr>
          <w:p w:rsidR="00D30FD5" w:rsidRPr="00E043D2" w:rsidRDefault="00D30FD5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  <w:r w:rsidRPr="00E043D2">
              <w:rPr>
                <w:rFonts w:ascii="Verdana" w:hAnsi="Verdana" w:cs="Times New Roman"/>
                <w:color w:val="212121"/>
                <w:sz w:val="18"/>
                <w:szCs w:val="18"/>
              </w:rPr>
              <w:t>05</w:t>
            </w:r>
          </w:p>
        </w:tc>
        <w:tc>
          <w:tcPr>
            <w:tcW w:w="10773" w:type="dxa"/>
          </w:tcPr>
          <w:p w:rsidR="00D30FD5" w:rsidRDefault="00D30FD5" w:rsidP="00EB53E4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  <w:r w:rsidRPr="00E11F69">
              <w:rPr>
                <w:rFonts w:ascii="Verdana" w:hAnsi="Verdana" w:cs="Times New Roman"/>
                <w:color w:val="212121"/>
                <w:sz w:val="18"/>
                <w:szCs w:val="18"/>
              </w:rPr>
              <w:t>Le zone di pericolo sono segnalate in modo chiaramente visibile?</w:t>
            </w:r>
          </w:p>
        </w:tc>
        <w:tc>
          <w:tcPr>
            <w:tcW w:w="993" w:type="dxa"/>
          </w:tcPr>
          <w:p w:rsidR="00D30FD5" w:rsidRPr="00B11E99" w:rsidRDefault="00D30FD5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D30FD5" w:rsidRPr="00B11E99" w:rsidRDefault="00D30FD5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D30FD5" w:rsidRPr="00B11E99" w:rsidRDefault="00D30FD5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  <w:tr w:rsidR="00D30FD5" w:rsidRPr="00E043D2" w:rsidTr="00EB53E4">
        <w:tc>
          <w:tcPr>
            <w:tcW w:w="675" w:type="dxa"/>
            <w:vAlign w:val="center"/>
          </w:tcPr>
          <w:p w:rsidR="00D30FD5" w:rsidRPr="00E043D2" w:rsidRDefault="00D30FD5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  <w:r w:rsidRPr="00E043D2">
              <w:rPr>
                <w:rFonts w:ascii="Verdana" w:hAnsi="Verdana" w:cs="Times New Roman"/>
                <w:color w:val="212121"/>
                <w:sz w:val="18"/>
                <w:szCs w:val="18"/>
              </w:rPr>
              <w:t>06</w:t>
            </w:r>
          </w:p>
        </w:tc>
        <w:tc>
          <w:tcPr>
            <w:tcW w:w="10773" w:type="dxa"/>
          </w:tcPr>
          <w:p w:rsidR="00D30FD5" w:rsidRDefault="00D30FD5" w:rsidP="00EB53E4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  <w:r w:rsidRPr="00E043D2">
              <w:rPr>
                <w:rFonts w:ascii="Verdana" w:hAnsi="Verdana" w:cs="Times New Roman"/>
                <w:color w:val="212121"/>
                <w:sz w:val="18"/>
                <w:szCs w:val="18"/>
              </w:rPr>
              <w:t>Sui pavimenti degli ambienti di lavoro e dei luoghi destinati al passaggio sono presenti buche o sporgenze pericolose? Sono in condizioni tali da rendere sicuro il movimento ed il transito delle persone e dei mezzi di trasporto?</w:t>
            </w:r>
          </w:p>
        </w:tc>
        <w:tc>
          <w:tcPr>
            <w:tcW w:w="993" w:type="dxa"/>
          </w:tcPr>
          <w:p w:rsidR="00D30FD5" w:rsidRPr="00B11E99" w:rsidRDefault="00D30FD5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D30FD5" w:rsidRPr="00B11E99" w:rsidRDefault="00D30FD5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D30FD5" w:rsidRPr="00B11E99" w:rsidRDefault="00D30FD5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  <w:tr w:rsidR="00D30FD5" w:rsidRPr="00E043D2" w:rsidTr="00EB53E4">
        <w:tc>
          <w:tcPr>
            <w:tcW w:w="675" w:type="dxa"/>
            <w:vAlign w:val="center"/>
          </w:tcPr>
          <w:p w:rsidR="00D30FD5" w:rsidRPr="00E043D2" w:rsidRDefault="00D30FD5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  <w:r w:rsidRPr="00E043D2">
              <w:rPr>
                <w:rFonts w:ascii="Verdana" w:hAnsi="Verdana" w:cs="Times New Roman"/>
                <w:color w:val="212121"/>
                <w:sz w:val="18"/>
                <w:szCs w:val="18"/>
              </w:rPr>
              <w:t>07</w:t>
            </w:r>
          </w:p>
        </w:tc>
        <w:tc>
          <w:tcPr>
            <w:tcW w:w="10773" w:type="dxa"/>
          </w:tcPr>
          <w:p w:rsidR="00D30FD5" w:rsidRDefault="00D30FD5" w:rsidP="00EB53E4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  <w:r w:rsidRPr="00E043D2">
              <w:rPr>
                <w:rFonts w:ascii="Verdana" w:hAnsi="Verdana" w:cs="Times New Roman"/>
                <w:color w:val="212121"/>
                <w:sz w:val="18"/>
                <w:szCs w:val="18"/>
              </w:rPr>
              <w:t>I pavimenti ed i passaggi sono ingombrati da materiali che ostacolano la normale circolazione?</w:t>
            </w:r>
          </w:p>
        </w:tc>
        <w:tc>
          <w:tcPr>
            <w:tcW w:w="993" w:type="dxa"/>
          </w:tcPr>
          <w:p w:rsidR="00D30FD5" w:rsidRPr="00B11E99" w:rsidRDefault="00D30FD5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D30FD5" w:rsidRPr="00B11E99" w:rsidRDefault="00D30FD5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D30FD5" w:rsidRPr="00B11E99" w:rsidRDefault="00D30FD5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  <w:tr w:rsidR="00D30FD5" w:rsidRPr="00E043D2" w:rsidTr="00EB53E4">
        <w:tc>
          <w:tcPr>
            <w:tcW w:w="675" w:type="dxa"/>
            <w:vAlign w:val="center"/>
          </w:tcPr>
          <w:p w:rsidR="00D30FD5" w:rsidRPr="00E043D2" w:rsidRDefault="00D30FD5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  <w:r w:rsidRPr="00E043D2">
              <w:rPr>
                <w:rFonts w:ascii="Verdana" w:hAnsi="Verdana" w:cs="Times New Roman"/>
                <w:color w:val="212121"/>
                <w:sz w:val="18"/>
                <w:szCs w:val="18"/>
              </w:rPr>
              <w:t>08</w:t>
            </w:r>
          </w:p>
        </w:tc>
        <w:tc>
          <w:tcPr>
            <w:tcW w:w="10773" w:type="dxa"/>
          </w:tcPr>
          <w:p w:rsidR="00D30FD5" w:rsidRDefault="00D30FD5" w:rsidP="00EB53E4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  <w:r w:rsidRPr="00E043D2">
              <w:rPr>
                <w:rFonts w:ascii="Verdana" w:hAnsi="Verdana" w:cs="Times New Roman"/>
                <w:color w:val="212121"/>
                <w:sz w:val="18"/>
                <w:szCs w:val="18"/>
              </w:rPr>
              <w:t>Quando per evidenti ragioni tecniche non si possono completamente eliminare dalle zone di transito ostacoli fissi o mobili che costituiscono un pericolo per i lavoratori o i veicoli che tali zone devono percorrere, gli ostacoli sono adeguatamente segnalati?</w:t>
            </w:r>
          </w:p>
        </w:tc>
        <w:tc>
          <w:tcPr>
            <w:tcW w:w="993" w:type="dxa"/>
          </w:tcPr>
          <w:p w:rsidR="00D30FD5" w:rsidRPr="00B11E99" w:rsidRDefault="00D30FD5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D30FD5" w:rsidRPr="00B11E99" w:rsidRDefault="00D30FD5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D30FD5" w:rsidRPr="00B11E99" w:rsidRDefault="00D30FD5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  <w:tr w:rsidR="00D30FD5" w:rsidRPr="00E043D2" w:rsidTr="00EB53E4">
        <w:tc>
          <w:tcPr>
            <w:tcW w:w="675" w:type="dxa"/>
            <w:vAlign w:val="center"/>
          </w:tcPr>
          <w:p w:rsidR="00D30FD5" w:rsidRPr="00E043D2" w:rsidRDefault="00D30FD5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  <w:r w:rsidRPr="00E043D2">
              <w:rPr>
                <w:rFonts w:ascii="Verdana" w:hAnsi="Verdana" w:cs="Times New Roman"/>
                <w:color w:val="212121"/>
                <w:sz w:val="18"/>
                <w:szCs w:val="18"/>
              </w:rPr>
              <w:t>09</w:t>
            </w:r>
          </w:p>
        </w:tc>
        <w:tc>
          <w:tcPr>
            <w:tcW w:w="10773" w:type="dxa"/>
          </w:tcPr>
          <w:p w:rsidR="00D30FD5" w:rsidRDefault="00D30FD5" w:rsidP="00EB53E4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  <w:r w:rsidRPr="00E043D2">
              <w:rPr>
                <w:rFonts w:ascii="Verdana" w:hAnsi="Verdana" w:cs="Times New Roman"/>
                <w:color w:val="212121"/>
                <w:sz w:val="18"/>
                <w:szCs w:val="18"/>
              </w:rPr>
              <w:t xml:space="preserve">Quando argani, paranchi e apparecchi simili sono usati per il sollevamento o la discesa dei carichi tra piani diversi di un edificio attraverso aperture nei solai o nelle pareti, le aperture per il passaggio del carico ai singoli piani, nonché il sottostante spazio di arrivo o di sganciamento del carico stesso sono protetti, su tutti i lati, mediante parapetti normali provvisti, ad eccezione di quello del piano </w:t>
            </w:r>
            <w:r>
              <w:rPr>
                <w:rFonts w:ascii="Verdana" w:hAnsi="Verdana" w:cs="Times New Roman"/>
                <w:color w:val="212121"/>
                <w:sz w:val="18"/>
                <w:szCs w:val="18"/>
              </w:rPr>
              <w:t xml:space="preserve">terreno, di arresto al piede? </w:t>
            </w:r>
            <w:r>
              <w:rPr>
                <w:rFonts w:ascii="Verdana" w:hAnsi="Verdana" w:cs="Times New Roman"/>
                <w:i/>
                <w:color w:val="212121"/>
                <w:sz w:val="16"/>
                <w:szCs w:val="16"/>
              </w:rPr>
              <w:t>Nota 3</w:t>
            </w:r>
          </w:p>
        </w:tc>
        <w:tc>
          <w:tcPr>
            <w:tcW w:w="993" w:type="dxa"/>
          </w:tcPr>
          <w:p w:rsidR="00D30FD5" w:rsidRPr="00B11E99" w:rsidRDefault="00D30FD5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D30FD5" w:rsidRPr="00B11E99" w:rsidRDefault="00D30FD5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D30FD5" w:rsidRPr="00B11E99" w:rsidRDefault="00D30FD5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  <w:tr w:rsidR="00D30FD5" w:rsidRPr="00E043D2" w:rsidTr="00EB53E4">
        <w:tc>
          <w:tcPr>
            <w:tcW w:w="675" w:type="dxa"/>
            <w:vAlign w:val="center"/>
          </w:tcPr>
          <w:p w:rsidR="00D30FD5" w:rsidRPr="00E043D2" w:rsidRDefault="00D30FD5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  <w:r w:rsidRPr="00E043D2">
              <w:rPr>
                <w:rFonts w:ascii="Verdana" w:hAnsi="Verdana" w:cs="Times New Roman"/>
                <w:color w:val="212121"/>
                <w:sz w:val="18"/>
                <w:szCs w:val="18"/>
              </w:rPr>
              <w:lastRenderedPageBreak/>
              <w:t>10</w:t>
            </w:r>
          </w:p>
        </w:tc>
        <w:tc>
          <w:tcPr>
            <w:tcW w:w="10773" w:type="dxa"/>
          </w:tcPr>
          <w:p w:rsidR="00D30FD5" w:rsidRDefault="00D30FD5" w:rsidP="00EB53E4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  <w:r w:rsidRPr="00E043D2">
              <w:rPr>
                <w:rFonts w:ascii="Verdana" w:hAnsi="Verdana" w:cs="Times New Roman"/>
                <w:color w:val="212121"/>
                <w:sz w:val="18"/>
                <w:szCs w:val="18"/>
              </w:rPr>
              <w:t>Lo spazio sottostante ai trasportatori orizzontali o inclinati è reso inaccessibile, quando la natura del materiale trasportato ed il tipo del trasportatore possano costituire pericoli per caduta di materiali o per rottura degli organi di sospensione, a meno che non siano adottate altre misure contro detti pericoli?</w:t>
            </w:r>
          </w:p>
        </w:tc>
        <w:tc>
          <w:tcPr>
            <w:tcW w:w="993" w:type="dxa"/>
          </w:tcPr>
          <w:p w:rsidR="00D30FD5" w:rsidRPr="00B11E99" w:rsidRDefault="00D30FD5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D30FD5" w:rsidRPr="00B11E99" w:rsidRDefault="00D30FD5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D30FD5" w:rsidRPr="00B11E99" w:rsidRDefault="00D30FD5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  <w:tr w:rsidR="00D30FD5" w:rsidRPr="00E043D2" w:rsidTr="00EB53E4">
        <w:tc>
          <w:tcPr>
            <w:tcW w:w="675" w:type="dxa"/>
            <w:vAlign w:val="center"/>
          </w:tcPr>
          <w:p w:rsidR="00D30FD5" w:rsidRPr="00E043D2" w:rsidRDefault="00D30FD5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  <w:r w:rsidRPr="00E043D2">
              <w:rPr>
                <w:rFonts w:ascii="Verdana" w:hAnsi="Verdana" w:cs="Times New Roman"/>
                <w:color w:val="212121"/>
                <w:sz w:val="18"/>
                <w:szCs w:val="18"/>
              </w:rPr>
              <w:t>11</w:t>
            </w:r>
          </w:p>
        </w:tc>
        <w:tc>
          <w:tcPr>
            <w:tcW w:w="10773" w:type="dxa"/>
          </w:tcPr>
          <w:p w:rsidR="00D30FD5" w:rsidRDefault="00D30FD5" w:rsidP="00EB53E4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  <w:r w:rsidRPr="00E043D2">
              <w:rPr>
                <w:rFonts w:ascii="Verdana" w:hAnsi="Verdana" w:cs="Times New Roman"/>
                <w:color w:val="212121"/>
                <w:sz w:val="18"/>
                <w:szCs w:val="18"/>
              </w:rPr>
              <w:t>Davanti alle uscite dei locali e alle vie che immettono direttamente ed immediatamente in una via di transito dei mezzi meccanici sono disposte barriere atte ad evitare investimenti e, quando ciò non sia possibile, adeguate segnalazioni?</w:t>
            </w:r>
          </w:p>
        </w:tc>
        <w:tc>
          <w:tcPr>
            <w:tcW w:w="993" w:type="dxa"/>
          </w:tcPr>
          <w:p w:rsidR="00D30FD5" w:rsidRPr="00B11E99" w:rsidRDefault="00D30FD5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D30FD5" w:rsidRPr="00B11E99" w:rsidRDefault="00D30FD5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D30FD5" w:rsidRPr="00B11E99" w:rsidRDefault="00D30FD5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  <w:tr w:rsidR="00D30FD5" w:rsidRPr="00E043D2" w:rsidTr="00EB53E4">
        <w:tc>
          <w:tcPr>
            <w:tcW w:w="675" w:type="dxa"/>
            <w:vAlign w:val="center"/>
          </w:tcPr>
          <w:p w:rsidR="00D30FD5" w:rsidRPr="00E043D2" w:rsidRDefault="00D30FD5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  <w:r w:rsidRPr="00E043D2">
              <w:rPr>
                <w:rFonts w:ascii="Verdana" w:hAnsi="Verdana" w:cs="Times New Roman"/>
                <w:color w:val="212121"/>
                <w:sz w:val="18"/>
                <w:szCs w:val="18"/>
              </w:rPr>
              <w:t>12</w:t>
            </w:r>
          </w:p>
        </w:tc>
        <w:tc>
          <w:tcPr>
            <w:tcW w:w="10773" w:type="dxa"/>
          </w:tcPr>
          <w:p w:rsidR="00D30FD5" w:rsidRDefault="00D30FD5" w:rsidP="00EB53E4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  <w:r w:rsidRPr="00E043D2">
              <w:rPr>
                <w:rFonts w:ascii="Verdana" w:hAnsi="Verdana" w:cs="Times New Roman"/>
                <w:color w:val="212121"/>
                <w:sz w:val="18"/>
                <w:szCs w:val="18"/>
              </w:rPr>
              <w:t>I segnali indicanti condizioni di pericolo nelle zone di transito e quelli regolanti il traffico dei trasporti meccanici su strada o su rotaia sono convenientemente illuminati durante il servizio notturno?</w:t>
            </w:r>
          </w:p>
        </w:tc>
        <w:tc>
          <w:tcPr>
            <w:tcW w:w="993" w:type="dxa"/>
          </w:tcPr>
          <w:p w:rsidR="00D30FD5" w:rsidRPr="00B11E99" w:rsidRDefault="00D30FD5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D30FD5" w:rsidRPr="00B11E99" w:rsidRDefault="00D30FD5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D30FD5" w:rsidRPr="00B11E99" w:rsidRDefault="00D30FD5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  <w:tr w:rsidR="00D30FD5" w:rsidRPr="00E043D2" w:rsidTr="00EB53E4">
        <w:tc>
          <w:tcPr>
            <w:tcW w:w="675" w:type="dxa"/>
            <w:vAlign w:val="center"/>
          </w:tcPr>
          <w:p w:rsidR="00D30FD5" w:rsidRPr="00E043D2" w:rsidRDefault="00D30FD5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  <w:r w:rsidRPr="00E043D2">
              <w:rPr>
                <w:rFonts w:ascii="Verdana" w:hAnsi="Verdana" w:cs="Times New Roman"/>
                <w:color w:val="212121"/>
                <w:sz w:val="18"/>
                <w:szCs w:val="18"/>
              </w:rPr>
              <w:t>13</w:t>
            </w:r>
          </w:p>
        </w:tc>
        <w:tc>
          <w:tcPr>
            <w:tcW w:w="10773" w:type="dxa"/>
          </w:tcPr>
          <w:p w:rsidR="00D30FD5" w:rsidRDefault="00D30FD5" w:rsidP="00EB53E4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  <w:r w:rsidRPr="00E043D2">
              <w:rPr>
                <w:rFonts w:ascii="Verdana" w:hAnsi="Verdana" w:cs="Times New Roman"/>
                <w:color w:val="212121"/>
                <w:sz w:val="18"/>
                <w:szCs w:val="18"/>
              </w:rPr>
              <w:t>Le vie di transito che, per lavori di riparazione o manutenzione in corso o per guasti intervenuti, non sono percorribili senza pericolo, sono sbarrate?</w:t>
            </w:r>
          </w:p>
        </w:tc>
        <w:tc>
          <w:tcPr>
            <w:tcW w:w="993" w:type="dxa"/>
          </w:tcPr>
          <w:p w:rsidR="00D30FD5" w:rsidRPr="00B11E99" w:rsidRDefault="00D30FD5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D30FD5" w:rsidRPr="00B11E99" w:rsidRDefault="00D30FD5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D30FD5" w:rsidRPr="00B11E99" w:rsidRDefault="00D30FD5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  <w:tr w:rsidR="00D30FD5" w:rsidRPr="00E043D2" w:rsidTr="00EB53E4">
        <w:tc>
          <w:tcPr>
            <w:tcW w:w="675" w:type="dxa"/>
            <w:vAlign w:val="center"/>
          </w:tcPr>
          <w:p w:rsidR="00D30FD5" w:rsidRPr="00E043D2" w:rsidRDefault="00D30FD5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  <w:r w:rsidRPr="00E043D2">
              <w:rPr>
                <w:rFonts w:ascii="Verdana" w:hAnsi="Verdana" w:cs="Times New Roman"/>
                <w:color w:val="212121"/>
                <w:sz w:val="18"/>
                <w:szCs w:val="18"/>
              </w:rPr>
              <w:t>14</w:t>
            </w:r>
          </w:p>
        </w:tc>
        <w:tc>
          <w:tcPr>
            <w:tcW w:w="10773" w:type="dxa"/>
          </w:tcPr>
          <w:p w:rsidR="00D30FD5" w:rsidRDefault="00D30FD5" w:rsidP="00EB53E4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212121"/>
                <w:sz w:val="18"/>
                <w:szCs w:val="18"/>
              </w:rPr>
              <w:t>E’ presente il cartello di divieto di transito?</w:t>
            </w:r>
          </w:p>
        </w:tc>
        <w:tc>
          <w:tcPr>
            <w:tcW w:w="993" w:type="dxa"/>
          </w:tcPr>
          <w:p w:rsidR="00D30FD5" w:rsidRPr="00B11E99" w:rsidRDefault="00D30FD5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D30FD5" w:rsidRPr="00B11E99" w:rsidRDefault="00D30FD5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D30FD5" w:rsidRPr="00B11E99" w:rsidRDefault="00D30FD5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  <w:tr w:rsidR="00D30FD5" w:rsidRPr="00E043D2" w:rsidTr="00EB53E4">
        <w:tc>
          <w:tcPr>
            <w:tcW w:w="675" w:type="dxa"/>
            <w:vAlign w:val="center"/>
          </w:tcPr>
          <w:p w:rsidR="00D30FD5" w:rsidRPr="00E043D2" w:rsidRDefault="00D30FD5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  <w:r w:rsidRPr="00E043D2">
              <w:rPr>
                <w:rFonts w:ascii="Verdana" w:hAnsi="Verdana" w:cs="Times New Roman"/>
                <w:color w:val="212121"/>
                <w:sz w:val="18"/>
                <w:szCs w:val="18"/>
              </w:rPr>
              <w:t>15</w:t>
            </w:r>
          </w:p>
        </w:tc>
        <w:tc>
          <w:tcPr>
            <w:tcW w:w="10773" w:type="dxa"/>
          </w:tcPr>
          <w:p w:rsidR="00D30FD5" w:rsidRDefault="00D30FD5" w:rsidP="00EB53E4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  <w:r w:rsidRPr="00E043D2">
              <w:rPr>
                <w:rFonts w:ascii="Verdana" w:hAnsi="Verdana" w:cs="Times New Roman"/>
                <w:color w:val="212121"/>
                <w:sz w:val="18"/>
                <w:szCs w:val="18"/>
              </w:rPr>
              <w:t>Durante l'esecuzione di lavoro di riparazione o manutenzione su linee di transito su rotaie percorse da mezzi meccanici, quando il traffico non è sospeso o la linea non è sbarrata, sono presenti una o più persone esclusivamente incaricate di segnalare ai lavoratori l'avvicinarsi dei convogli ai posti di lavoro?</w:t>
            </w:r>
          </w:p>
        </w:tc>
        <w:tc>
          <w:tcPr>
            <w:tcW w:w="993" w:type="dxa"/>
          </w:tcPr>
          <w:p w:rsidR="00D30FD5" w:rsidRPr="00B11E99" w:rsidRDefault="00D30FD5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D30FD5" w:rsidRPr="00B11E99" w:rsidRDefault="00D30FD5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D30FD5" w:rsidRPr="00B11E99" w:rsidRDefault="00D30FD5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  <w:tr w:rsidR="00D30FD5" w:rsidRPr="00E043D2" w:rsidTr="00EB53E4">
        <w:tc>
          <w:tcPr>
            <w:tcW w:w="675" w:type="dxa"/>
            <w:vAlign w:val="center"/>
          </w:tcPr>
          <w:p w:rsidR="00D30FD5" w:rsidRPr="00E043D2" w:rsidRDefault="00D30FD5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  <w:r w:rsidRPr="00E043D2">
              <w:rPr>
                <w:rFonts w:ascii="Verdana" w:hAnsi="Verdana" w:cs="Times New Roman"/>
                <w:color w:val="212121"/>
                <w:sz w:val="18"/>
                <w:szCs w:val="18"/>
              </w:rPr>
              <w:t>16</w:t>
            </w:r>
          </w:p>
        </w:tc>
        <w:tc>
          <w:tcPr>
            <w:tcW w:w="10773" w:type="dxa"/>
          </w:tcPr>
          <w:p w:rsidR="00D30FD5" w:rsidRDefault="00D30FD5" w:rsidP="00EB53E4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  <w:r w:rsidRPr="00E043D2">
              <w:rPr>
                <w:rFonts w:ascii="Verdana" w:hAnsi="Verdana" w:cs="Times New Roman"/>
                <w:color w:val="212121"/>
                <w:sz w:val="18"/>
                <w:szCs w:val="18"/>
              </w:rPr>
              <w:t>Quando uno o più veicoli sono mossi da un mezzo meccanico il cui conducente non può, direttamente o a mezzo di altra persona sistemata su uno di essi, controllarne il percorso, i veicoli sono preceduti o affiancati da un incaricato che provveda alle necessarie segnalazioni per assicurare l'incolumità delle persone?</w:t>
            </w:r>
          </w:p>
        </w:tc>
        <w:tc>
          <w:tcPr>
            <w:tcW w:w="993" w:type="dxa"/>
          </w:tcPr>
          <w:p w:rsidR="00D30FD5" w:rsidRPr="00B11E99" w:rsidRDefault="00D30FD5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D30FD5" w:rsidRPr="00B11E99" w:rsidRDefault="00D30FD5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D30FD5" w:rsidRPr="00B11E99" w:rsidRDefault="00D30FD5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  <w:tr w:rsidR="00D30FD5" w:rsidRPr="00E043D2" w:rsidTr="00EB53E4">
        <w:tc>
          <w:tcPr>
            <w:tcW w:w="675" w:type="dxa"/>
            <w:vAlign w:val="center"/>
          </w:tcPr>
          <w:p w:rsidR="00D30FD5" w:rsidRPr="00E043D2" w:rsidRDefault="00D30FD5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  <w:r w:rsidRPr="00E043D2">
              <w:rPr>
                <w:rFonts w:ascii="Verdana" w:hAnsi="Verdana" w:cs="Times New Roman"/>
                <w:color w:val="212121"/>
                <w:sz w:val="18"/>
                <w:szCs w:val="18"/>
              </w:rPr>
              <w:t>17</w:t>
            </w:r>
          </w:p>
        </w:tc>
        <w:tc>
          <w:tcPr>
            <w:tcW w:w="10773" w:type="dxa"/>
          </w:tcPr>
          <w:p w:rsidR="00D30FD5" w:rsidRDefault="00D30FD5" w:rsidP="00EB53E4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  <w:r w:rsidRPr="00E043D2">
              <w:rPr>
                <w:rFonts w:ascii="Verdana" w:hAnsi="Verdana" w:cs="Times New Roman"/>
                <w:color w:val="212121"/>
                <w:sz w:val="18"/>
                <w:szCs w:val="18"/>
              </w:rPr>
              <w:t>All'esterno delle fronti di partenza e di arrivo dei vagonetti alle stazioni delle teleferiche sono applicati solidi ripari a grigliato metallico atti a trattenere una</w:t>
            </w:r>
            <w:r>
              <w:rPr>
                <w:rFonts w:ascii="Verdana" w:hAnsi="Verdana" w:cs="Times New Roman"/>
                <w:color w:val="212121"/>
                <w:sz w:val="18"/>
                <w:szCs w:val="18"/>
              </w:rPr>
              <w:t xml:space="preserve"> persona in caso di caduta? </w:t>
            </w:r>
            <w:r>
              <w:rPr>
                <w:rFonts w:ascii="Verdana" w:hAnsi="Verdana" w:cs="Times New Roman"/>
                <w:i/>
                <w:color w:val="212121"/>
                <w:sz w:val="16"/>
                <w:szCs w:val="16"/>
              </w:rPr>
              <w:t>Nota 4</w:t>
            </w:r>
          </w:p>
        </w:tc>
        <w:tc>
          <w:tcPr>
            <w:tcW w:w="993" w:type="dxa"/>
          </w:tcPr>
          <w:p w:rsidR="00D30FD5" w:rsidRPr="00B11E99" w:rsidRDefault="00D30FD5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D30FD5" w:rsidRPr="00B11E99" w:rsidRDefault="00D30FD5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D30FD5" w:rsidRPr="00B11E99" w:rsidRDefault="00D30FD5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</w:tbl>
    <w:p w:rsidR="00D30FD5" w:rsidRDefault="00D30FD5" w:rsidP="00D30FD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212121"/>
          <w:sz w:val="18"/>
          <w:szCs w:val="18"/>
        </w:rPr>
      </w:pPr>
      <w:r>
        <w:rPr>
          <w:rFonts w:ascii="Verdana" w:hAnsi="Verdana" w:cs="Times New Roman"/>
          <w:color w:val="212121"/>
          <w:sz w:val="18"/>
          <w:szCs w:val="18"/>
        </w:rPr>
        <w:br/>
      </w:r>
    </w:p>
    <w:p w:rsidR="00D30FD5" w:rsidRPr="00D30FD5" w:rsidRDefault="00D30FD5" w:rsidP="00D30FD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212121"/>
          <w:sz w:val="16"/>
          <w:szCs w:val="16"/>
        </w:rPr>
      </w:pPr>
      <w:r w:rsidRPr="00D30FD5">
        <w:rPr>
          <w:rFonts w:ascii="Verdana" w:hAnsi="Verdana" w:cs="Times New Roman"/>
          <w:i/>
          <w:color w:val="212121"/>
          <w:sz w:val="16"/>
          <w:szCs w:val="16"/>
        </w:rPr>
        <w:t xml:space="preserve">Nota 1 - </w:t>
      </w:r>
      <w:r w:rsidRPr="00D30FD5">
        <w:rPr>
          <w:rFonts w:ascii="Verdana" w:hAnsi="Verdana" w:cs="Times New Roman"/>
          <w:color w:val="212121"/>
          <w:sz w:val="16"/>
          <w:szCs w:val="16"/>
        </w:rPr>
        <w:t xml:space="preserve">Il calcolo delle dimensioni delle vie di circolazione per persone ovvero merci dovrà basarsi sul numero potenziale degli utenti e sul tipo di impresa. Qualora sulle vie di circolazione siano utilizzati mezzi di trasporto, dovrà essere prevista per i pedoni una distanza di sicurezza sufficiente. </w:t>
      </w:r>
      <w:r w:rsidRPr="00D30FD5">
        <w:rPr>
          <w:rFonts w:ascii="Verdana" w:hAnsi="Verdana" w:cs="Times New Roman"/>
          <w:color w:val="212121"/>
          <w:sz w:val="16"/>
          <w:szCs w:val="16"/>
        </w:rPr>
        <w:br/>
      </w:r>
      <w:r w:rsidRPr="00D30FD5">
        <w:rPr>
          <w:rFonts w:ascii="Verdana" w:hAnsi="Verdana" w:cs="Times New Roman"/>
          <w:i/>
          <w:color w:val="212121"/>
          <w:sz w:val="16"/>
          <w:szCs w:val="16"/>
        </w:rPr>
        <w:t xml:space="preserve">Nota 2 - </w:t>
      </w:r>
      <w:r w:rsidRPr="00D30FD5">
        <w:rPr>
          <w:rFonts w:ascii="Verdana" w:hAnsi="Verdana" w:cs="Times New Roman"/>
          <w:color w:val="212121"/>
          <w:sz w:val="16"/>
          <w:szCs w:val="16"/>
        </w:rPr>
        <w:t xml:space="preserve"> Devono essere prese misure appropriate per proteggere i lavoratori autorizzati ad accedere alle zone di pericolo.</w:t>
      </w:r>
      <w:r w:rsidRPr="00D30FD5">
        <w:rPr>
          <w:rFonts w:ascii="Verdana" w:hAnsi="Verdana" w:cs="Times New Roman"/>
          <w:color w:val="212121"/>
          <w:sz w:val="16"/>
          <w:szCs w:val="16"/>
        </w:rPr>
        <w:br/>
      </w:r>
      <w:r w:rsidRPr="00D30FD5">
        <w:rPr>
          <w:rFonts w:ascii="Verdana" w:hAnsi="Verdana" w:cs="Times New Roman"/>
          <w:i/>
          <w:color w:val="212121"/>
          <w:sz w:val="16"/>
          <w:szCs w:val="16"/>
        </w:rPr>
        <w:t xml:space="preserve">Nota 3 - </w:t>
      </w:r>
      <w:r w:rsidRPr="00D30FD5">
        <w:rPr>
          <w:rFonts w:ascii="Verdana" w:hAnsi="Verdana" w:cs="Times New Roman"/>
          <w:color w:val="212121"/>
          <w:sz w:val="16"/>
          <w:szCs w:val="16"/>
        </w:rPr>
        <w:t>I parapetti devono essere disposti in modo da garantire i lavoratori anche contro i pericoli derivanti da urti o da eventuale caduta del carico di manovra. Gli stessi parapetti devono essere applicati anche sui lati delle aperture dove si effettua il carico e lo scarico, a meno che per le caratteristiche dei materiali in manovra ciò non sia possibile. In quest'ultimo caso, in luogo del parapetto normale deve essere applicata una solida barriera mobile, insaporatile e fissabile nella posizione di chiusura mediante chiavistello o altro dispositivo. Detta barriera deve essere tenuta chiusa quando non siano eseguite manovre di carico o scarico al piano corrispondente.</w:t>
      </w:r>
      <w:r w:rsidRPr="00D30FD5">
        <w:rPr>
          <w:rFonts w:ascii="Verdana" w:hAnsi="Verdana" w:cs="Times New Roman"/>
          <w:color w:val="212121"/>
          <w:sz w:val="16"/>
          <w:szCs w:val="16"/>
        </w:rPr>
        <w:br/>
      </w:r>
      <w:r w:rsidRPr="00D30FD5">
        <w:rPr>
          <w:rFonts w:ascii="Verdana" w:hAnsi="Verdana" w:cs="Times New Roman"/>
          <w:i/>
          <w:color w:val="212121"/>
          <w:sz w:val="16"/>
          <w:szCs w:val="16"/>
        </w:rPr>
        <w:t xml:space="preserve">Nota 4 - </w:t>
      </w:r>
      <w:r w:rsidRPr="00D30FD5">
        <w:rPr>
          <w:rFonts w:ascii="Verdana" w:hAnsi="Verdana" w:cs="Times New Roman"/>
          <w:color w:val="212121"/>
          <w:sz w:val="16"/>
          <w:szCs w:val="16"/>
        </w:rPr>
        <w:t xml:space="preserve"> Tali ripari devono essere disposti a non oltre m. 0,50 sotto il margine del piano di manovra e sporgere da questo per almeno m. 2</w:t>
      </w:r>
    </w:p>
    <w:p w:rsidR="007B56F1" w:rsidRPr="007B56F1" w:rsidRDefault="007B56F1" w:rsidP="00D30FD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212121"/>
          <w:sz w:val="16"/>
          <w:szCs w:val="16"/>
        </w:rPr>
      </w:pPr>
    </w:p>
    <w:p w:rsidR="00E258DF" w:rsidRPr="0090139D" w:rsidRDefault="00E258DF" w:rsidP="007B56F1">
      <w:pPr>
        <w:autoSpaceDE w:val="0"/>
        <w:autoSpaceDN w:val="0"/>
        <w:adjustRightInd w:val="0"/>
        <w:spacing w:after="0" w:line="240" w:lineRule="auto"/>
        <w:rPr>
          <w:i/>
          <w:sz w:val="16"/>
          <w:szCs w:val="16"/>
        </w:rPr>
      </w:pPr>
    </w:p>
    <w:sectPr w:rsidR="00E258DF" w:rsidRPr="0090139D" w:rsidSect="008214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7" w:bottom="1134" w:left="1134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CD8" w:rsidRDefault="00083CD8" w:rsidP="008214D9">
      <w:pPr>
        <w:spacing w:after="0" w:line="240" w:lineRule="auto"/>
      </w:pPr>
      <w:r>
        <w:separator/>
      </w:r>
    </w:p>
  </w:endnote>
  <w:endnote w:type="continuationSeparator" w:id="0">
    <w:p w:rsidR="00083CD8" w:rsidRDefault="00083CD8" w:rsidP="00821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F8C" w:rsidRDefault="00177F8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single" w:sz="4" w:space="0" w:color="BFBFBF" w:themeColor="background1" w:themeShade="BF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65"/>
      <w:gridCol w:w="3262"/>
    </w:tblGrid>
    <w:tr w:rsidR="008214D9" w:rsidTr="008214D9">
      <w:tc>
        <w:tcPr>
          <w:tcW w:w="11165" w:type="dxa"/>
        </w:tcPr>
        <w:p w:rsidR="008214D9" w:rsidRPr="008214D9" w:rsidRDefault="008214D9" w:rsidP="00EB53E4">
          <w:pPr>
            <w:pStyle w:val="Intestazione"/>
            <w:rPr>
              <w:sz w:val="16"/>
              <w:szCs w:val="16"/>
            </w:rPr>
          </w:pPr>
          <w:r w:rsidRPr="008214D9">
            <w:rPr>
              <w:rFonts w:ascii="Verdana" w:hAnsi="Verdana" w:cs="Times New Roman"/>
              <w:iCs/>
              <w:color w:val="1F1F1F"/>
              <w:sz w:val="16"/>
              <w:szCs w:val="16"/>
            </w:rPr>
            <w:t xml:space="preserve">Attenzione: la </w:t>
          </w:r>
          <w:proofErr w:type="spellStart"/>
          <w:r w:rsidRPr="008214D9">
            <w:rPr>
              <w:rFonts w:ascii="Verdana" w:hAnsi="Verdana" w:cs="Times New Roman"/>
              <w:iCs/>
              <w:color w:val="1F1F1F"/>
              <w:sz w:val="16"/>
              <w:szCs w:val="16"/>
            </w:rPr>
            <w:t>check</w:t>
          </w:r>
          <w:proofErr w:type="spellEnd"/>
          <w:r w:rsidRPr="008214D9">
            <w:rPr>
              <w:rFonts w:ascii="Verdana" w:hAnsi="Verdana" w:cs="Times New Roman"/>
              <w:iCs/>
              <w:color w:val="1F1F1F"/>
              <w:sz w:val="16"/>
              <w:szCs w:val="16"/>
            </w:rPr>
            <w:t xml:space="preserve"> list </w:t>
          </w:r>
          <w:r>
            <w:rPr>
              <w:rFonts w:ascii="Verdana" w:hAnsi="Verdana" w:cs="Times New Roman"/>
              <w:iCs/>
              <w:color w:val="1F1F1F"/>
              <w:sz w:val="16"/>
              <w:szCs w:val="16"/>
            </w:rPr>
            <w:t>può avere carattere non esaustivo e va eventualmente adattata di caso in caso</w:t>
          </w:r>
        </w:p>
      </w:tc>
      <w:tc>
        <w:tcPr>
          <w:tcW w:w="3262" w:type="dxa"/>
        </w:tcPr>
        <w:p w:rsidR="008214D9" w:rsidRPr="008214D9" w:rsidRDefault="00036877" w:rsidP="00EB53E4">
          <w:pPr>
            <w:pStyle w:val="Intestazione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Elaborato: Certifico S.r.l. - PG</w:t>
          </w:r>
        </w:p>
      </w:tc>
    </w:tr>
  </w:tbl>
  <w:p w:rsidR="008214D9" w:rsidRDefault="008214D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F8C" w:rsidRDefault="00177F8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CD8" w:rsidRDefault="00083CD8" w:rsidP="008214D9">
      <w:pPr>
        <w:spacing w:after="0" w:line="240" w:lineRule="auto"/>
      </w:pPr>
      <w:r>
        <w:separator/>
      </w:r>
    </w:p>
  </w:footnote>
  <w:footnote w:type="continuationSeparator" w:id="0">
    <w:p w:rsidR="00083CD8" w:rsidRDefault="00083CD8" w:rsidP="00821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F8C" w:rsidRDefault="00177F8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4425" w:type="dxa"/>
      <w:tblBorders>
        <w:top w:val="single" w:sz="4" w:space="0" w:color="BFBFBF" w:themeColor="background1" w:themeShade="BF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39"/>
      <w:gridCol w:w="5386"/>
    </w:tblGrid>
    <w:tr w:rsidR="008214D9" w:rsidTr="007B56F1">
      <w:tc>
        <w:tcPr>
          <w:tcW w:w="9039" w:type="dxa"/>
        </w:tcPr>
        <w:p w:rsidR="008214D9" w:rsidRPr="00D30FD5" w:rsidRDefault="00D30FD5" w:rsidP="0090139D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Times New Roman"/>
              <w:b/>
              <w:iCs/>
              <w:color w:val="1F1F1F"/>
              <w:sz w:val="16"/>
              <w:szCs w:val="16"/>
            </w:rPr>
          </w:pPr>
          <w:r w:rsidRPr="00D30FD5">
            <w:rPr>
              <w:rFonts w:ascii="Verdana" w:hAnsi="Verdana" w:cs="Times New Roman"/>
              <w:b/>
              <w:iCs/>
              <w:color w:val="1F1F1F"/>
              <w:sz w:val="16"/>
              <w:szCs w:val="16"/>
            </w:rPr>
            <w:t xml:space="preserve">CK1.4 - Pericoli: </w:t>
          </w:r>
          <w:r w:rsidRPr="00D30FD5">
            <w:rPr>
              <w:rFonts w:ascii="Verdana" w:hAnsi="Verdana" w:cs="Times New Roman"/>
              <w:iCs/>
              <w:color w:val="1F1F1F"/>
              <w:sz w:val="16"/>
              <w:szCs w:val="16"/>
            </w:rPr>
            <w:t>Vie di circolazione interne ed esterne</w:t>
          </w:r>
        </w:p>
      </w:tc>
      <w:tc>
        <w:tcPr>
          <w:tcW w:w="5386" w:type="dxa"/>
        </w:tcPr>
        <w:p w:rsidR="008214D9" w:rsidRPr="008214D9" w:rsidRDefault="00177F8C" w:rsidP="008214D9">
          <w:pPr>
            <w:pStyle w:val="Intestazione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Rev. 3.0 - </w:t>
          </w:r>
          <w:r>
            <w:rPr>
              <w:rFonts w:ascii="Verdana" w:hAnsi="Verdana"/>
              <w:sz w:val="16"/>
              <w:szCs w:val="16"/>
            </w:rPr>
            <w:t>2017</w:t>
          </w:r>
          <w:bookmarkStart w:id="0" w:name="_GoBack"/>
          <w:bookmarkEnd w:id="0"/>
        </w:p>
      </w:tc>
    </w:tr>
  </w:tbl>
  <w:p w:rsidR="008214D9" w:rsidRDefault="008214D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F8C" w:rsidRDefault="00177F8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4D9"/>
    <w:rsid w:val="00036877"/>
    <w:rsid w:val="00083CD8"/>
    <w:rsid w:val="00177F8C"/>
    <w:rsid w:val="001C3CEA"/>
    <w:rsid w:val="00265432"/>
    <w:rsid w:val="00495748"/>
    <w:rsid w:val="007B56F1"/>
    <w:rsid w:val="008214D9"/>
    <w:rsid w:val="008E7781"/>
    <w:rsid w:val="0090139D"/>
    <w:rsid w:val="009D3C4E"/>
    <w:rsid w:val="00B83B68"/>
    <w:rsid w:val="00C07635"/>
    <w:rsid w:val="00D30FD5"/>
    <w:rsid w:val="00E2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14D9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54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14D9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14D9"/>
  </w:style>
  <w:style w:type="paragraph" w:styleId="Pidipagina">
    <w:name w:val="footer"/>
    <w:basedOn w:val="Normale"/>
    <w:link w:val="PidipaginaCarattere"/>
    <w:uiPriority w:val="99"/>
    <w:unhideWhenUsed/>
    <w:rsid w:val="008214D9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14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14D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14D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2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26543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65432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5432"/>
    <w:rPr>
      <w:rFonts w:eastAsiaTheme="minorEastAsia"/>
      <w:i/>
      <w:iCs/>
      <w:color w:val="000000" w:themeColor="text1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14D9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54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14D9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14D9"/>
  </w:style>
  <w:style w:type="paragraph" w:styleId="Pidipagina">
    <w:name w:val="footer"/>
    <w:basedOn w:val="Normale"/>
    <w:link w:val="PidipaginaCarattere"/>
    <w:uiPriority w:val="99"/>
    <w:unhideWhenUsed/>
    <w:rsid w:val="008214D9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14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14D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14D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2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26543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65432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5432"/>
    <w:rPr>
      <w:rFonts w:eastAsiaTheme="minorEastAsia"/>
      <w:i/>
      <w:iCs/>
      <w:color w:val="000000" w:themeColor="text1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Maccarelli</dc:creator>
  <cp:lastModifiedBy>Certifico S.r.l.</cp:lastModifiedBy>
  <cp:revision>3</cp:revision>
  <dcterms:created xsi:type="dcterms:W3CDTF">2013-05-18T15:00:00Z</dcterms:created>
  <dcterms:modified xsi:type="dcterms:W3CDTF">2017-11-01T12:28:00Z</dcterms:modified>
</cp:coreProperties>
</file>