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D9" w:rsidRPr="00DD2B85" w:rsidRDefault="009D3C4E" w:rsidP="008214D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40"/>
          <w:szCs w:val="40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8214D9">
        <w:rPr>
          <w:rFonts w:ascii="Verdana" w:hAnsi="Verdana" w:cs="Times New Roman"/>
          <w:b/>
          <w:iCs/>
          <w:color w:val="1F1F1F"/>
          <w:sz w:val="40"/>
          <w:szCs w:val="40"/>
        </w:rPr>
        <w:br/>
      </w:r>
      <w:r w:rsidR="008214D9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CK1 - </w:t>
      </w:r>
      <w:r w:rsidR="008214D9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 w:rsidR="008214D9" w:rsidRPr="00EA4DED">
        <w:rPr>
          <w:rFonts w:ascii="Verdana" w:hAnsi="Verdana" w:cs="Times New Roman"/>
          <w:iCs/>
          <w:color w:val="1F1F1F"/>
          <w:sz w:val="24"/>
          <w:szCs w:val="24"/>
        </w:rPr>
        <w:t>Luoghi di Lavoro</w:t>
      </w:r>
      <w:r w:rsidR="008214D9"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CK1.1 - </w:t>
      </w:r>
      <w:r w:rsidR="008214D9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 w:rsidR="008214D9" w:rsidRPr="00EA4DED">
        <w:rPr>
          <w:rFonts w:ascii="Verdana" w:hAnsi="Verdana" w:cs="Times New Roman"/>
          <w:iCs/>
          <w:color w:val="1F1F1F"/>
          <w:sz w:val="24"/>
          <w:szCs w:val="24"/>
        </w:rPr>
        <w:t>Stabilità e solidità delle strutture</w:t>
      </w:r>
    </w:p>
    <w:p w:rsidR="008214D9" w:rsidRPr="00EA4DED" w:rsidRDefault="008214D9" w:rsidP="008214D9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8"/>
          <w:szCs w:val="18"/>
        </w:rPr>
      </w:pP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Realizzato secondo le procedure standardizzate </w:t>
      </w:r>
      <w:r w:rsidRPr="00EA4DED">
        <w:rPr>
          <w:rFonts w:ascii="Verdana" w:hAnsi="Verdana" w:cs="Times New Roman"/>
          <w:iCs/>
          <w:color w:val="303030"/>
          <w:sz w:val="18"/>
          <w:szCs w:val="18"/>
        </w:rPr>
        <w:t xml:space="preserve">ai sensi 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degli artt. 17, 28, 29 del </w:t>
      </w:r>
      <w:proofErr w:type="spellStart"/>
      <w:r w:rsidRPr="00EA4DED">
        <w:rPr>
          <w:rFonts w:ascii="Verdana" w:hAnsi="Verdana" w:cs="Times New Roman"/>
          <w:iCs/>
          <w:color w:val="1F1F1F"/>
          <w:sz w:val="18"/>
          <w:szCs w:val="18"/>
        </w:rPr>
        <w:t>D.Lgs.</w:t>
      </w:r>
      <w:proofErr w:type="spellEnd"/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 81/08 e </w:t>
      </w:r>
      <w:proofErr w:type="spellStart"/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s</w:t>
      </w:r>
      <w:r w:rsidRPr="00EA4DED">
        <w:rPr>
          <w:rFonts w:ascii="Verdana" w:eastAsia="HiddenHorzOCR" w:hAnsi="Verdana" w:cs="HiddenHorzOCR"/>
          <w:color w:val="444444"/>
          <w:sz w:val="18"/>
          <w:szCs w:val="18"/>
        </w:rPr>
        <w:t>.</w:t>
      </w:r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m.i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rif.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All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>. IV</w:t>
      </w:r>
    </w:p>
    <w:p w:rsidR="008214D9" w:rsidRPr="00EA4DED" w:rsidRDefault="008214D9" w:rsidP="008214D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18"/>
          <w:szCs w:val="18"/>
        </w:rPr>
      </w:pPr>
    </w:p>
    <w:p w:rsidR="008214D9" w:rsidRPr="00052B2E" w:rsidRDefault="008214D9" w:rsidP="008214D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24"/>
          <w:szCs w:val="24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8214D9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214D9" w:rsidRPr="00677541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8214D9" w:rsidRPr="00677541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214D9" w:rsidRPr="00677541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214D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214D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8214D9" w:rsidRPr="00B11E99" w:rsidTr="00EB53E4">
        <w:tc>
          <w:tcPr>
            <w:tcW w:w="675" w:type="dxa"/>
            <w:vAlign w:val="center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8214D9" w:rsidRPr="00831584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Gli edifici che ospitano i luoghi di lavoro risultano essere stabili?</w:t>
            </w:r>
          </w:p>
        </w:tc>
        <w:tc>
          <w:tcPr>
            <w:tcW w:w="993" w:type="dxa"/>
          </w:tcPr>
          <w:p w:rsidR="008214D9" w:rsidRPr="002E74D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2E74D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2E74D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214D9" w:rsidRPr="00B11E99" w:rsidTr="00EB53E4">
        <w:tc>
          <w:tcPr>
            <w:tcW w:w="675" w:type="dxa"/>
            <w:vAlign w:val="center"/>
          </w:tcPr>
          <w:p w:rsidR="008214D9" w:rsidRPr="00117E75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02</w:t>
            </w:r>
          </w:p>
        </w:tc>
        <w:tc>
          <w:tcPr>
            <w:tcW w:w="1077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Gli edifici che ospitano i luoghi di lavoro vengono sottoposti a manutenzioni e regolari controlli?</w:t>
            </w: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214D9" w:rsidRPr="00B11E99" w:rsidTr="00EB53E4">
        <w:tc>
          <w:tcPr>
            <w:tcW w:w="675" w:type="dxa"/>
            <w:vAlign w:val="center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Per i depositi è indicato il carico massimo ammissibile per unità di superficie?</w:t>
            </w: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214D9" w:rsidRPr="00B11E99" w:rsidTr="00EB53E4">
        <w:tc>
          <w:tcPr>
            <w:tcW w:w="675" w:type="dxa"/>
            <w:vAlign w:val="center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Per i depositi i carichi sono distribuiti razionalmente ai fini delle stabilità del solaio?</w:t>
            </w: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214D9" w:rsidRPr="00B11E99" w:rsidTr="00EB53E4">
        <w:tc>
          <w:tcPr>
            <w:tcW w:w="675" w:type="dxa"/>
            <w:vAlign w:val="center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05</w:t>
            </w:r>
          </w:p>
        </w:tc>
        <w:tc>
          <w:tcPr>
            <w:tcW w:w="1077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L’accesso per la manutenzione e riparazione in quota di impianti, apparecchi, macchine, pali e simili, è reso sicuro con impiego di mezzi appropriati (passerelle, scale, staffe, andatoie, ramponi, altro)?</w:t>
            </w: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214D9" w:rsidRPr="00B11E99" w:rsidTr="00EB53E4">
        <w:tc>
          <w:tcPr>
            <w:tcW w:w="675" w:type="dxa"/>
            <w:vAlign w:val="center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06</w:t>
            </w:r>
          </w:p>
        </w:tc>
        <w:tc>
          <w:tcPr>
            <w:tcW w:w="1077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La pulizia del luogo di lavoro viene effettuata al di fuori dell’orario di lavoro onde evitare il sollevamento di polveri dell’ambiente?</w:t>
            </w: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214D9" w:rsidRPr="00B11E99" w:rsidTr="00EB53E4">
        <w:tc>
          <w:tcPr>
            <w:tcW w:w="675" w:type="dxa"/>
            <w:vAlign w:val="center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07</w:t>
            </w:r>
          </w:p>
        </w:tc>
        <w:tc>
          <w:tcPr>
            <w:tcW w:w="1077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Sono presenti depositi di immondizie, rifiuti o altri materiali solidi o liquidi capaci di emanazioni insalubri nelle adiacenze dei locali di lavoro?</w:t>
            </w: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214D9" w:rsidRPr="00B11E99" w:rsidRDefault="008214D9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E258DF" w:rsidRDefault="00E258DF"/>
    <w:sectPr w:rsidR="00E258DF" w:rsidSect="00821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35" w:rsidRDefault="00C07635" w:rsidP="008214D9">
      <w:pPr>
        <w:spacing w:after="0" w:line="240" w:lineRule="auto"/>
      </w:pPr>
      <w:r>
        <w:separator/>
      </w:r>
    </w:p>
  </w:endnote>
  <w:endnote w:type="continuationSeparator" w:id="0">
    <w:p w:rsidR="00C07635" w:rsidRDefault="00C07635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B9" w:rsidRDefault="004945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B9" w:rsidRDefault="004945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35" w:rsidRDefault="00C07635" w:rsidP="008214D9">
      <w:pPr>
        <w:spacing w:after="0" w:line="240" w:lineRule="auto"/>
      </w:pPr>
      <w:r>
        <w:separator/>
      </w:r>
    </w:p>
  </w:footnote>
  <w:footnote w:type="continuationSeparator" w:id="0">
    <w:p w:rsidR="00C07635" w:rsidRDefault="00C07635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B9" w:rsidRDefault="004945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2"/>
    </w:tblGrid>
    <w:tr w:rsidR="008214D9" w:rsidTr="009D3C4E">
      <w:tc>
        <w:tcPr>
          <w:tcW w:w="7213" w:type="dxa"/>
        </w:tcPr>
        <w:p w:rsidR="008214D9" w:rsidRPr="008214D9" w:rsidRDefault="008214D9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CK1.1 - Pericoli: </w:t>
          </w: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Stabilità e solidità delle strutture</w:t>
          </w:r>
        </w:p>
      </w:tc>
      <w:tc>
        <w:tcPr>
          <w:tcW w:w="7212" w:type="dxa"/>
        </w:tcPr>
        <w:p w:rsidR="008214D9" w:rsidRPr="008214D9" w:rsidRDefault="004945B9" w:rsidP="008214D9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3.0 -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B9" w:rsidRDefault="004945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1C3CEA"/>
    <w:rsid w:val="00265432"/>
    <w:rsid w:val="004945B9"/>
    <w:rsid w:val="008214D9"/>
    <w:rsid w:val="008E7781"/>
    <w:rsid w:val="009D3C4E"/>
    <w:rsid w:val="00B83B68"/>
    <w:rsid w:val="00C07635"/>
    <w:rsid w:val="00E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3</cp:revision>
  <dcterms:created xsi:type="dcterms:W3CDTF">2013-05-18T14:54:00Z</dcterms:created>
  <dcterms:modified xsi:type="dcterms:W3CDTF">2017-11-01T12:27:00Z</dcterms:modified>
</cp:coreProperties>
</file>