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79FAC" w14:textId="77777777" w:rsidR="006842EE" w:rsidRDefault="006842EE">
      <w:pPr>
        <w:widowControl w:val="0"/>
        <w:spacing w:before="60" w:after="60"/>
        <w:rPr>
          <w:rFonts w:ascii="Titillium" w:hAnsi="Titillium"/>
          <w:b/>
          <w:sz w:val="36"/>
          <w:szCs w:val="36"/>
          <w:lang w:eastAsia="it-IT"/>
        </w:rPr>
      </w:pPr>
    </w:p>
    <w:p w14:paraId="7CD55F6C" w14:textId="77777777" w:rsidR="006842EE" w:rsidRDefault="006842EE">
      <w:pPr>
        <w:widowControl w:val="0"/>
        <w:spacing w:before="60" w:after="60"/>
        <w:rPr>
          <w:rFonts w:ascii="Titillium" w:hAnsi="Titillium"/>
          <w:b/>
          <w:sz w:val="36"/>
          <w:szCs w:val="36"/>
          <w:lang w:eastAsia="it-IT"/>
        </w:rPr>
      </w:pPr>
    </w:p>
    <w:p w14:paraId="37534DE1" w14:textId="77777777" w:rsidR="006842EE" w:rsidRPr="00C60EA2" w:rsidRDefault="006842EE">
      <w:pPr>
        <w:widowControl w:val="0"/>
        <w:spacing w:before="60" w:after="60"/>
        <w:jc w:val="center"/>
        <w:rPr>
          <w:rFonts w:ascii="Titillium" w:hAnsi="Titillium"/>
          <w:b/>
          <w:sz w:val="36"/>
          <w:szCs w:val="36"/>
          <w:lang w:eastAsia="it-IT"/>
        </w:rPr>
      </w:pPr>
    </w:p>
    <w:p w14:paraId="11DF796C" w14:textId="77777777" w:rsidR="006842EE" w:rsidRPr="00C60EA2" w:rsidRDefault="006842EE">
      <w:pPr>
        <w:widowControl w:val="0"/>
        <w:spacing w:before="60" w:after="60"/>
        <w:jc w:val="center"/>
        <w:rPr>
          <w:rFonts w:ascii="Titillium" w:hAnsi="Titillium"/>
          <w:b/>
          <w:sz w:val="36"/>
          <w:szCs w:val="36"/>
          <w:lang w:eastAsia="it-IT"/>
        </w:rPr>
      </w:pPr>
    </w:p>
    <w:p w14:paraId="4541DF0E" w14:textId="1B3FE356" w:rsidR="006842EE" w:rsidRPr="00E86008" w:rsidRDefault="008F2625">
      <w:pPr>
        <w:widowControl w:val="0"/>
        <w:spacing w:line="23" w:lineRule="atLeast"/>
        <w:ind w:left="567"/>
        <w:jc w:val="center"/>
        <w:rPr>
          <w:rFonts w:ascii="Titillium" w:hAnsi="Titillium"/>
          <w:b/>
          <w:sz w:val="32"/>
          <w:szCs w:val="32"/>
          <w:lang w:eastAsia="it-IT"/>
        </w:rPr>
      </w:pPr>
      <w:r w:rsidRPr="00E86008">
        <w:rPr>
          <w:rFonts w:ascii="Titillium" w:hAnsi="Titillium"/>
          <w:b/>
          <w:sz w:val="32"/>
          <w:szCs w:val="32"/>
          <w:lang w:eastAsia="it-IT"/>
        </w:rPr>
        <w:t>Bando tipo n. 2/202</w:t>
      </w:r>
      <w:r w:rsidR="00722501" w:rsidRPr="00E86008">
        <w:rPr>
          <w:rFonts w:ascii="Titillium" w:hAnsi="Titillium"/>
          <w:b/>
          <w:sz w:val="32"/>
          <w:szCs w:val="32"/>
          <w:lang w:eastAsia="it-IT"/>
        </w:rPr>
        <w:t>6</w:t>
      </w:r>
    </w:p>
    <w:p w14:paraId="0B16E61E" w14:textId="77777777" w:rsidR="006842EE" w:rsidRPr="00E86008" w:rsidRDefault="006842EE">
      <w:pPr>
        <w:widowControl w:val="0"/>
        <w:spacing w:before="60" w:after="60"/>
        <w:rPr>
          <w:rFonts w:ascii="Titillium" w:hAnsi="Titillium"/>
          <w:b/>
          <w:sz w:val="32"/>
          <w:szCs w:val="32"/>
          <w:lang w:eastAsia="it-IT"/>
        </w:rPr>
      </w:pPr>
    </w:p>
    <w:p w14:paraId="0886D210" w14:textId="77777777" w:rsidR="006842EE" w:rsidRPr="00C60EA2" w:rsidRDefault="006842EE">
      <w:pPr>
        <w:widowControl w:val="0"/>
        <w:spacing w:before="60" w:after="60"/>
        <w:rPr>
          <w:rFonts w:ascii="Titillium" w:hAnsi="Titillium"/>
          <w:b/>
          <w:sz w:val="36"/>
          <w:szCs w:val="36"/>
          <w:lang w:eastAsia="it-IT"/>
        </w:rPr>
      </w:pPr>
    </w:p>
    <w:p w14:paraId="37355607" w14:textId="77777777" w:rsidR="006842EE" w:rsidRPr="00C60EA2" w:rsidRDefault="006842EE">
      <w:pPr>
        <w:widowControl w:val="0"/>
        <w:spacing w:before="60" w:after="60"/>
        <w:rPr>
          <w:rFonts w:ascii="Titillium" w:hAnsi="Titillium"/>
          <w:b/>
          <w:sz w:val="36"/>
          <w:szCs w:val="36"/>
          <w:lang w:eastAsia="it-IT"/>
        </w:rPr>
      </w:pPr>
    </w:p>
    <w:p w14:paraId="14321673" w14:textId="77777777" w:rsidR="006842EE" w:rsidRPr="00C60EA2" w:rsidRDefault="006842EE">
      <w:pPr>
        <w:widowControl w:val="0"/>
        <w:spacing w:before="60" w:after="60"/>
        <w:rPr>
          <w:rFonts w:ascii="Titillium" w:hAnsi="Titillium"/>
          <w:b/>
          <w:sz w:val="36"/>
          <w:szCs w:val="36"/>
          <w:lang w:eastAsia="it-IT"/>
        </w:rPr>
      </w:pPr>
    </w:p>
    <w:p w14:paraId="6093ED54" w14:textId="77777777" w:rsidR="006842EE" w:rsidRPr="00C60EA2" w:rsidRDefault="008F2625">
      <w:pPr>
        <w:widowControl w:val="0"/>
        <w:spacing w:line="23" w:lineRule="atLeast"/>
        <w:ind w:left="567"/>
        <w:jc w:val="center"/>
        <w:rPr>
          <w:rFonts w:ascii="Titillium" w:hAnsi="Titillium"/>
          <w:b/>
          <w:szCs w:val="24"/>
          <w:lang w:eastAsia="it-IT"/>
        </w:rPr>
      </w:pPr>
      <w:r w:rsidRPr="00C60EA2">
        <w:rPr>
          <w:rFonts w:ascii="Titillium" w:hAnsi="Titillium"/>
          <w:b/>
          <w:szCs w:val="24"/>
          <w:lang w:eastAsia="it-IT"/>
        </w:rPr>
        <w:t>Schema di disciplinare di gara</w:t>
      </w:r>
    </w:p>
    <w:p w14:paraId="26048828" w14:textId="77777777" w:rsidR="006842EE" w:rsidRPr="00C60EA2" w:rsidRDefault="006842EE">
      <w:pPr>
        <w:widowControl w:val="0"/>
        <w:spacing w:line="23" w:lineRule="atLeast"/>
        <w:ind w:left="567"/>
        <w:rPr>
          <w:rFonts w:ascii="Titillium" w:hAnsi="Titillium"/>
          <w:b/>
          <w:szCs w:val="24"/>
          <w:lang w:eastAsia="it-IT"/>
        </w:rPr>
      </w:pPr>
    </w:p>
    <w:p w14:paraId="16E83BCD" w14:textId="77777777" w:rsidR="006842EE" w:rsidRPr="00C60EA2" w:rsidRDefault="006842EE">
      <w:pPr>
        <w:widowControl w:val="0"/>
        <w:spacing w:line="23" w:lineRule="atLeast"/>
        <w:ind w:left="567"/>
        <w:rPr>
          <w:rFonts w:ascii="Titillium" w:hAnsi="Titillium"/>
          <w:b/>
          <w:szCs w:val="24"/>
          <w:lang w:eastAsia="it-IT"/>
        </w:rPr>
      </w:pPr>
    </w:p>
    <w:p w14:paraId="664AF612" w14:textId="77777777" w:rsidR="006842EE" w:rsidRPr="00C60EA2" w:rsidRDefault="006842EE">
      <w:pPr>
        <w:widowControl w:val="0"/>
        <w:spacing w:line="23" w:lineRule="atLeast"/>
        <w:ind w:left="567"/>
        <w:rPr>
          <w:rFonts w:ascii="Titillium" w:hAnsi="Titillium"/>
          <w:b/>
          <w:szCs w:val="24"/>
          <w:lang w:eastAsia="it-IT"/>
        </w:rPr>
      </w:pPr>
    </w:p>
    <w:p w14:paraId="64CEFF22" w14:textId="77777777" w:rsidR="006842EE" w:rsidRPr="00C60EA2" w:rsidRDefault="008F2625">
      <w:pPr>
        <w:widowControl w:val="0"/>
        <w:spacing w:line="23" w:lineRule="atLeast"/>
        <w:ind w:left="567"/>
        <w:rPr>
          <w:rFonts w:ascii="Titillium" w:hAnsi="Titillium"/>
          <w:b/>
          <w:sz w:val="36"/>
          <w:szCs w:val="36"/>
          <w:lang w:eastAsia="it-IT"/>
        </w:rPr>
      </w:pPr>
      <w:r w:rsidRPr="00C60EA2">
        <w:rPr>
          <w:rFonts w:ascii="Titillium" w:hAnsi="Titillium"/>
          <w:b/>
          <w:szCs w:val="24"/>
          <w:lang w:eastAsia="it-IT"/>
        </w:rPr>
        <w:t>Procedura aperta per l’affidamento di contratti pubblici di servizi di architettura e ingegneria di importo pari o superiore alle soglie di rilevanza europea di cui all’articolo 14 del decreto legislativo 31 marzo 2023, n. 36 con il criterio dell’offerta economicamente più vantaggiosa sulla base del miglior rapporto qualità/prezzo.</w:t>
      </w:r>
    </w:p>
    <w:p w14:paraId="741E9916" w14:textId="77777777" w:rsidR="006842EE" w:rsidRPr="00C60EA2" w:rsidRDefault="006842EE">
      <w:pPr>
        <w:widowControl w:val="0"/>
        <w:spacing w:before="60" w:after="60"/>
        <w:rPr>
          <w:rFonts w:ascii="Titillium" w:hAnsi="Titillium"/>
          <w:b/>
          <w:sz w:val="36"/>
          <w:szCs w:val="36"/>
          <w:lang w:eastAsia="it-IT"/>
        </w:rPr>
      </w:pPr>
    </w:p>
    <w:p w14:paraId="54E3C3BF" w14:textId="77777777" w:rsidR="006842EE" w:rsidRPr="00C60EA2" w:rsidRDefault="006842EE">
      <w:pPr>
        <w:widowControl w:val="0"/>
        <w:spacing w:before="60" w:after="60"/>
        <w:rPr>
          <w:rFonts w:ascii="Titillium" w:hAnsi="Titillium"/>
          <w:b/>
          <w:sz w:val="36"/>
          <w:szCs w:val="36"/>
          <w:lang w:eastAsia="it-IT"/>
        </w:rPr>
      </w:pPr>
    </w:p>
    <w:p w14:paraId="40D95FD0" w14:textId="5FD6602C" w:rsidR="006842EE" w:rsidRPr="00C60EA2" w:rsidRDefault="008F2625">
      <w:pPr>
        <w:widowControl w:val="0"/>
        <w:spacing w:before="60" w:after="60"/>
        <w:ind w:firstLine="567"/>
        <w:jc w:val="left"/>
        <w:rPr>
          <w:rFonts w:ascii="Titillium" w:hAnsi="Titillium"/>
          <w:sz w:val="18"/>
          <w:szCs w:val="18"/>
          <w:lang w:eastAsia="it-IT"/>
        </w:rPr>
      </w:pPr>
      <w:r w:rsidRPr="00C60EA2">
        <w:rPr>
          <w:rFonts w:ascii="Titillium" w:hAnsi="Titillium"/>
          <w:sz w:val="18"/>
          <w:szCs w:val="18"/>
          <w:lang w:eastAsia="it-IT"/>
        </w:rPr>
        <w:t>Approvato dal Consiglio dell’Autorità con delibera n.</w:t>
      </w:r>
      <w:r w:rsidR="00F041CA">
        <w:rPr>
          <w:rFonts w:ascii="Titillium" w:hAnsi="Titillium"/>
          <w:sz w:val="18"/>
          <w:szCs w:val="18"/>
          <w:lang w:eastAsia="it-IT"/>
        </w:rPr>
        <w:t xml:space="preserve"> 153 d</w:t>
      </w:r>
      <w:r w:rsidR="00F44787">
        <w:rPr>
          <w:rFonts w:ascii="Titillium" w:hAnsi="Titillium"/>
          <w:sz w:val="18"/>
          <w:szCs w:val="18"/>
          <w:lang w:eastAsia="it-IT"/>
        </w:rPr>
        <w:t xml:space="preserve">el 15 aprile 2026 </w:t>
      </w:r>
    </w:p>
    <w:p w14:paraId="6E3D77D7" w14:textId="77777777" w:rsidR="006842EE" w:rsidRPr="00C60EA2" w:rsidRDefault="008F2625">
      <w:pPr>
        <w:widowControl w:val="0"/>
        <w:spacing w:before="60" w:after="60"/>
        <w:jc w:val="left"/>
      </w:pPr>
      <w:r w:rsidRPr="00C60EA2">
        <w:rPr>
          <w:rFonts w:ascii="Titillium" w:hAnsi="Titillium"/>
          <w:sz w:val="18"/>
          <w:szCs w:val="18"/>
          <w:lang w:eastAsia="it-IT"/>
        </w:rPr>
        <w:t xml:space="preserve"> </w:t>
      </w:r>
      <w:r w:rsidRPr="00C60EA2">
        <w:br w:type="page"/>
      </w:r>
    </w:p>
    <w:p w14:paraId="472B65AC" w14:textId="77777777" w:rsidR="006842EE" w:rsidRDefault="006842EE">
      <w:pPr>
        <w:widowControl w:val="0"/>
        <w:spacing w:before="60" w:after="60"/>
        <w:jc w:val="left"/>
      </w:pPr>
    </w:p>
    <w:p w14:paraId="66E846FB" w14:textId="77777777" w:rsidR="006842EE" w:rsidRDefault="006842EE">
      <w:pPr>
        <w:widowControl w:val="0"/>
        <w:spacing w:before="60" w:after="60"/>
        <w:jc w:val="left"/>
        <w:rPr>
          <w:rFonts w:ascii="Titillium" w:hAnsi="Titillium"/>
          <w:b/>
          <w:w w:val="66"/>
          <w:szCs w:val="24"/>
          <w:lang w:eastAsia="it-IT"/>
        </w:rPr>
      </w:pPr>
    </w:p>
    <w:p w14:paraId="77F800AB" w14:textId="77777777" w:rsidR="006842EE" w:rsidRDefault="006842EE">
      <w:pPr>
        <w:sectPr w:rsidR="006842EE" w:rsidSect="001C447C">
          <w:headerReference w:type="default" r:id="rId11"/>
          <w:footerReference w:type="default" r:id="rId12"/>
          <w:pgSz w:w="11906" w:h="16838"/>
          <w:pgMar w:top="1418" w:right="1134" w:bottom="680" w:left="1548" w:header="851" w:footer="454" w:gutter="0"/>
          <w:cols w:space="720"/>
          <w:formProt w:val="0"/>
          <w:docGrid w:linePitch="326"/>
        </w:sectPr>
      </w:pPr>
    </w:p>
    <w:p w14:paraId="003E9922" w14:textId="77777777" w:rsidR="006842EE" w:rsidRDefault="006842EE">
      <w:pPr>
        <w:spacing w:line="240" w:lineRule="auto"/>
        <w:jc w:val="left"/>
        <w:rPr>
          <w:rFonts w:ascii="Titillium" w:hAnsi="Titillium"/>
          <w:b/>
          <w:w w:val="66"/>
          <w:szCs w:val="24"/>
          <w:lang w:eastAsia="it-IT"/>
        </w:rPr>
      </w:pPr>
    </w:p>
    <w:sdt>
      <w:sdtPr>
        <w:rPr>
          <w:bCs w:val="0"/>
          <w:smallCaps/>
        </w:rPr>
        <w:id w:val="177076993"/>
        <w:docPartObj>
          <w:docPartGallery w:val="Table of Contents"/>
          <w:docPartUnique/>
        </w:docPartObj>
      </w:sdtPr>
      <w:sdtEndPr/>
      <w:sdtContent>
        <w:p w14:paraId="7B98C5B8" w14:textId="240A2C89" w:rsidR="000066DA" w:rsidRPr="000066DA" w:rsidRDefault="008F2625">
          <w:pPr>
            <w:pStyle w:val="Sommario1"/>
            <w:rPr>
              <w:rFonts w:ascii="Titillium" w:eastAsiaTheme="minorEastAsia" w:hAnsi="Titillium" w:cstheme="minorBidi"/>
              <w:bCs w:val="0"/>
              <w:noProof/>
              <w:kern w:val="2"/>
              <w:lang w:eastAsia="it-IT"/>
              <w14:ligatures w14:val="standardContextual"/>
            </w:rPr>
          </w:pPr>
          <w:r>
            <w:fldChar w:fldCharType="begin"/>
          </w:r>
          <w:r>
            <w:rPr>
              <w:rStyle w:val="Saltoaindice"/>
              <w:rFonts w:ascii="Titillium" w:hAnsi="Titillium"/>
            </w:rPr>
            <w:instrText>TOC \o "1-3" \h</w:instrText>
          </w:r>
          <w:r>
            <w:rPr>
              <w:rStyle w:val="Saltoaindice"/>
              <w:rFonts w:ascii="Titillium" w:hAnsi="Titillium"/>
            </w:rPr>
            <w:fldChar w:fldCharType="separate"/>
          </w:r>
          <w:hyperlink w:anchor="_Toc227921608" w:history="1">
            <w:r w:rsidR="000066DA" w:rsidRPr="000066DA">
              <w:rPr>
                <w:rStyle w:val="Collegamentoipertestuale"/>
                <w:rFonts w:ascii="Titillium" w:hAnsi="Titillium"/>
                <w:noProof/>
              </w:rPr>
              <w:t>AMBITO DI APPLICAZIONE E ISTRUZIONI PER LA COMPILAZIONE</w:t>
            </w:r>
            <w:r w:rsidR="000066DA" w:rsidRPr="000066DA">
              <w:rPr>
                <w:rFonts w:ascii="Titillium" w:hAnsi="Titillium"/>
                <w:noProof/>
              </w:rPr>
              <w:tab/>
            </w:r>
            <w:r w:rsidR="000066DA" w:rsidRPr="000066DA">
              <w:rPr>
                <w:rFonts w:ascii="Titillium" w:hAnsi="Titillium"/>
                <w:noProof/>
              </w:rPr>
              <w:fldChar w:fldCharType="begin"/>
            </w:r>
            <w:r w:rsidR="000066DA" w:rsidRPr="000066DA">
              <w:rPr>
                <w:rFonts w:ascii="Titillium" w:hAnsi="Titillium"/>
                <w:noProof/>
              </w:rPr>
              <w:instrText xml:space="preserve"> PAGEREF _Toc227921608 \h </w:instrText>
            </w:r>
            <w:r w:rsidR="000066DA" w:rsidRPr="000066DA">
              <w:rPr>
                <w:rFonts w:ascii="Titillium" w:hAnsi="Titillium"/>
                <w:noProof/>
              </w:rPr>
            </w:r>
            <w:r w:rsidR="000066DA" w:rsidRPr="000066DA">
              <w:rPr>
                <w:rFonts w:ascii="Titillium" w:hAnsi="Titillium"/>
                <w:noProof/>
              </w:rPr>
              <w:fldChar w:fldCharType="separate"/>
            </w:r>
            <w:r w:rsidR="00862788">
              <w:rPr>
                <w:rFonts w:ascii="Titillium" w:hAnsi="Titillium"/>
                <w:noProof/>
              </w:rPr>
              <w:t>4</w:t>
            </w:r>
            <w:r w:rsidR="000066DA" w:rsidRPr="000066DA">
              <w:rPr>
                <w:rFonts w:ascii="Titillium" w:hAnsi="Titillium"/>
                <w:noProof/>
              </w:rPr>
              <w:fldChar w:fldCharType="end"/>
            </w:r>
          </w:hyperlink>
        </w:p>
        <w:p w14:paraId="2EE61C08" w14:textId="411000A0" w:rsidR="000066DA" w:rsidRPr="000066DA" w:rsidRDefault="00D26F03">
          <w:pPr>
            <w:pStyle w:val="Sommario1"/>
            <w:rPr>
              <w:rFonts w:ascii="Titillium" w:eastAsiaTheme="minorEastAsia" w:hAnsi="Titillium" w:cstheme="minorBidi"/>
              <w:bCs w:val="0"/>
              <w:noProof/>
              <w:kern w:val="2"/>
              <w:lang w:eastAsia="it-IT"/>
              <w14:ligatures w14:val="standardContextual"/>
            </w:rPr>
          </w:pPr>
          <w:hyperlink w:anchor="_Toc227921609" w:history="1">
            <w:r w:rsidR="000066DA" w:rsidRPr="000066DA">
              <w:rPr>
                <w:rStyle w:val="Collegamentoipertestuale"/>
                <w:rFonts w:ascii="Titillium" w:hAnsi="Titillium"/>
                <w:noProof/>
              </w:rPr>
              <w:t>DISCIPLINARE DI GARA</w:t>
            </w:r>
            <w:r w:rsidR="000066DA" w:rsidRPr="000066DA">
              <w:rPr>
                <w:rFonts w:ascii="Titillium" w:hAnsi="Titillium"/>
                <w:noProof/>
              </w:rPr>
              <w:tab/>
            </w:r>
            <w:r w:rsidR="000066DA" w:rsidRPr="000066DA">
              <w:rPr>
                <w:rFonts w:ascii="Titillium" w:hAnsi="Titillium"/>
                <w:noProof/>
              </w:rPr>
              <w:fldChar w:fldCharType="begin"/>
            </w:r>
            <w:r w:rsidR="000066DA" w:rsidRPr="000066DA">
              <w:rPr>
                <w:rFonts w:ascii="Titillium" w:hAnsi="Titillium"/>
                <w:noProof/>
              </w:rPr>
              <w:instrText xml:space="preserve"> PAGEREF _Toc227921609 \h </w:instrText>
            </w:r>
            <w:r w:rsidR="000066DA" w:rsidRPr="000066DA">
              <w:rPr>
                <w:rFonts w:ascii="Titillium" w:hAnsi="Titillium"/>
                <w:noProof/>
              </w:rPr>
            </w:r>
            <w:r w:rsidR="000066DA" w:rsidRPr="000066DA">
              <w:rPr>
                <w:rFonts w:ascii="Titillium" w:hAnsi="Titillium"/>
                <w:noProof/>
              </w:rPr>
              <w:fldChar w:fldCharType="separate"/>
            </w:r>
            <w:r w:rsidR="00862788">
              <w:rPr>
                <w:rFonts w:ascii="Titillium" w:hAnsi="Titillium"/>
                <w:noProof/>
              </w:rPr>
              <w:t>6</w:t>
            </w:r>
            <w:r w:rsidR="000066DA" w:rsidRPr="000066DA">
              <w:rPr>
                <w:rFonts w:ascii="Titillium" w:hAnsi="Titillium"/>
                <w:noProof/>
              </w:rPr>
              <w:fldChar w:fldCharType="end"/>
            </w:r>
          </w:hyperlink>
        </w:p>
        <w:p w14:paraId="4CCE1FDE" w14:textId="59F3A5F7" w:rsidR="000066DA" w:rsidRPr="000066DA" w:rsidRDefault="00D26F03">
          <w:pPr>
            <w:pStyle w:val="Sommario2"/>
            <w:rPr>
              <w:rFonts w:ascii="Titillium" w:eastAsiaTheme="minorEastAsia" w:hAnsi="Titillium" w:cstheme="minorBidi"/>
              <w:smallCaps w:val="0"/>
              <w:noProof/>
              <w:kern w:val="2"/>
              <w:lang w:eastAsia="it-IT"/>
              <w14:ligatures w14:val="standardContextual"/>
            </w:rPr>
          </w:pPr>
          <w:hyperlink w:anchor="_Toc227921610" w:history="1">
            <w:r w:rsidR="000066DA" w:rsidRPr="000066DA">
              <w:rPr>
                <w:rStyle w:val="Collegamentoipertestuale"/>
                <w:rFonts w:ascii="Titillium" w:hAnsi="Titillium"/>
                <w:noProof/>
              </w:rPr>
              <w:t>PREMESSE</w:t>
            </w:r>
            <w:r w:rsidR="000066DA" w:rsidRPr="000066DA">
              <w:rPr>
                <w:rFonts w:ascii="Titillium" w:hAnsi="Titillium"/>
                <w:noProof/>
              </w:rPr>
              <w:tab/>
            </w:r>
            <w:r w:rsidR="000066DA" w:rsidRPr="000066DA">
              <w:rPr>
                <w:rFonts w:ascii="Titillium" w:hAnsi="Titillium"/>
                <w:noProof/>
              </w:rPr>
              <w:fldChar w:fldCharType="begin"/>
            </w:r>
            <w:r w:rsidR="000066DA" w:rsidRPr="000066DA">
              <w:rPr>
                <w:rFonts w:ascii="Titillium" w:hAnsi="Titillium"/>
                <w:noProof/>
              </w:rPr>
              <w:instrText xml:space="preserve"> PAGEREF _Toc227921610 \h </w:instrText>
            </w:r>
            <w:r w:rsidR="000066DA" w:rsidRPr="000066DA">
              <w:rPr>
                <w:rFonts w:ascii="Titillium" w:hAnsi="Titillium"/>
                <w:noProof/>
              </w:rPr>
            </w:r>
            <w:r w:rsidR="000066DA" w:rsidRPr="000066DA">
              <w:rPr>
                <w:rFonts w:ascii="Titillium" w:hAnsi="Titillium"/>
                <w:noProof/>
              </w:rPr>
              <w:fldChar w:fldCharType="separate"/>
            </w:r>
            <w:r w:rsidR="00862788">
              <w:rPr>
                <w:rFonts w:ascii="Titillium" w:hAnsi="Titillium"/>
                <w:noProof/>
              </w:rPr>
              <w:t>6</w:t>
            </w:r>
            <w:r w:rsidR="000066DA" w:rsidRPr="000066DA">
              <w:rPr>
                <w:rFonts w:ascii="Titillium" w:hAnsi="Titillium"/>
                <w:noProof/>
              </w:rPr>
              <w:fldChar w:fldCharType="end"/>
            </w:r>
          </w:hyperlink>
        </w:p>
        <w:p w14:paraId="1AA973FF" w14:textId="6DEF5E5E" w:rsidR="000066DA" w:rsidRPr="000066DA" w:rsidRDefault="00D26F03">
          <w:pPr>
            <w:pStyle w:val="Sommario2"/>
            <w:rPr>
              <w:rFonts w:ascii="Titillium" w:eastAsiaTheme="minorEastAsia" w:hAnsi="Titillium" w:cstheme="minorBidi"/>
              <w:smallCaps w:val="0"/>
              <w:noProof/>
              <w:kern w:val="2"/>
              <w:lang w:eastAsia="it-IT"/>
              <w14:ligatures w14:val="standardContextual"/>
            </w:rPr>
          </w:pPr>
          <w:hyperlink w:anchor="_Toc227921611" w:history="1">
            <w:r w:rsidR="000066DA" w:rsidRPr="000066DA">
              <w:rPr>
                <w:rStyle w:val="Collegamentoipertestuale"/>
                <w:rFonts w:ascii="Titillium" w:hAnsi="Titillium"/>
                <w:noProof/>
              </w:rPr>
              <w:t>1.</w:t>
            </w:r>
            <w:r w:rsidR="000066DA" w:rsidRPr="000066DA">
              <w:rPr>
                <w:rFonts w:ascii="Titillium" w:eastAsiaTheme="minorEastAsia" w:hAnsi="Titillium" w:cstheme="minorBidi"/>
                <w:smallCaps w:val="0"/>
                <w:noProof/>
                <w:kern w:val="2"/>
                <w:lang w:eastAsia="it-IT"/>
                <w14:ligatures w14:val="standardContextual"/>
              </w:rPr>
              <w:tab/>
            </w:r>
            <w:r w:rsidR="000066DA" w:rsidRPr="000066DA">
              <w:rPr>
                <w:rStyle w:val="Collegamentoipertestuale"/>
                <w:rFonts w:ascii="Titillium" w:hAnsi="Titillium"/>
                <w:noProof/>
              </w:rPr>
              <w:t>PIATTAFORMA</w:t>
            </w:r>
            <w:r w:rsidR="000066DA" w:rsidRPr="000066DA">
              <w:rPr>
                <w:rFonts w:ascii="Titillium" w:hAnsi="Titillium"/>
                <w:noProof/>
              </w:rPr>
              <w:tab/>
            </w:r>
            <w:r w:rsidR="000066DA" w:rsidRPr="000066DA">
              <w:rPr>
                <w:rFonts w:ascii="Titillium" w:hAnsi="Titillium"/>
                <w:noProof/>
              </w:rPr>
              <w:fldChar w:fldCharType="begin"/>
            </w:r>
            <w:r w:rsidR="000066DA" w:rsidRPr="000066DA">
              <w:rPr>
                <w:rFonts w:ascii="Titillium" w:hAnsi="Titillium"/>
                <w:noProof/>
              </w:rPr>
              <w:instrText xml:space="preserve"> PAGEREF _Toc227921611 \h </w:instrText>
            </w:r>
            <w:r w:rsidR="000066DA" w:rsidRPr="000066DA">
              <w:rPr>
                <w:rFonts w:ascii="Titillium" w:hAnsi="Titillium"/>
                <w:noProof/>
              </w:rPr>
            </w:r>
            <w:r w:rsidR="000066DA" w:rsidRPr="000066DA">
              <w:rPr>
                <w:rFonts w:ascii="Titillium" w:hAnsi="Titillium"/>
                <w:noProof/>
              </w:rPr>
              <w:fldChar w:fldCharType="separate"/>
            </w:r>
            <w:r w:rsidR="00862788">
              <w:rPr>
                <w:rFonts w:ascii="Titillium" w:hAnsi="Titillium"/>
                <w:noProof/>
              </w:rPr>
              <w:t>7</w:t>
            </w:r>
            <w:r w:rsidR="000066DA" w:rsidRPr="000066DA">
              <w:rPr>
                <w:rFonts w:ascii="Titillium" w:hAnsi="Titillium"/>
                <w:noProof/>
              </w:rPr>
              <w:fldChar w:fldCharType="end"/>
            </w:r>
          </w:hyperlink>
        </w:p>
        <w:p w14:paraId="71D3CA23" w14:textId="31C2790A" w:rsidR="000066DA" w:rsidRPr="000066DA" w:rsidRDefault="00D26F03">
          <w:pPr>
            <w:pStyle w:val="Sommario3"/>
            <w:rPr>
              <w:rFonts w:cstheme="minorBidi"/>
              <w:iCs w:val="0"/>
              <w:noProof/>
              <w:kern w:val="2"/>
              <w:lang w:eastAsia="it-IT"/>
              <w14:ligatures w14:val="standardContextual"/>
            </w:rPr>
          </w:pPr>
          <w:hyperlink w:anchor="_Toc227921612" w:history="1">
            <w:r w:rsidR="000066DA" w:rsidRPr="000066DA">
              <w:rPr>
                <w:rStyle w:val="Collegamentoipertestuale"/>
                <w:noProof/>
              </w:rPr>
              <w:t>1.1.</w:t>
            </w:r>
            <w:r w:rsidR="000066DA" w:rsidRPr="000066DA">
              <w:rPr>
                <w:rFonts w:cstheme="minorBidi"/>
                <w:iCs w:val="0"/>
                <w:noProof/>
                <w:kern w:val="2"/>
                <w:lang w:eastAsia="it-IT"/>
                <w14:ligatures w14:val="standardContextual"/>
              </w:rPr>
              <w:tab/>
            </w:r>
            <w:r w:rsidR="000066DA" w:rsidRPr="000066DA">
              <w:rPr>
                <w:rStyle w:val="Collegamentoipertestuale"/>
                <w:noProof/>
              </w:rPr>
              <w:t>LA PIATTAFORMA  DI APPROVIGGIONAMENTO DIGITALE (PAD)</w:t>
            </w:r>
            <w:r w:rsidR="000066DA" w:rsidRPr="000066DA">
              <w:rPr>
                <w:noProof/>
              </w:rPr>
              <w:tab/>
            </w:r>
            <w:r w:rsidR="000066DA" w:rsidRPr="000066DA">
              <w:rPr>
                <w:noProof/>
              </w:rPr>
              <w:fldChar w:fldCharType="begin"/>
            </w:r>
            <w:r w:rsidR="000066DA" w:rsidRPr="000066DA">
              <w:rPr>
                <w:noProof/>
              </w:rPr>
              <w:instrText xml:space="preserve"> PAGEREF _Toc227921612 \h </w:instrText>
            </w:r>
            <w:r w:rsidR="000066DA" w:rsidRPr="000066DA">
              <w:rPr>
                <w:noProof/>
              </w:rPr>
            </w:r>
            <w:r w:rsidR="000066DA" w:rsidRPr="000066DA">
              <w:rPr>
                <w:noProof/>
              </w:rPr>
              <w:fldChar w:fldCharType="separate"/>
            </w:r>
            <w:r w:rsidR="00862788">
              <w:rPr>
                <w:noProof/>
              </w:rPr>
              <w:t>7</w:t>
            </w:r>
            <w:r w:rsidR="000066DA" w:rsidRPr="000066DA">
              <w:rPr>
                <w:noProof/>
              </w:rPr>
              <w:fldChar w:fldCharType="end"/>
            </w:r>
          </w:hyperlink>
        </w:p>
        <w:p w14:paraId="64FE8C03" w14:textId="79946D16" w:rsidR="000066DA" w:rsidRPr="000066DA" w:rsidRDefault="00D26F03">
          <w:pPr>
            <w:pStyle w:val="Sommario3"/>
            <w:rPr>
              <w:rFonts w:cstheme="minorBidi"/>
              <w:iCs w:val="0"/>
              <w:noProof/>
              <w:kern w:val="2"/>
              <w:lang w:eastAsia="it-IT"/>
              <w14:ligatures w14:val="standardContextual"/>
            </w:rPr>
          </w:pPr>
          <w:hyperlink w:anchor="_Toc227921613" w:history="1">
            <w:r w:rsidR="000066DA" w:rsidRPr="000066DA">
              <w:rPr>
                <w:rStyle w:val="Collegamentoipertestuale"/>
                <w:noProof/>
              </w:rPr>
              <w:t>1.2.</w:t>
            </w:r>
            <w:r w:rsidR="000066DA" w:rsidRPr="000066DA">
              <w:rPr>
                <w:rFonts w:cstheme="minorBidi"/>
                <w:iCs w:val="0"/>
                <w:noProof/>
                <w:kern w:val="2"/>
                <w:lang w:eastAsia="it-IT"/>
                <w14:ligatures w14:val="standardContextual"/>
              </w:rPr>
              <w:tab/>
            </w:r>
            <w:r w:rsidR="000066DA" w:rsidRPr="000066DA">
              <w:rPr>
                <w:rStyle w:val="Collegamentoipertestuale"/>
                <w:noProof/>
              </w:rPr>
              <w:t>DOTAZIONI TECNICHE</w:t>
            </w:r>
            <w:r w:rsidR="000066DA" w:rsidRPr="000066DA">
              <w:rPr>
                <w:noProof/>
              </w:rPr>
              <w:tab/>
            </w:r>
            <w:r w:rsidR="000066DA" w:rsidRPr="000066DA">
              <w:rPr>
                <w:noProof/>
              </w:rPr>
              <w:fldChar w:fldCharType="begin"/>
            </w:r>
            <w:r w:rsidR="000066DA" w:rsidRPr="000066DA">
              <w:rPr>
                <w:noProof/>
              </w:rPr>
              <w:instrText xml:space="preserve"> PAGEREF _Toc227921613 \h </w:instrText>
            </w:r>
            <w:r w:rsidR="000066DA" w:rsidRPr="000066DA">
              <w:rPr>
                <w:noProof/>
              </w:rPr>
            </w:r>
            <w:r w:rsidR="000066DA" w:rsidRPr="000066DA">
              <w:rPr>
                <w:noProof/>
              </w:rPr>
              <w:fldChar w:fldCharType="separate"/>
            </w:r>
            <w:r w:rsidR="00862788">
              <w:rPr>
                <w:noProof/>
              </w:rPr>
              <w:t>8</w:t>
            </w:r>
            <w:r w:rsidR="000066DA" w:rsidRPr="000066DA">
              <w:rPr>
                <w:noProof/>
              </w:rPr>
              <w:fldChar w:fldCharType="end"/>
            </w:r>
          </w:hyperlink>
        </w:p>
        <w:p w14:paraId="144E2D21" w14:textId="5D5B0506" w:rsidR="000066DA" w:rsidRPr="000066DA" w:rsidRDefault="00D26F03">
          <w:pPr>
            <w:pStyle w:val="Sommario3"/>
            <w:rPr>
              <w:rFonts w:cstheme="minorBidi"/>
              <w:iCs w:val="0"/>
              <w:noProof/>
              <w:kern w:val="2"/>
              <w:lang w:eastAsia="it-IT"/>
              <w14:ligatures w14:val="standardContextual"/>
            </w:rPr>
          </w:pPr>
          <w:hyperlink w:anchor="_Toc227921614" w:history="1">
            <w:r w:rsidR="000066DA" w:rsidRPr="000066DA">
              <w:rPr>
                <w:rStyle w:val="Collegamentoipertestuale"/>
                <w:noProof/>
              </w:rPr>
              <w:t>1.3.</w:t>
            </w:r>
            <w:r w:rsidR="000066DA" w:rsidRPr="000066DA">
              <w:rPr>
                <w:rFonts w:cstheme="minorBidi"/>
                <w:iCs w:val="0"/>
                <w:noProof/>
                <w:kern w:val="2"/>
                <w:lang w:eastAsia="it-IT"/>
                <w14:ligatures w14:val="standardContextual"/>
              </w:rPr>
              <w:tab/>
            </w:r>
            <w:r w:rsidR="000066DA" w:rsidRPr="000066DA">
              <w:rPr>
                <w:rStyle w:val="Collegamentoipertestuale"/>
                <w:noProof/>
              </w:rPr>
              <w:t>IDENTIFICAZIONE</w:t>
            </w:r>
            <w:r w:rsidR="000066DA" w:rsidRPr="000066DA">
              <w:rPr>
                <w:noProof/>
              </w:rPr>
              <w:tab/>
            </w:r>
            <w:r w:rsidR="000066DA" w:rsidRPr="000066DA">
              <w:rPr>
                <w:noProof/>
              </w:rPr>
              <w:fldChar w:fldCharType="begin"/>
            </w:r>
            <w:r w:rsidR="000066DA" w:rsidRPr="000066DA">
              <w:rPr>
                <w:noProof/>
              </w:rPr>
              <w:instrText xml:space="preserve"> PAGEREF _Toc227921614 \h </w:instrText>
            </w:r>
            <w:r w:rsidR="000066DA" w:rsidRPr="000066DA">
              <w:rPr>
                <w:noProof/>
              </w:rPr>
            </w:r>
            <w:r w:rsidR="000066DA" w:rsidRPr="000066DA">
              <w:rPr>
                <w:noProof/>
              </w:rPr>
              <w:fldChar w:fldCharType="separate"/>
            </w:r>
            <w:r w:rsidR="00862788">
              <w:rPr>
                <w:noProof/>
              </w:rPr>
              <w:t>9</w:t>
            </w:r>
            <w:r w:rsidR="000066DA" w:rsidRPr="000066DA">
              <w:rPr>
                <w:noProof/>
              </w:rPr>
              <w:fldChar w:fldCharType="end"/>
            </w:r>
          </w:hyperlink>
        </w:p>
        <w:p w14:paraId="1625FCE5" w14:textId="75ED95EE" w:rsidR="000066DA" w:rsidRPr="000066DA" w:rsidRDefault="00D26F03">
          <w:pPr>
            <w:pStyle w:val="Sommario2"/>
            <w:rPr>
              <w:rFonts w:ascii="Titillium" w:eastAsiaTheme="minorEastAsia" w:hAnsi="Titillium" w:cstheme="minorBidi"/>
              <w:smallCaps w:val="0"/>
              <w:noProof/>
              <w:kern w:val="2"/>
              <w:lang w:eastAsia="it-IT"/>
              <w14:ligatures w14:val="standardContextual"/>
            </w:rPr>
          </w:pPr>
          <w:hyperlink w:anchor="_Toc227921615" w:history="1">
            <w:r w:rsidR="000066DA" w:rsidRPr="000066DA">
              <w:rPr>
                <w:rStyle w:val="Collegamentoipertestuale"/>
                <w:rFonts w:ascii="Titillium" w:hAnsi="Titillium"/>
                <w:noProof/>
              </w:rPr>
              <w:t>2.</w:t>
            </w:r>
            <w:r w:rsidR="000066DA" w:rsidRPr="000066DA">
              <w:rPr>
                <w:rFonts w:ascii="Titillium" w:eastAsiaTheme="minorEastAsia" w:hAnsi="Titillium" w:cstheme="minorBidi"/>
                <w:smallCaps w:val="0"/>
                <w:noProof/>
                <w:kern w:val="2"/>
                <w:lang w:eastAsia="it-IT"/>
                <w14:ligatures w14:val="standardContextual"/>
              </w:rPr>
              <w:tab/>
            </w:r>
            <w:r w:rsidR="000066DA" w:rsidRPr="000066DA">
              <w:rPr>
                <w:rStyle w:val="Collegamentoipertestuale"/>
                <w:rFonts w:ascii="Titillium" w:hAnsi="Titillium"/>
                <w:noProof/>
              </w:rPr>
              <w:t>DOCUMENTAZIONE DI GARA, CHIARIMENTI E COMUNICAZIONI</w:t>
            </w:r>
            <w:r w:rsidR="000066DA" w:rsidRPr="000066DA">
              <w:rPr>
                <w:rFonts w:ascii="Titillium" w:hAnsi="Titillium"/>
                <w:noProof/>
              </w:rPr>
              <w:tab/>
            </w:r>
            <w:r w:rsidR="000066DA" w:rsidRPr="000066DA">
              <w:rPr>
                <w:rFonts w:ascii="Titillium" w:hAnsi="Titillium"/>
                <w:noProof/>
              </w:rPr>
              <w:fldChar w:fldCharType="begin"/>
            </w:r>
            <w:r w:rsidR="000066DA" w:rsidRPr="000066DA">
              <w:rPr>
                <w:rFonts w:ascii="Titillium" w:hAnsi="Titillium"/>
                <w:noProof/>
              </w:rPr>
              <w:instrText xml:space="preserve"> PAGEREF _Toc227921615 \h </w:instrText>
            </w:r>
            <w:r w:rsidR="000066DA" w:rsidRPr="000066DA">
              <w:rPr>
                <w:rFonts w:ascii="Titillium" w:hAnsi="Titillium"/>
                <w:noProof/>
              </w:rPr>
            </w:r>
            <w:r w:rsidR="000066DA" w:rsidRPr="000066DA">
              <w:rPr>
                <w:rFonts w:ascii="Titillium" w:hAnsi="Titillium"/>
                <w:noProof/>
              </w:rPr>
              <w:fldChar w:fldCharType="separate"/>
            </w:r>
            <w:r w:rsidR="00862788">
              <w:rPr>
                <w:rFonts w:ascii="Titillium" w:hAnsi="Titillium"/>
                <w:noProof/>
              </w:rPr>
              <w:t>9</w:t>
            </w:r>
            <w:r w:rsidR="000066DA" w:rsidRPr="000066DA">
              <w:rPr>
                <w:rFonts w:ascii="Titillium" w:hAnsi="Titillium"/>
                <w:noProof/>
              </w:rPr>
              <w:fldChar w:fldCharType="end"/>
            </w:r>
          </w:hyperlink>
        </w:p>
        <w:p w14:paraId="4A638F9E" w14:textId="5A0D067C" w:rsidR="000066DA" w:rsidRPr="000066DA" w:rsidRDefault="00D26F03">
          <w:pPr>
            <w:pStyle w:val="Sommario3"/>
            <w:rPr>
              <w:rFonts w:cstheme="minorBidi"/>
              <w:iCs w:val="0"/>
              <w:noProof/>
              <w:kern w:val="2"/>
              <w:lang w:eastAsia="it-IT"/>
              <w14:ligatures w14:val="standardContextual"/>
            </w:rPr>
          </w:pPr>
          <w:hyperlink w:anchor="_Toc227921616" w:history="1">
            <w:r w:rsidR="000066DA" w:rsidRPr="000066DA">
              <w:rPr>
                <w:rStyle w:val="Collegamentoipertestuale"/>
                <w:noProof/>
              </w:rPr>
              <w:t>2.1.</w:t>
            </w:r>
            <w:r w:rsidR="000066DA" w:rsidRPr="000066DA">
              <w:rPr>
                <w:rFonts w:cstheme="minorBidi"/>
                <w:iCs w:val="0"/>
                <w:noProof/>
                <w:kern w:val="2"/>
                <w:lang w:eastAsia="it-IT"/>
                <w14:ligatures w14:val="standardContextual"/>
              </w:rPr>
              <w:tab/>
            </w:r>
            <w:r w:rsidR="000066DA" w:rsidRPr="000066DA">
              <w:rPr>
                <w:rStyle w:val="Collegamentoipertestuale"/>
                <w:noProof/>
              </w:rPr>
              <w:t>DOCUMENTI DI GARA</w:t>
            </w:r>
            <w:r w:rsidR="000066DA" w:rsidRPr="000066DA">
              <w:rPr>
                <w:noProof/>
              </w:rPr>
              <w:tab/>
            </w:r>
            <w:r w:rsidR="000066DA" w:rsidRPr="000066DA">
              <w:rPr>
                <w:noProof/>
              </w:rPr>
              <w:fldChar w:fldCharType="begin"/>
            </w:r>
            <w:r w:rsidR="000066DA" w:rsidRPr="000066DA">
              <w:rPr>
                <w:noProof/>
              </w:rPr>
              <w:instrText xml:space="preserve"> PAGEREF _Toc227921616 \h </w:instrText>
            </w:r>
            <w:r w:rsidR="000066DA" w:rsidRPr="000066DA">
              <w:rPr>
                <w:noProof/>
              </w:rPr>
            </w:r>
            <w:r w:rsidR="000066DA" w:rsidRPr="000066DA">
              <w:rPr>
                <w:noProof/>
              </w:rPr>
              <w:fldChar w:fldCharType="separate"/>
            </w:r>
            <w:r w:rsidR="00862788">
              <w:rPr>
                <w:noProof/>
              </w:rPr>
              <w:t>9</w:t>
            </w:r>
            <w:r w:rsidR="000066DA" w:rsidRPr="000066DA">
              <w:rPr>
                <w:noProof/>
              </w:rPr>
              <w:fldChar w:fldCharType="end"/>
            </w:r>
          </w:hyperlink>
        </w:p>
        <w:p w14:paraId="6889839A" w14:textId="13FF060C" w:rsidR="000066DA" w:rsidRPr="000066DA" w:rsidRDefault="00D26F03">
          <w:pPr>
            <w:pStyle w:val="Sommario3"/>
            <w:rPr>
              <w:rFonts w:cstheme="minorBidi"/>
              <w:iCs w:val="0"/>
              <w:noProof/>
              <w:kern w:val="2"/>
              <w:lang w:eastAsia="it-IT"/>
              <w14:ligatures w14:val="standardContextual"/>
            </w:rPr>
          </w:pPr>
          <w:hyperlink w:anchor="_Toc227921617" w:history="1">
            <w:r w:rsidR="000066DA" w:rsidRPr="000066DA">
              <w:rPr>
                <w:rStyle w:val="Collegamentoipertestuale"/>
                <w:noProof/>
              </w:rPr>
              <w:t>2.2.</w:t>
            </w:r>
            <w:r w:rsidR="000066DA" w:rsidRPr="000066DA">
              <w:rPr>
                <w:rFonts w:cstheme="minorBidi"/>
                <w:iCs w:val="0"/>
                <w:noProof/>
                <w:kern w:val="2"/>
                <w:lang w:eastAsia="it-IT"/>
                <w14:ligatures w14:val="standardContextual"/>
              </w:rPr>
              <w:tab/>
            </w:r>
            <w:r w:rsidR="000066DA" w:rsidRPr="000066DA">
              <w:rPr>
                <w:rStyle w:val="Collegamentoipertestuale"/>
                <w:noProof/>
              </w:rPr>
              <w:t>CHIARIMENTI</w:t>
            </w:r>
            <w:r w:rsidR="000066DA" w:rsidRPr="000066DA">
              <w:rPr>
                <w:noProof/>
              </w:rPr>
              <w:tab/>
            </w:r>
            <w:r w:rsidR="000066DA" w:rsidRPr="000066DA">
              <w:rPr>
                <w:noProof/>
              </w:rPr>
              <w:fldChar w:fldCharType="begin"/>
            </w:r>
            <w:r w:rsidR="000066DA" w:rsidRPr="000066DA">
              <w:rPr>
                <w:noProof/>
              </w:rPr>
              <w:instrText xml:space="preserve"> PAGEREF _Toc227921617 \h </w:instrText>
            </w:r>
            <w:r w:rsidR="000066DA" w:rsidRPr="000066DA">
              <w:rPr>
                <w:noProof/>
              </w:rPr>
            </w:r>
            <w:r w:rsidR="000066DA" w:rsidRPr="000066DA">
              <w:rPr>
                <w:noProof/>
              </w:rPr>
              <w:fldChar w:fldCharType="separate"/>
            </w:r>
            <w:r w:rsidR="00862788">
              <w:rPr>
                <w:noProof/>
              </w:rPr>
              <w:t>10</w:t>
            </w:r>
            <w:r w:rsidR="000066DA" w:rsidRPr="000066DA">
              <w:rPr>
                <w:noProof/>
              </w:rPr>
              <w:fldChar w:fldCharType="end"/>
            </w:r>
          </w:hyperlink>
        </w:p>
        <w:p w14:paraId="7E8A97AA" w14:textId="0D437D56" w:rsidR="000066DA" w:rsidRPr="000066DA" w:rsidRDefault="00D26F03">
          <w:pPr>
            <w:pStyle w:val="Sommario3"/>
            <w:rPr>
              <w:rFonts w:cstheme="minorBidi"/>
              <w:iCs w:val="0"/>
              <w:noProof/>
              <w:kern w:val="2"/>
              <w:lang w:eastAsia="it-IT"/>
              <w14:ligatures w14:val="standardContextual"/>
            </w:rPr>
          </w:pPr>
          <w:hyperlink w:anchor="_Toc227921618" w:history="1">
            <w:r w:rsidR="000066DA" w:rsidRPr="000066DA">
              <w:rPr>
                <w:rStyle w:val="Collegamentoipertestuale"/>
                <w:noProof/>
              </w:rPr>
              <w:t>2.3. COMUNICAZIONI</w:t>
            </w:r>
            <w:r w:rsidR="000066DA" w:rsidRPr="000066DA">
              <w:rPr>
                <w:noProof/>
              </w:rPr>
              <w:tab/>
            </w:r>
            <w:r w:rsidR="000066DA" w:rsidRPr="000066DA">
              <w:rPr>
                <w:noProof/>
              </w:rPr>
              <w:fldChar w:fldCharType="begin"/>
            </w:r>
            <w:r w:rsidR="000066DA" w:rsidRPr="000066DA">
              <w:rPr>
                <w:noProof/>
              </w:rPr>
              <w:instrText xml:space="preserve"> PAGEREF _Toc227921618 \h </w:instrText>
            </w:r>
            <w:r w:rsidR="000066DA" w:rsidRPr="000066DA">
              <w:rPr>
                <w:noProof/>
              </w:rPr>
            </w:r>
            <w:r w:rsidR="000066DA" w:rsidRPr="000066DA">
              <w:rPr>
                <w:noProof/>
              </w:rPr>
              <w:fldChar w:fldCharType="separate"/>
            </w:r>
            <w:r w:rsidR="00862788">
              <w:rPr>
                <w:noProof/>
              </w:rPr>
              <w:t>10</w:t>
            </w:r>
            <w:r w:rsidR="000066DA" w:rsidRPr="000066DA">
              <w:rPr>
                <w:noProof/>
              </w:rPr>
              <w:fldChar w:fldCharType="end"/>
            </w:r>
          </w:hyperlink>
        </w:p>
        <w:p w14:paraId="25E9441A" w14:textId="16FEDE24" w:rsidR="000066DA" w:rsidRPr="000066DA" w:rsidRDefault="00D26F03">
          <w:pPr>
            <w:pStyle w:val="Sommario2"/>
            <w:rPr>
              <w:rFonts w:ascii="Titillium" w:eastAsiaTheme="minorEastAsia" w:hAnsi="Titillium" w:cstheme="minorBidi"/>
              <w:smallCaps w:val="0"/>
              <w:noProof/>
              <w:kern w:val="2"/>
              <w:lang w:eastAsia="it-IT"/>
              <w14:ligatures w14:val="standardContextual"/>
            </w:rPr>
          </w:pPr>
          <w:hyperlink w:anchor="_Toc227921619" w:history="1">
            <w:r w:rsidR="000066DA" w:rsidRPr="000066DA">
              <w:rPr>
                <w:rStyle w:val="Collegamentoipertestuale"/>
                <w:rFonts w:ascii="Titillium" w:hAnsi="Titillium"/>
                <w:noProof/>
              </w:rPr>
              <w:t>3.</w:t>
            </w:r>
            <w:r w:rsidR="000066DA" w:rsidRPr="000066DA">
              <w:rPr>
                <w:rFonts w:ascii="Titillium" w:eastAsiaTheme="minorEastAsia" w:hAnsi="Titillium" w:cstheme="minorBidi"/>
                <w:smallCaps w:val="0"/>
                <w:noProof/>
                <w:kern w:val="2"/>
                <w:lang w:eastAsia="it-IT"/>
                <w14:ligatures w14:val="standardContextual"/>
              </w:rPr>
              <w:tab/>
            </w:r>
            <w:r w:rsidR="000066DA" w:rsidRPr="000066DA">
              <w:rPr>
                <w:rStyle w:val="Collegamentoipertestuale"/>
                <w:rFonts w:ascii="Titillium" w:hAnsi="Titillium"/>
                <w:noProof/>
              </w:rPr>
              <w:t>OGGETTO DELL’APPALTO, IMPORTO E SUDDIVISIONE IN LOTTI</w:t>
            </w:r>
            <w:r w:rsidR="000066DA" w:rsidRPr="000066DA">
              <w:rPr>
                <w:rFonts w:ascii="Titillium" w:hAnsi="Titillium"/>
                <w:noProof/>
              </w:rPr>
              <w:tab/>
            </w:r>
            <w:r w:rsidR="000066DA" w:rsidRPr="000066DA">
              <w:rPr>
                <w:rFonts w:ascii="Titillium" w:hAnsi="Titillium"/>
                <w:noProof/>
              </w:rPr>
              <w:fldChar w:fldCharType="begin"/>
            </w:r>
            <w:r w:rsidR="000066DA" w:rsidRPr="000066DA">
              <w:rPr>
                <w:rFonts w:ascii="Titillium" w:hAnsi="Titillium"/>
                <w:noProof/>
              </w:rPr>
              <w:instrText xml:space="preserve"> PAGEREF _Toc227921619 \h </w:instrText>
            </w:r>
            <w:r w:rsidR="000066DA" w:rsidRPr="000066DA">
              <w:rPr>
                <w:rFonts w:ascii="Titillium" w:hAnsi="Titillium"/>
                <w:noProof/>
              </w:rPr>
            </w:r>
            <w:r w:rsidR="000066DA" w:rsidRPr="000066DA">
              <w:rPr>
                <w:rFonts w:ascii="Titillium" w:hAnsi="Titillium"/>
                <w:noProof/>
              </w:rPr>
              <w:fldChar w:fldCharType="separate"/>
            </w:r>
            <w:r w:rsidR="00862788">
              <w:rPr>
                <w:rFonts w:ascii="Titillium" w:hAnsi="Titillium"/>
                <w:noProof/>
              </w:rPr>
              <w:t>11</w:t>
            </w:r>
            <w:r w:rsidR="000066DA" w:rsidRPr="000066DA">
              <w:rPr>
                <w:rFonts w:ascii="Titillium" w:hAnsi="Titillium"/>
                <w:noProof/>
              </w:rPr>
              <w:fldChar w:fldCharType="end"/>
            </w:r>
          </w:hyperlink>
        </w:p>
        <w:p w14:paraId="00E6704B" w14:textId="59EC11DE" w:rsidR="000066DA" w:rsidRPr="000066DA" w:rsidRDefault="00D26F03">
          <w:pPr>
            <w:pStyle w:val="Sommario3"/>
            <w:rPr>
              <w:rFonts w:cstheme="minorBidi"/>
              <w:iCs w:val="0"/>
              <w:noProof/>
              <w:kern w:val="2"/>
              <w:lang w:eastAsia="it-IT"/>
              <w14:ligatures w14:val="standardContextual"/>
            </w:rPr>
          </w:pPr>
          <w:hyperlink w:anchor="_Toc227921620" w:history="1">
            <w:r w:rsidR="000066DA" w:rsidRPr="000066DA">
              <w:rPr>
                <w:rStyle w:val="Collegamentoipertestuale"/>
                <w:noProof/>
              </w:rPr>
              <w:t>3.1.</w:t>
            </w:r>
            <w:r w:rsidR="000066DA" w:rsidRPr="000066DA">
              <w:rPr>
                <w:rFonts w:cstheme="minorBidi"/>
                <w:iCs w:val="0"/>
                <w:noProof/>
                <w:kern w:val="2"/>
                <w:lang w:eastAsia="it-IT"/>
                <w14:ligatures w14:val="standardContextual"/>
              </w:rPr>
              <w:tab/>
            </w:r>
            <w:r w:rsidR="000066DA" w:rsidRPr="000066DA">
              <w:rPr>
                <w:rStyle w:val="Collegamentoipertestuale"/>
                <w:noProof/>
              </w:rPr>
              <w:t>DURATA</w:t>
            </w:r>
            <w:r w:rsidR="000066DA" w:rsidRPr="000066DA">
              <w:rPr>
                <w:noProof/>
              </w:rPr>
              <w:tab/>
            </w:r>
            <w:r w:rsidR="000066DA" w:rsidRPr="000066DA">
              <w:rPr>
                <w:noProof/>
              </w:rPr>
              <w:fldChar w:fldCharType="begin"/>
            </w:r>
            <w:r w:rsidR="000066DA" w:rsidRPr="000066DA">
              <w:rPr>
                <w:noProof/>
              </w:rPr>
              <w:instrText xml:space="preserve"> PAGEREF _Toc227921620 \h </w:instrText>
            </w:r>
            <w:r w:rsidR="000066DA" w:rsidRPr="000066DA">
              <w:rPr>
                <w:noProof/>
              </w:rPr>
            </w:r>
            <w:r w:rsidR="000066DA" w:rsidRPr="000066DA">
              <w:rPr>
                <w:noProof/>
              </w:rPr>
              <w:fldChar w:fldCharType="separate"/>
            </w:r>
            <w:r w:rsidR="00862788">
              <w:rPr>
                <w:noProof/>
              </w:rPr>
              <w:t>17</w:t>
            </w:r>
            <w:r w:rsidR="000066DA" w:rsidRPr="000066DA">
              <w:rPr>
                <w:noProof/>
              </w:rPr>
              <w:fldChar w:fldCharType="end"/>
            </w:r>
          </w:hyperlink>
        </w:p>
        <w:p w14:paraId="236E8E5E" w14:textId="10F1C734" w:rsidR="000066DA" w:rsidRPr="000066DA" w:rsidRDefault="00D26F03">
          <w:pPr>
            <w:pStyle w:val="Sommario3"/>
            <w:rPr>
              <w:rFonts w:cstheme="minorBidi"/>
              <w:iCs w:val="0"/>
              <w:noProof/>
              <w:kern w:val="2"/>
              <w:lang w:eastAsia="it-IT"/>
              <w14:ligatures w14:val="standardContextual"/>
            </w:rPr>
          </w:pPr>
          <w:hyperlink w:anchor="_Toc227921621" w:history="1">
            <w:r w:rsidR="000066DA" w:rsidRPr="000066DA">
              <w:rPr>
                <w:rStyle w:val="Collegamentoipertestuale"/>
                <w:noProof/>
              </w:rPr>
              <w:t>3.2.</w:t>
            </w:r>
            <w:r w:rsidR="000066DA" w:rsidRPr="000066DA">
              <w:rPr>
                <w:rFonts w:cstheme="minorBidi"/>
                <w:iCs w:val="0"/>
                <w:noProof/>
                <w:kern w:val="2"/>
                <w:lang w:eastAsia="it-IT"/>
                <w14:ligatures w14:val="standardContextual"/>
              </w:rPr>
              <w:tab/>
            </w:r>
            <w:r w:rsidR="000066DA" w:rsidRPr="000066DA">
              <w:rPr>
                <w:rStyle w:val="Collegamentoipertestuale"/>
                <w:noProof/>
              </w:rPr>
              <w:t>MODIFICA DEL CONTRATTO IN FASE DI ESECUZIONE</w:t>
            </w:r>
            <w:r w:rsidR="000066DA" w:rsidRPr="000066DA">
              <w:rPr>
                <w:noProof/>
              </w:rPr>
              <w:tab/>
            </w:r>
            <w:r w:rsidR="000066DA" w:rsidRPr="000066DA">
              <w:rPr>
                <w:noProof/>
              </w:rPr>
              <w:fldChar w:fldCharType="begin"/>
            </w:r>
            <w:r w:rsidR="000066DA" w:rsidRPr="000066DA">
              <w:rPr>
                <w:noProof/>
              </w:rPr>
              <w:instrText xml:space="preserve"> PAGEREF _Toc227921621 \h </w:instrText>
            </w:r>
            <w:r w:rsidR="000066DA" w:rsidRPr="000066DA">
              <w:rPr>
                <w:noProof/>
              </w:rPr>
            </w:r>
            <w:r w:rsidR="000066DA" w:rsidRPr="000066DA">
              <w:rPr>
                <w:noProof/>
              </w:rPr>
              <w:fldChar w:fldCharType="separate"/>
            </w:r>
            <w:r w:rsidR="00862788">
              <w:rPr>
                <w:noProof/>
              </w:rPr>
              <w:t>17</w:t>
            </w:r>
            <w:r w:rsidR="000066DA" w:rsidRPr="000066DA">
              <w:rPr>
                <w:noProof/>
              </w:rPr>
              <w:fldChar w:fldCharType="end"/>
            </w:r>
          </w:hyperlink>
        </w:p>
        <w:p w14:paraId="63586A90" w14:textId="0B5614BE" w:rsidR="000066DA" w:rsidRPr="000066DA" w:rsidRDefault="00D26F03">
          <w:pPr>
            <w:pStyle w:val="Sommario3"/>
            <w:rPr>
              <w:rFonts w:cstheme="minorBidi"/>
              <w:iCs w:val="0"/>
              <w:noProof/>
              <w:kern w:val="2"/>
              <w:lang w:eastAsia="it-IT"/>
              <w14:ligatures w14:val="standardContextual"/>
            </w:rPr>
          </w:pPr>
          <w:hyperlink w:anchor="_Toc227921622" w:history="1">
            <w:r w:rsidR="000066DA" w:rsidRPr="000066DA">
              <w:rPr>
                <w:rStyle w:val="Collegamentoipertestuale"/>
                <w:noProof/>
              </w:rPr>
              <w:t>3.3.</w:t>
            </w:r>
            <w:r w:rsidR="000066DA" w:rsidRPr="000066DA">
              <w:rPr>
                <w:rFonts w:cstheme="minorBidi"/>
                <w:iCs w:val="0"/>
                <w:noProof/>
                <w:kern w:val="2"/>
                <w:lang w:eastAsia="it-IT"/>
                <w14:ligatures w14:val="standardContextual"/>
              </w:rPr>
              <w:tab/>
            </w:r>
            <w:r w:rsidR="000066DA" w:rsidRPr="000066DA">
              <w:rPr>
                <w:rStyle w:val="Collegamentoipertestuale"/>
                <w:noProof/>
              </w:rPr>
              <w:t>REVISIONE PREZZI, ANTICIPAZIONE E PREMIO DI ACCELERAZIONE</w:t>
            </w:r>
            <w:r w:rsidR="000066DA" w:rsidRPr="000066DA">
              <w:rPr>
                <w:noProof/>
              </w:rPr>
              <w:tab/>
            </w:r>
            <w:r w:rsidR="000066DA" w:rsidRPr="000066DA">
              <w:rPr>
                <w:noProof/>
              </w:rPr>
              <w:fldChar w:fldCharType="begin"/>
            </w:r>
            <w:r w:rsidR="000066DA" w:rsidRPr="000066DA">
              <w:rPr>
                <w:noProof/>
              </w:rPr>
              <w:instrText xml:space="preserve"> PAGEREF _Toc227921622 \h </w:instrText>
            </w:r>
            <w:r w:rsidR="000066DA" w:rsidRPr="000066DA">
              <w:rPr>
                <w:noProof/>
              </w:rPr>
            </w:r>
            <w:r w:rsidR="000066DA" w:rsidRPr="000066DA">
              <w:rPr>
                <w:noProof/>
              </w:rPr>
              <w:fldChar w:fldCharType="separate"/>
            </w:r>
            <w:r w:rsidR="00862788">
              <w:rPr>
                <w:noProof/>
              </w:rPr>
              <w:t>18</w:t>
            </w:r>
            <w:r w:rsidR="000066DA" w:rsidRPr="000066DA">
              <w:rPr>
                <w:noProof/>
              </w:rPr>
              <w:fldChar w:fldCharType="end"/>
            </w:r>
          </w:hyperlink>
        </w:p>
        <w:p w14:paraId="51FD076A" w14:textId="1D52CC03" w:rsidR="000066DA" w:rsidRPr="000066DA" w:rsidRDefault="00D26F03">
          <w:pPr>
            <w:pStyle w:val="Sommario2"/>
            <w:rPr>
              <w:rFonts w:ascii="Titillium" w:eastAsiaTheme="minorEastAsia" w:hAnsi="Titillium" w:cstheme="minorBidi"/>
              <w:smallCaps w:val="0"/>
              <w:noProof/>
              <w:kern w:val="2"/>
              <w:lang w:eastAsia="it-IT"/>
              <w14:ligatures w14:val="standardContextual"/>
            </w:rPr>
          </w:pPr>
          <w:hyperlink w:anchor="_Toc227921623" w:history="1">
            <w:r w:rsidR="000066DA" w:rsidRPr="000066DA">
              <w:rPr>
                <w:rStyle w:val="Collegamentoipertestuale"/>
                <w:rFonts w:ascii="Titillium" w:hAnsi="Titillium"/>
                <w:noProof/>
              </w:rPr>
              <w:t>4.</w:t>
            </w:r>
            <w:r w:rsidR="000066DA" w:rsidRPr="000066DA">
              <w:rPr>
                <w:rFonts w:ascii="Titillium" w:eastAsiaTheme="minorEastAsia" w:hAnsi="Titillium" w:cstheme="minorBidi"/>
                <w:smallCaps w:val="0"/>
                <w:noProof/>
                <w:kern w:val="2"/>
                <w:lang w:eastAsia="it-IT"/>
                <w14:ligatures w14:val="standardContextual"/>
              </w:rPr>
              <w:tab/>
            </w:r>
            <w:r w:rsidR="000066DA" w:rsidRPr="000066DA">
              <w:rPr>
                <w:rStyle w:val="Collegamentoipertestuale"/>
                <w:rFonts w:ascii="Titillium" w:hAnsi="Titillium"/>
                <w:noProof/>
              </w:rPr>
              <w:t>SOGGETTI AMMESSI IN FORMA SINGOLA E ASSOCIATA E CONDIZIONI DI PARTECIPAZIONE</w:t>
            </w:r>
            <w:r w:rsidR="000066DA" w:rsidRPr="000066DA">
              <w:rPr>
                <w:rFonts w:ascii="Titillium" w:hAnsi="Titillium"/>
                <w:noProof/>
              </w:rPr>
              <w:tab/>
            </w:r>
            <w:r w:rsidR="000066DA" w:rsidRPr="000066DA">
              <w:rPr>
                <w:rFonts w:ascii="Titillium" w:hAnsi="Titillium"/>
                <w:noProof/>
              </w:rPr>
              <w:fldChar w:fldCharType="begin"/>
            </w:r>
            <w:r w:rsidR="000066DA" w:rsidRPr="000066DA">
              <w:rPr>
                <w:rFonts w:ascii="Titillium" w:hAnsi="Titillium"/>
                <w:noProof/>
              </w:rPr>
              <w:instrText xml:space="preserve"> PAGEREF _Toc227921623 \h </w:instrText>
            </w:r>
            <w:r w:rsidR="000066DA" w:rsidRPr="000066DA">
              <w:rPr>
                <w:rFonts w:ascii="Titillium" w:hAnsi="Titillium"/>
                <w:noProof/>
              </w:rPr>
            </w:r>
            <w:r w:rsidR="000066DA" w:rsidRPr="000066DA">
              <w:rPr>
                <w:rFonts w:ascii="Titillium" w:hAnsi="Titillium"/>
                <w:noProof/>
              </w:rPr>
              <w:fldChar w:fldCharType="separate"/>
            </w:r>
            <w:r w:rsidR="00862788">
              <w:rPr>
                <w:rFonts w:ascii="Titillium" w:hAnsi="Titillium"/>
                <w:noProof/>
              </w:rPr>
              <w:t>19</w:t>
            </w:r>
            <w:r w:rsidR="000066DA" w:rsidRPr="000066DA">
              <w:rPr>
                <w:rFonts w:ascii="Titillium" w:hAnsi="Titillium"/>
                <w:noProof/>
              </w:rPr>
              <w:fldChar w:fldCharType="end"/>
            </w:r>
          </w:hyperlink>
        </w:p>
        <w:p w14:paraId="731261A5" w14:textId="19165291" w:rsidR="000066DA" w:rsidRPr="000066DA" w:rsidRDefault="00D26F03">
          <w:pPr>
            <w:pStyle w:val="Sommario2"/>
            <w:rPr>
              <w:rFonts w:ascii="Titillium" w:eastAsiaTheme="minorEastAsia" w:hAnsi="Titillium" w:cstheme="minorBidi"/>
              <w:smallCaps w:val="0"/>
              <w:noProof/>
              <w:kern w:val="2"/>
              <w:lang w:eastAsia="it-IT"/>
              <w14:ligatures w14:val="standardContextual"/>
            </w:rPr>
          </w:pPr>
          <w:hyperlink w:anchor="_Toc227921624" w:history="1">
            <w:r w:rsidR="000066DA" w:rsidRPr="000066DA">
              <w:rPr>
                <w:rStyle w:val="Collegamentoipertestuale"/>
                <w:rFonts w:ascii="Titillium" w:hAnsi="Titillium"/>
                <w:noProof/>
              </w:rPr>
              <w:t>5.</w:t>
            </w:r>
            <w:r w:rsidR="000066DA" w:rsidRPr="000066DA">
              <w:rPr>
                <w:rFonts w:ascii="Titillium" w:eastAsiaTheme="minorEastAsia" w:hAnsi="Titillium" w:cstheme="minorBidi"/>
                <w:smallCaps w:val="0"/>
                <w:noProof/>
                <w:kern w:val="2"/>
                <w:lang w:eastAsia="it-IT"/>
                <w14:ligatures w14:val="standardContextual"/>
              </w:rPr>
              <w:tab/>
            </w:r>
            <w:r w:rsidR="000066DA" w:rsidRPr="000066DA">
              <w:rPr>
                <w:rStyle w:val="Collegamentoipertestuale"/>
                <w:rFonts w:ascii="Titillium" w:hAnsi="Titillium"/>
                <w:noProof/>
              </w:rPr>
              <w:t>REQUISITI DI ORDINE GENERALE E ALTRE CAUSE DI ESCLUSIONE</w:t>
            </w:r>
            <w:r w:rsidR="000066DA" w:rsidRPr="000066DA">
              <w:rPr>
                <w:rFonts w:ascii="Titillium" w:hAnsi="Titillium"/>
                <w:noProof/>
              </w:rPr>
              <w:tab/>
            </w:r>
            <w:r w:rsidR="000066DA" w:rsidRPr="000066DA">
              <w:rPr>
                <w:rFonts w:ascii="Titillium" w:hAnsi="Titillium"/>
                <w:noProof/>
              </w:rPr>
              <w:fldChar w:fldCharType="begin"/>
            </w:r>
            <w:r w:rsidR="000066DA" w:rsidRPr="000066DA">
              <w:rPr>
                <w:rFonts w:ascii="Titillium" w:hAnsi="Titillium"/>
                <w:noProof/>
              </w:rPr>
              <w:instrText xml:space="preserve"> PAGEREF _Toc227921624 \h </w:instrText>
            </w:r>
            <w:r w:rsidR="000066DA" w:rsidRPr="000066DA">
              <w:rPr>
                <w:rFonts w:ascii="Titillium" w:hAnsi="Titillium"/>
                <w:noProof/>
              </w:rPr>
            </w:r>
            <w:r w:rsidR="000066DA" w:rsidRPr="000066DA">
              <w:rPr>
                <w:rFonts w:ascii="Titillium" w:hAnsi="Titillium"/>
                <w:noProof/>
              </w:rPr>
              <w:fldChar w:fldCharType="separate"/>
            </w:r>
            <w:r w:rsidR="00862788">
              <w:rPr>
                <w:rFonts w:ascii="Titillium" w:hAnsi="Titillium"/>
                <w:noProof/>
              </w:rPr>
              <w:t>21</w:t>
            </w:r>
            <w:r w:rsidR="000066DA" w:rsidRPr="000066DA">
              <w:rPr>
                <w:rFonts w:ascii="Titillium" w:hAnsi="Titillium"/>
                <w:noProof/>
              </w:rPr>
              <w:fldChar w:fldCharType="end"/>
            </w:r>
          </w:hyperlink>
        </w:p>
        <w:p w14:paraId="2338E59D" w14:textId="550D1891" w:rsidR="000066DA" w:rsidRPr="000066DA" w:rsidRDefault="00D26F03">
          <w:pPr>
            <w:pStyle w:val="Sommario2"/>
            <w:rPr>
              <w:rFonts w:ascii="Titillium" w:eastAsiaTheme="minorEastAsia" w:hAnsi="Titillium" w:cstheme="minorBidi"/>
              <w:smallCaps w:val="0"/>
              <w:noProof/>
              <w:kern w:val="2"/>
              <w:lang w:eastAsia="it-IT"/>
              <w14:ligatures w14:val="standardContextual"/>
            </w:rPr>
          </w:pPr>
          <w:hyperlink w:anchor="_Toc227921625" w:history="1">
            <w:r w:rsidR="000066DA" w:rsidRPr="000066DA">
              <w:rPr>
                <w:rStyle w:val="Collegamentoipertestuale"/>
                <w:rFonts w:ascii="Titillium" w:hAnsi="Titillium"/>
                <w:noProof/>
              </w:rPr>
              <w:t>6.</w:t>
            </w:r>
            <w:r w:rsidR="000066DA" w:rsidRPr="000066DA">
              <w:rPr>
                <w:rFonts w:ascii="Titillium" w:eastAsiaTheme="minorEastAsia" w:hAnsi="Titillium" w:cstheme="minorBidi"/>
                <w:smallCaps w:val="0"/>
                <w:noProof/>
                <w:kern w:val="2"/>
                <w:lang w:eastAsia="it-IT"/>
                <w14:ligatures w14:val="standardContextual"/>
              </w:rPr>
              <w:tab/>
            </w:r>
            <w:r w:rsidR="000066DA" w:rsidRPr="000066DA">
              <w:rPr>
                <w:rStyle w:val="Collegamentoipertestuale"/>
                <w:rFonts w:ascii="Titillium" w:hAnsi="Titillium"/>
                <w:noProof/>
              </w:rPr>
              <w:t>REQUISITI DI ORDINE SPECIALE E MEZZI DI PROVA</w:t>
            </w:r>
            <w:r w:rsidR="000066DA" w:rsidRPr="000066DA">
              <w:rPr>
                <w:rFonts w:ascii="Titillium" w:hAnsi="Titillium"/>
                <w:noProof/>
              </w:rPr>
              <w:tab/>
            </w:r>
            <w:r w:rsidR="000066DA" w:rsidRPr="000066DA">
              <w:rPr>
                <w:rFonts w:ascii="Titillium" w:hAnsi="Titillium"/>
                <w:noProof/>
              </w:rPr>
              <w:fldChar w:fldCharType="begin"/>
            </w:r>
            <w:r w:rsidR="000066DA" w:rsidRPr="000066DA">
              <w:rPr>
                <w:rFonts w:ascii="Titillium" w:hAnsi="Titillium"/>
                <w:noProof/>
              </w:rPr>
              <w:instrText xml:space="preserve"> PAGEREF _Toc227921625 \h </w:instrText>
            </w:r>
            <w:r w:rsidR="000066DA" w:rsidRPr="000066DA">
              <w:rPr>
                <w:rFonts w:ascii="Titillium" w:hAnsi="Titillium"/>
                <w:noProof/>
              </w:rPr>
            </w:r>
            <w:r w:rsidR="000066DA" w:rsidRPr="000066DA">
              <w:rPr>
                <w:rFonts w:ascii="Titillium" w:hAnsi="Titillium"/>
                <w:noProof/>
              </w:rPr>
              <w:fldChar w:fldCharType="separate"/>
            </w:r>
            <w:r w:rsidR="00862788">
              <w:rPr>
                <w:rFonts w:ascii="Titillium" w:hAnsi="Titillium"/>
                <w:noProof/>
              </w:rPr>
              <w:t>22</w:t>
            </w:r>
            <w:r w:rsidR="000066DA" w:rsidRPr="000066DA">
              <w:rPr>
                <w:rFonts w:ascii="Titillium" w:hAnsi="Titillium"/>
                <w:noProof/>
              </w:rPr>
              <w:fldChar w:fldCharType="end"/>
            </w:r>
          </w:hyperlink>
        </w:p>
        <w:p w14:paraId="58CD7673" w14:textId="6F1E5674" w:rsidR="000066DA" w:rsidRPr="000066DA" w:rsidRDefault="00D26F03">
          <w:pPr>
            <w:pStyle w:val="Sommario3"/>
            <w:rPr>
              <w:rFonts w:cstheme="minorBidi"/>
              <w:iCs w:val="0"/>
              <w:noProof/>
              <w:kern w:val="2"/>
              <w:lang w:eastAsia="it-IT"/>
              <w14:ligatures w14:val="standardContextual"/>
            </w:rPr>
          </w:pPr>
          <w:hyperlink w:anchor="_Toc227921626" w:history="1">
            <w:r w:rsidR="000066DA" w:rsidRPr="000066DA">
              <w:rPr>
                <w:rStyle w:val="Collegamentoipertestuale"/>
                <w:noProof/>
              </w:rPr>
              <w:t>6.1</w:t>
            </w:r>
            <w:r w:rsidR="000066DA" w:rsidRPr="000066DA">
              <w:rPr>
                <w:rFonts w:cstheme="minorBidi"/>
                <w:iCs w:val="0"/>
                <w:noProof/>
                <w:kern w:val="2"/>
                <w:lang w:eastAsia="it-IT"/>
                <w14:ligatures w14:val="standardContextual"/>
              </w:rPr>
              <w:tab/>
            </w:r>
            <w:r w:rsidR="000066DA" w:rsidRPr="000066DA">
              <w:rPr>
                <w:rStyle w:val="Collegamentoipertestuale"/>
                <w:noProof/>
              </w:rPr>
              <w:t>REQUISITI DI IDONEITÀ PROFESSIONALE</w:t>
            </w:r>
            <w:r w:rsidR="000066DA" w:rsidRPr="000066DA">
              <w:rPr>
                <w:noProof/>
              </w:rPr>
              <w:tab/>
            </w:r>
            <w:r w:rsidR="000066DA" w:rsidRPr="000066DA">
              <w:rPr>
                <w:noProof/>
              </w:rPr>
              <w:fldChar w:fldCharType="begin"/>
            </w:r>
            <w:r w:rsidR="000066DA" w:rsidRPr="000066DA">
              <w:rPr>
                <w:noProof/>
              </w:rPr>
              <w:instrText xml:space="preserve"> PAGEREF _Toc227921626 \h </w:instrText>
            </w:r>
            <w:r w:rsidR="000066DA" w:rsidRPr="000066DA">
              <w:rPr>
                <w:noProof/>
              </w:rPr>
            </w:r>
            <w:r w:rsidR="000066DA" w:rsidRPr="000066DA">
              <w:rPr>
                <w:noProof/>
              </w:rPr>
              <w:fldChar w:fldCharType="separate"/>
            </w:r>
            <w:r w:rsidR="00862788">
              <w:rPr>
                <w:noProof/>
              </w:rPr>
              <w:t>23</w:t>
            </w:r>
            <w:r w:rsidR="000066DA" w:rsidRPr="000066DA">
              <w:rPr>
                <w:noProof/>
              </w:rPr>
              <w:fldChar w:fldCharType="end"/>
            </w:r>
          </w:hyperlink>
        </w:p>
        <w:p w14:paraId="5D45FF61" w14:textId="56C35EEE" w:rsidR="000066DA" w:rsidRPr="000066DA" w:rsidRDefault="00D26F03">
          <w:pPr>
            <w:pStyle w:val="Sommario3"/>
            <w:rPr>
              <w:rFonts w:cstheme="minorBidi"/>
              <w:iCs w:val="0"/>
              <w:noProof/>
              <w:kern w:val="2"/>
              <w:lang w:eastAsia="it-IT"/>
              <w14:ligatures w14:val="standardContextual"/>
            </w:rPr>
          </w:pPr>
          <w:hyperlink w:anchor="_Toc227921627" w:history="1">
            <w:r w:rsidR="000066DA" w:rsidRPr="000066DA">
              <w:rPr>
                <w:rStyle w:val="Collegamentoipertestuale"/>
                <w:noProof/>
              </w:rPr>
              <w:t>6.3.</w:t>
            </w:r>
            <w:r w:rsidR="000066DA" w:rsidRPr="000066DA">
              <w:rPr>
                <w:rFonts w:cstheme="minorBidi"/>
                <w:iCs w:val="0"/>
                <w:noProof/>
                <w:kern w:val="2"/>
                <w:lang w:eastAsia="it-IT"/>
                <w14:ligatures w14:val="standardContextual"/>
              </w:rPr>
              <w:tab/>
            </w:r>
            <w:r w:rsidR="000066DA" w:rsidRPr="000066DA">
              <w:rPr>
                <w:rStyle w:val="Collegamentoipertestuale"/>
                <w:noProof/>
              </w:rPr>
              <w:t>REQUISITI DI CAPACITÀ TECNICA E PROFESSIONALE</w:t>
            </w:r>
            <w:r w:rsidR="000066DA" w:rsidRPr="000066DA">
              <w:rPr>
                <w:noProof/>
              </w:rPr>
              <w:tab/>
            </w:r>
            <w:r w:rsidR="000066DA" w:rsidRPr="000066DA">
              <w:rPr>
                <w:noProof/>
              </w:rPr>
              <w:fldChar w:fldCharType="begin"/>
            </w:r>
            <w:r w:rsidR="000066DA" w:rsidRPr="000066DA">
              <w:rPr>
                <w:noProof/>
              </w:rPr>
              <w:instrText xml:space="preserve"> PAGEREF _Toc227921627 \h </w:instrText>
            </w:r>
            <w:r w:rsidR="000066DA" w:rsidRPr="000066DA">
              <w:rPr>
                <w:noProof/>
              </w:rPr>
            </w:r>
            <w:r w:rsidR="000066DA" w:rsidRPr="000066DA">
              <w:rPr>
                <w:noProof/>
              </w:rPr>
              <w:fldChar w:fldCharType="separate"/>
            </w:r>
            <w:r w:rsidR="00862788">
              <w:rPr>
                <w:noProof/>
              </w:rPr>
              <w:t>26</w:t>
            </w:r>
            <w:r w:rsidR="000066DA" w:rsidRPr="000066DA">
              <w:rPr>
                <w:noProof/>
              </w:rPr>
              <w:fldChar w:fldCharType="end"/>
            </w:r>
          </w:hyperlink>
        </w:p>
        <w:p w14:paraId="616311C4" w14:textId="4DC6C0E9" w:rsidR="000066DA" w:rsidRPr="000066DA" w:rsidRDefault="00D26F03">
          <w:pPr>
            <w:pStyle w:val="Sommario3"/>
            <w:rPr>
              <w:rFonts w:cstheme="minorBidi"/>
              <w:iCs w:val="0"/>
              <w:noProof/>
              <w:kern w:val="2"/>
              <w:lang w:eastAsia="it-IT"/>
              <w14:ligatures w14:val="standardContextual"/>
            </w:rPr>
          </w:pPr>
          <w:hyperlink w:anchor="_Toc227921628" w:history="1">
            <w:r w:rsidR="000066DA" w:rsidRPr="000066DA">
              <w:rPr>
                <w:rStyle w:val="Collegamentoipertestuale"/>
                <w:noProof/>
              </w:rPr>
              <w:t>6.4.</w:t>
            </w:r>
            <w:r w:rsidR="000066DA" w:rsidRPr="000066DA">
              <w:rPr>
                <w:rFonts w:cstheme="minorBidi"/>
                <w:iCs w:val="0"/>
                <w:noProof/>
                <w:kern w:val="2"/>
                <w:lang w:eastAsia="it-IT"/>
                <w14:ligatures w14:val="standardContextual"/>
              </w:rPr>
              <w:tab/>
            </w:r>
            <w:r w:rsidR="000066DA" w:rsidRPr="000066DA">
              <w:rPr>
                <w:rStyle w:val="Collegamentoipertestuale"/>
                <w:noProof/>
              </w:rPr>
              <w:t>INDICAZIONI SUI REQUISITI SPECIALI NEI RAGGRUPPAMENTI TEMPORANEI, CONSORZI ORDINARI, AGGREGAZIONI DI RETE, GEIE</w:t>
            </w:r>
            <w:r w:rsidR="000066DA" w:rsidRPr="000066DA">
              <w:rPr>
                <w:noProof/>
              </w:rPr>
              <w:tab/>
            </w:r>
            <w:r w:rsidR="000066DA" w:rsidRPr="000066DA">
              <w:rPr>
                <w:noProof/>
              </w:rPr>
              <w:fldChar w:fldCharType="begin"/>
            </w:r>
            <w:r w:rsidR="000066DA" w:rsidRPr="000066DA">
              <w:rPr>
                <w:noProof/>
              </w:rPr>
              <w:instrText xml:space="preserve"> PAGEREF _Toc227921628 \h </w:instrText>
            </w:r>
            <w:r w:rsidR="000066DA" w:rsidRPr="000066DA">
              <w:rPr>
                <w:noProof/>
              </w:rPr>
            </w:r>
            <w:r w:rsidR="000066DA" w:rsidRPr="000066DA">
              <w:rPr>
                <w:noProof/>
              </w:rPr>
              <w:fldChar w:fldCharType="separate"/>
            </w:r>
            <w:r w:rsidR="00862788">
              <w:rPr>
                <w:noProof/>
              </w:rPr>
              <w:t>29</w:t>
            </w:r>
            <w:r w:rsidR="000066DA" w:rsidRPr="000066DA">
              <w:rPr>
                <w:noProof/>
              </w:rPr>
              <w:fldChar w:fldCharType="end"/>
            </w:r>
          </w:hyperlink>
        </w:p>
        <w:p w14:paraId="30AD6AC4" w14:textId="59B6C8BB" w:rsidR="000066DA" w:rsidRPr="000066DA" w:rsidRDefault="00D26F03">
          <w:pPr>
            <w:pStyle w:val="Sommario3"/>
            <w:rPr>
              <w:rFonts w:cstheme="minorBidi"/>
              <w:iCs w:val="0"/>
              <w:noProof/>
              <w:kern w:val="2"/>
              <w:lang w:eastAsia="it-IT"/>
              <w14:ligatures w14:val="standardContextual"/>
            </w:rPr>
          </w:pPr>
          <w:hyperlink w:anchor="_Toc227921629" w:history="1">
            <w:r w:rsidR="000066DA" w:rsidRPr="000066DA">
              <w:rPr>
                <w:rStyle w:val="Collegamentoipertestuale"/>
                <w:noProof/>
              </w:rPr>
              <w:t>6.5.</w:t>
            </w:r>
            <w:r w:rsidR="000066DA" w:rsidRPr="000066DA">
              <w:rPr>
                <w:rFonts w:cstheme="minorBidi"/>
                <w:iCs w:val="0"/>
                <w:noProof/>
                <w:kern w:val="2"/>
                <w:lang w:eastAsia="it-IT"/>
                <w14:ligatures w14:val="standardContextual"/>
              </w:rPr>
              <w:tab/>
            </w:r>
            <w:r w:rsidR="000066DA" w:rsidRPr="000066DA">
              <w:rPr>
                <w:rStyle w:val="Collegamentoipertestuale"/>
                <w:noProof/>
              </w:rPr>
              <w:t>INDICAZIONI SUI REQUISITI SPECIALI NEI CONSORZI STABILI DI SOCIETÀ DI PROFESSIONISTI E DI SOCIETÀ DI INGEGNERIA.</w:t>
            </w:r>
            <w:r w:rsidR="000066DA" w:rsidRPr="000066DA">
              <w:rPr>
                <w:noProof/>
              </w:rPr>
              <w:tab/>
            </w:r>
            <w:r w:rsidR="000066DA" w:rsidRPr="000066DA">
              <w:rPr>
                <w:noProof/>
              </w:rPr>
              <w:fldChar w:fldCharType="begin"/>
            </w:r>
            <w:r w:rsidR="000066DA" w:rsidRPr="000066DA">
              <w:rPr>
                <w:noProof/>
              </w:rPr>
              <w:instrText xml:space="preserve"> PAGEREF _Toc227921629 \h </w:instrText>
            </w:r>
            <w:r w:rsidR="000066DA" w:rsidRPr="000066DA">
              <w:rPr>
                <w:noProof/>
              </w:rPr>
            </w:r>
            <w:r w:rsidR="000066DA" w:rsidRPr="000066DA">
              <w:rPr>
                <w:noProof/>
              </w:rPr>
              <w:fldChar w:fldCharType="separate"/>
            </w:r>
            <w:r w:rsidR="00862788">
              <w:rPr>
                <w:noProof/>
              </w:rPr>
              <w:t>31</w:t>
            </w:r>
            <w:r w:rsidR="000066DA" w:rsidRPr="000066DA">
              <w:rPr>
                <w:noProof/>
              </w:rPr>
              <w:fldChar w:fldCharType="end"/>
            </w:r>
          </w:hyperlink>
        </w:p>
        <w:p w14:paraId="07E59D86" w14:textId="1F57F6F8" w:rsidR="000066DA" w:rsidRPr="000066DA" w:rsidRDefault="00D26F03">
          <w:pPr>
            <w:pStyle w:val="Sommario2"/>
            <w:rPr>
              <w:rFonts w:ascii="Titillium" w:eastAsiaTheme="minorEastAsia" w:hAnsi="Titillium" w:cstheme="minorBidi"/>
              <w:smallCaps w:val="0"/>
              <w:noProof/>
              <w:kern w:val="2"/>
              <w:lang w:eastAsia="it-IT"/>
              <w14:ligatures w14:val="standardContextual"/>
            </w:rPr>
          </w:pPr>
          <w:hyperlink w:anchor="_Toc227921630" w:history="1">
            <w:r w:rsidR="000066DA" w:rsidRPr="000066DA">
              <w:rPr>
                <w:rStyle w:val="Collegamentoipertestuale"/>
                <w:rFonts w:ascii="Titillium" w:hAnsi="Titillium"/>
                <w:noProof/>
              </w:rPr>
              <w:t>7.</w:t>
            </w:r>
            <w:r w:rsidR="000066DA" w:rsidRPr="000066DA">
              <w:rPr>
                <w:rFonts w:ascii="Titillium" w:eastAsiaTheme="minorEastAsia" w:hAnsi="Titillium" w:cstheme="minorBidi"/>
                <w:smallCaps w:val="0"/>
                <w:noProof/>
                <w:kern w:val="2"/>
                <w:lang w:eastAsia="it-IT"/>
                <w14:ligatures w14:val="standardContextual"/>
              </w:rPr>
              <w:tab/>
            </w:r>
            <w:r w:rsidR="000066DA" w:rsidRPr="000066DA">
              <w:rPr>
                <w:rStyle w:val="Collegamentoipertestuale"/>
                <w:rFonts w:ascii="Titillium" w:hAnsi="Titillium"/>
                <w:noProof/>
              </w:rPr>
              <w:t>AVVALIMENTO</w:t>
            </w:r>
            <w:r w:rsidR="000066DA" w:rsidRPr="000066DA">
              <w:rPr>
                <w:rFonts w:ascii="Titillium" w:hAnsi="Titillium"/>
                <w:noProof/>
              </w:rPr>
              <w:tab/>
            </w:r>
            <w:r w:rsidR="000066DA" w:rsidRPr="000066DA">
              <w:rPr>
                <w:rFonts w:ascii="Titillium" w:hAnsi="Titillium"/>
                <w:noProof/>
              </w:rPr>
              <w:fldChar w:fldCharType="begin"/>
            </w:r>
            <w:r w:rsidR="000066DA" w:rsidRPr="000066DA">
              <w:rPr>
                <w:rFonts w:ascii="Titillium" w:hAnsi="Titillium"/>
                <w:noProof/>
              </w:rPr>
              <w:instrText xml:space="preserve"> PAGEREF _Toc227921630 \h </w:instrText>
            </w:r>
            <w:r w:rsidR="000066DA" w:rsidRPr="000066DA">
              <w:rPr>
                <w:rFonts w:ascii="Titillium" w:hAnsi="Titillium"/>
                <w:noProof/>
              </w:rPr>
            </w:r>
            <w:r w:rsidR="000066DA" w:rsidRPr="000066DA">
              <w:rPr>
                <w:rFonts w:ascii="Titillium" w:hAnsi="Titillium"/>
                <w:noProof/>
              </w:rPr>
              <w:fldChar w:fldCharType="separate"/>
            </w:r>
            <w:r w:rsidR="00862788">
              <w:rPr>
                <w:rFonts w:ascii="Titillium" w:hAnsi="Titillium"/>
                <w:noProof/>
              </w:rPr>
              <w:t>32</w:t>
            </w:r>
            <w:r w:rsidR="000066DA" w:rsidRPr="000066DA">
              <w:rPr>
                <w:rFonts w:ascii="Titillium" w:hAnsi="Titillium"/>
                <w:noProof/>
              </w:rPr>
              <w:fldChar w:fldCharType="end"/>
            </w:r>
          </w:hyperlink>
        </w:p>
        <w:p w14:paraId="0ED8D9A0" w14:textId="3E1200E2" w:rsidR="000066DA" w:rsidRPr="000066DA" w:rsidRDefault="00D26F03">
          <w:pPr>
            <w:pStyle w:val="Sommario2"/>
            <w:rPr>
              <w:rFonts w:ascii="Titillium" w:eastAsiaTheme="minorEastAsia" w:hAnsi="Titillium" w:cstheme="minorBidi"/>
              <w:smallCaps w:val="0"/>
              <w:noProof/>
              <w:kern w:val="2"/>
              <w:lang w:eastAsia="it-IT"/>
              <w14:ligatures w14:val="standardContextual"/>
            </w:rPr>
          </w:pPr>
          <w:hyperlink w:anchor="_Toc227921631" w:history="1">
            <w:r w:rsidR="000066DA" w:rsidRPr="000066DA">
              <w:rPr>
                <w:rStyle w:val="Collegamentoipertestuale"/>
                <w:rFonts w:ascii="Titillium" w:hAnsi="Titillium"/>
                <w:noProof/>
              </w:rPr>
              <w:t>8.</w:t>
            </w:r>
            <w:r w:rsidR="000066DA" w:rsidRPr="000066DA">
              <w:rPr>
                <w:rFonts w:ascii="Titillium" w:eastAsiaTheme="minorEastAsia" w:hAnsi="Titillium" w:cstheme="minorBidi"/>
                <w:smallCaps w:val="0"/>
                <w:noProof/>
                <w:kern w:val="2"/>
                <w:lang w:eastAsia="it-IT"/>
                <w14:ligatures w14:val="standardContextual"/>
              </w:rPr>
              <w:tab/>
            </w:r>
            <w:r w:rsidR="000066DA" w:rsidRPr="000066DA">
              <w:rPr>
                <w:rStyle w:val="Collegamentoipertestuale"/>
                <w:rFonts w:ascii="Titillium" w:hAnsi="Titillium"/>
                <w:noProof/>
              </w:rPr>
              <w:t>SUBAPPALTO</w:t>
            </w:r>
            <w:r w:rsidR="000066DA" w:rsidRPr="000066DA">
              <w:rPr>
                <w:rFonts w:ascii="Titillium" w:hAnsi="Titillium"/>
                <w:noProof/>
              </w:rPr>
              <w:tab/>
            </w:r>
            <w:r w:rsidR="000066DA" w:rsidRPr="000066DA">
              <w:rPr>
                <w:rFonts w:ascii="Titillium" w:hAnsi="Titillium"/>
                <w:noProof/>
              </w:rPr>
              <w:fldChar w:fldCharType="begin"/>
            </w:r>
            <w:r w:rsidR="000066DA" w:rsidRPr="000066DA">
              <w:rPr>
                <w:rFonts w:ascii="Titillium" w:hAnsi="Titillium"/>
                <w:noProof/>
              </w:rPr>
              <w:instrText xml:space="preserve"> PAGEREF _Toc227921631 \h </w:instrText>
            </w:r>
            <w:r w:rsidR="000066DA" w:rsidRPr="000066DA">
              <w:rPr>
                <w:rFonts w:ascii="Titillium" w:hAnsi="Titillium"/>
                <w:noProof/>
              </w:rPr>
            </w:r>
            <w:r w:rsidR="000066DA" w:rsidRPr="000066DA">
              <w:rPr>
                <w:rFonts w:ascii="Titillium" w:hAnsi="Titillium"/>
                <w:noProof/>
              </w:rPr>
              <w:fldChar w:fldCharType="separate"/>
            </w:r>
            <w:r w:rsidR="00862788">
              <w:rPr>
                <w:rFonts w:ascii="Titillium" w:hAnsi="Titillium"/>
                <w:noProof/>
              </w:rPr>
              <w:t>33</w:t>
            </w:r>
            <w:r w:rsidR="000066DA" w:rsidRPr="000066DA">
              <w:rPr>
                <w:rFonts w:ascii="Titillium" w:hAnsi="Titillium"/>
                <w:noProof/>
              </w:rPr>
              <w:fldChar w:fldCharType="end"/>
            </w:r>
          </w:hyperlink>
        </w:p>
        <w:p w14:paraId="30218E97" w14:textId="0957C999" w:rsidR="000066DA" w:rsidRPr="000066DA" w:rsidRDefault="00D26F03">
          <w:pPr>
            <w:pStyle w:val="Sommario2"/>
            <w:rPr>
              <w:rFonts w:ascii="Titillium" w:eastAsiaTheme="minorEastAsia" w:hAnsi="Titillium" w:cstheme="minorBidi"/>
              <w:smallCaps w:val="0"/>
              <w:noProof/>
              <w:kern w:val="2"/>
              <w:lang w:eastAsia="it-IT"/>
              <w14:ligatures w14:val="standardContextual"/>
            </w:rPr>
          </w:pPr>
          <w:hyperlink w:anchor="_Toc227921632" w:history="1">
            <w:r w:rsidR="000066DA" w:rsidRPr="000066DA">
              <w:rPr>
                <w:rStyle w:val="Collegamentoipertestuale"/>
                <w:rFonts w:ascii="Titillium" w:hAnsi="Titillium"/>
                <w:noProof/>
              </w:rPr>
              <w:t>9.</w:t>
            </w:r>
            <w:r w:rsidR="000066DA" w:rsidRPr="000066DA">
              <w:rPr>
                <w:rFonts w:ascii="Titillium" w:eastAsiaTheme="minorEastAsia" w:hAnsi="Titillium" w:cstheme="minorBidi"/>
                <w:smallCaps w:val="0"/>
                <w:noProof/>
                <w:kern w:val="2"/>
                <w:lang w:eastAsia="it-IT"/>
                <w14:ligatures w14:val="standardContextual"/>
              </w:rPr>
              <w:tab/>
            </w:r>
            <w:r w:rsidR="000066DA" w:rsidRPr="000066DA">
              <w:rPr>
                <w:rStyle w:val="Collegamentoipertestuale"/>
                <w:rFonts w:ascii="Titillium" w:hAnsi="Titillium"/>
                <w:noProof/>
              </w:rPr>
              <w:t>REQUISITI DI PARTECIPAZIONE E/O CONDIZIONI DI ESECUZIONE</w:t>
            </w:r>
            <w:r w:rsidR="000066DA" w:rsidRPr="000066DA">
              <w:rPr>
                <w:rFonts w:ascii="Titillium" w:hAnsi="Titillium"/>
                <w:noProof/>
              </w:rPr>
              <w:tab/>
            </w:r>
            <w:r w:rsidR="000066DA" w:rsidRPr="000066DA">
              <w:rPr>
                <w:rFonts w:ascii="Titillium" w:hAnsi="Titillium"/>
                <w:noProof/>
              </w:rPr>
              <w:fldChar w:fldCharType="begin"/>
            </w:r>
            <w:r w:rsidR="000066DA" w:rsidRPr="000066DA">
              <w:rPr>
                <w:rFonts w:ascii="Titillium" w:hAnsi="Titillium"/>
                <w:noProof/>
              </w:rPr>
              <w:instrText xml:space="preserve"> PAGEREF _Toc227921632 \h </w:instrText>
            </w:r>
            <w:r w:rsidR="000066DA" w:rsidRPr="000066DA">
              <w:rPr>
                <w:rFonts w:ascii="Titillium" w:hAnsi="Titillium"/>
                <w:noProof/>
              </w:rPr>
            </w:r>
            <w:r w:rsidR="000066DA" w:rsidRPr="000066DA">
              <w:rPr>
                <w:rFonts w:ascii="Titillium" w:hAnsi="Titillium"/>
                <w:noProof/>
              </w:rPr>
              <w:fldChar w:fldCharType="separate"/>
            </w:r>
            <w:r w:rsidR="00862788">
              <w:rPr>
                <w:rFonts w:ascii="Titillium" w:hAnsi="Titillium"/>
                <w:noProof/>
              </w:rPr>
              <w:t>34</w:t>
            </w:r>
            <w:r w:rsidR="000066DA" w:rsidRPr="000066DA">
              <w:rPr>
                <w:rFonts w:ascii="Titillium" w:hAnsi="Titillium"/>
                <w:noProof/>
              </w:rPr>
              <w:fldChar w:fldCharType="end"/>
            </w:r>
          </w:hyperlink>
        </w:p>
        <w:p w14:paraId="12680AEE" w14:textId="63AED3F5" w:rsidR="000066DA" w:rsidRPr="000066DA" w:rsidRDefault="00D26F03">
          <w:pPr>
            <w:pStyle w:val="Sommario2"/>
            <w:rPr>
              <w:rFonts w:ascii="Titillium" w:eastAsiaTheme="minorEastAsia" w:hAnsi="Titillium" w:cstheme="minorBidi"/>
              <w:smallCaps w:val="0"/>
              <w:noProof/>
              <w:kern w:val="2"/>
              <w:lang w:eastAsia="it-IT"/>
              <w14:ligatures w14:val="standardContextual"/>
            </w:rPr>
          </w:pPr>
          <w:hyperlink w:anchor="_Toc227921633" w:history="1">
            <w:r w:rsidR="000066DA" w:rsidRPr="000066DA">
              <w:rPr>
                <w:rStyle w:val="Collegamentoipertestuale"/>
                <w:rFonts w:ascii="Titillium" w:hAnsi="Titillium"/>
                <w:noProof/>
              </w:rPr>
              <w:t>10.</w:t>
            </w:r>
            <w:r w:rsidR="000066DA" w:rsidRPr="000066DA">
              <w:rPr>
                <w:rFonts w:ascii="Titillium" w:eastAsiaTheme="minorEastAsia" w:hAnsi="Titillium" w:cstheme="minorBidi"/>
                <w:smallCaps w:val="0"/>
                <w:noProof/>
                <w:kern w:val="2"/>
                <w:lang w:eastAsia="it-IT"/>
                <w14:ligatures w14:val="standardContextual"/>
              </w:rPr>
              <w:tab/>
            </w:r>
            <w:r w:rsidR="000066DA" w:rsidRPr="000066DA">
              <w:rPr>
                <w:rStyle w:val="Collegamentoipertestuale"/>
                <w:rFonts w:ascii="Titillium" w:hAnsi="Titillium"/>
                <w:noProof/>
              </w:rPr>
              <w:t>GARANZIA PROVVISORIA</w:t>
            </w:r>
            <w:r w:rsidR="000066DA" w:rsidRPr="000066DA">
              <w:rPr>
                <w:rFonts w:ascii="Titillium" w:hAnsi="Titillium"/>
                <w:noProof/>
              </w:rPr>
              <w:tab/>
            </w:r>
            <w:r w:rsidR="000066DA" w:rsidRPr="000066DA">
              <w:rPr>
                <w:rFonts w:ascii="Titillium" w:hAnsi="Titillium"/>
                <w:noProof/>
              </w:rPr>
              <w:fldChar w:fldCharType="begin"/>
            </w:r>
            <w:r w:rsidR="000066DA" w:rsidRPr="000066DA">
              <w:rPr>
                <w:rFonts w:ascii="Titillium" w:hAnsi="Titillium"/>
                <w:noProof/>
              </w:rPr>
              <w:instrText xml:space="preserve"> PAGEREF _Toc227921633 \h </w:instrText>
            </w:r>
            <w:r w:rsidR="000066DA" w:rsidRPr="000066DA">
              <w:rPr>
                <w:rFonts w:ascii="Titillium" w:hAnsi="Titillium"/>
                <w:noProof/>
              </w:rPr>
            </w:r>
            <w:r w:rsidR="000066DA" w:rsidRPr="000066DA">
              <w:rPr>
                <w:rFonts w:ascii="Titillium" w:hAnsi="Titillium"/>
                <w:noProof/>
              </w:rPr>
              <w:fldChar w:fldCharType="separate"/>
            </w:r>
            <w:r w:rsidR="00862788">
              <w:rPr>
                <w:rFonts w:ascii="Titillium" w:hAnsi="Titillium"/>
                <w:noProof/>
              </w:rPr>
              <w:t>35</w:t>
            </w:r>
            <w:r w:rsidR="000066DA" w:rsidRPr="000066DA">
              <w:rPr>
                <w:rFonts w:ascii="Titillium" w:hAnsi="Titillium"/>
                <w:noProof/>
              </w:rPr>
              <w:fldChar w:fldCharType="end"/>
            </w:r>
          </w:hyperlink>
        </w:p>
        <w:p w14:paraId="3C77F84B" w14:textId="1626E8B8" w:rsidR="000066DA" w:rsidRPr="000066DA" w:rsidRDefault="00D26F03">
          <w:pPr>
            <w:pStyle w:val="Sommario2"/>
            <w:rPr>
              <w:rFonts w:ascii="Titillium" w:eastAsiaTheme="minorEastAsia" w:hAnsi="Titillium" w:cstheme="minorBidi"/>
              <w:smallCaps w:val="0"/>
              <w:noProof/>
              <w:kern w:val="2"/>
              <w:lang w:eastAsia="it-IT"/>
              <w14:ligatures w14:val="standardContextual"/>
            </w:rPr>
          </w:pPr>
          <w:hyperlink w:anchor="_Toc227921634" w:history="1">
            <w:r w:rsidR="000066DA" w:rsidRPr="000066DA">
              <w:rPr>
                <w:rStyle w:val="Collegamentoipertestuale"/>
                <w:rFonts w:ascii="Titillium" w:hAnsi="Titillium"/>
                <w:noProof/>
              </w:rPr>
              <w:t>11.</w:t>
            </w:r>
            <w:r w:rsidR="000066DA" w:rsidRPr="000066DA">
              <w:rPr>
                <w:rFonts w:ascii="Titillium" w:eastAsiaTheme="minorEastAsia" w:hAnsi="Titillium" w:cstheme="minorBidi"/>
                <w:smallCaps w:val="0"/>
                <w:noProof/>
                <w:kern w:val="2"/>
                <w:lang w:eastAsia="it-IT"/>
                <w14:ligatures w14:val="standardContextual"/>
              </w:rPr>
              <w:tab/>
            </w:r>
            <w:r w:rsidR="000066DA" w:rsidRPr="000066DA">
              <w:rPr>
                <w:rStyle w:val="Collegamentoipertestuale"/>
                <w:rFonts w:ascii="Titillium" w:hAnsi="Titillium"/>
                <w:noProof/>
              </w:rPr>
              <w:t>SOPRALLUOGO [</w:t>
            </w:r>
            <w:r w:rsidR="000066DA" w:rsidRPr="000066DA">
              <w:rPr>
                <w:rStyle w:val="Collegamentoipertestuale"/>
                <w:rFonts w:ascii="Titillium" w:hAnsi="Titillium"/>
                <w:i/>
                <w:noProof/>
              </w:rPr>
              <w:t>FACOLTATIVO</w:t>
            </w:r>
            <w:r w:rsidR="000066DA" w:rsidRPr="000066DA">
              <w:rPr>
                <w:rStyle w:val="Collegamentoipertestuale"/>
                <w:rFonts w:ascii="Titillium" w:hAnsi="Titillium"/>
                <w:noProof/>
              </w:rPr>
              <w:t>]</w:t>
            </w:r>
            <w:r w:rsidR="000066DA" w:rsidRPr="000066DA">
              <w:rPr>
                <w:rFonts w:ascii="Titillium" w:hAnsi="Titillium"/>
                <w:noProof/>
              </w:rPr>
              <w:tab/>
            </w:r>
            <w:r w:rsidR="000066DA" w:rsidRPr="000066DA">
              <w:rPr>
                <w:rFonts w:ascii="Titillium" w:hAnsi="Titillium"/>
                <w:noProof/>
              </w:rPr>
              <w:fldChar w:fldCharType="begin"/>
            </w:r>
            <w:r w:rsidR="000066DA" w:rsidRPr="000066DA">
              <w:rPr>
                <w:rFonts w:ascii="Titillium" w:hAnsi="Titillium"/>
                <w:noProof/>
              </w:rPr>
              <w:instrText xml:space="preserve"> PAGEREF _Toc227921634 \h </w:instrText>
            </w:r>
            <w:r w:rsidR="000066DA" w:rsidRPr="000066DA">
              <w:rPr>
                <w:rFonts w:ascii="Titillium" w:hAnsi="Titillium"/>
                <w:noProof/>
              </w:rPr>
            </w:r>
            <w:r w:rsidR="000066DA" w:rsidRPr="000066DA">
              <w:rPr>
                <w:rFonts w:ascii="Titillium" w:hAnsi="Titillium"/>
                <w:noProof/>
              </w:rPr>
              <w:fldChar w:fldCharType="separate"/>
            </w:r>
            <w:r w:rsidR="00862788">
              <w:rPr>
                <w:rFonts w:ascii="Titillium" w:hAnsi="Titillium"/>
                <w:noProof/>
              </w:rPr>
              <w:t>37</w:t>
            </w:r>
            <w:r w:rsidR="000066DA" w:rsidRPr="000066DA">
              <w:rPr>
                <w:rFonts w:ascii="Titillium" w:hAnsi="Titillium"/>
                <w:noProof/>
              </w:rPr>
              <w:fldChar w:fldCharType="end"/>
            </w:r>
          </w:hyperlink>
        </w:p>
        <w:p w14:paraId="617D390D" w14:textId="1D511D90" w:rsidR="000066DA" w:rsidRPr="000066DA" w:rsidRDefault="00D26F03">
          <w:pPr>
            <w:pStyle w:val="Sommario2"/>
            <w:rPr>
              <w:rFonts w:ascii="Titillium" w:eastAsiaTheme="minorEastAsia" w:hAnsi="Titillium" w:cstheme="minorBidi"/>
              <w:smallCaps w:val="0"/>
              <w:noProof/>
              <w:kern w:val="2"/>
              <w:lang w:eastAsia="it-IT"/>
              <w14:ligatures w14:val="standardContextual"/>
            </w:rPr>
          </w:pPr>
          <w:hyperlink w:anchor="_Toc227921635" w:history="1">
            <w:r w:rsidR="000066DA" w:rsidRPr="000066DA">
              <w:rPr>
                <w:rStyle w:val="Collegamentoipertestuale"/>
                <w:rFonts w:ascii="Titillium" w:hAnsi="Titillium"/>
                <w:noProof/>
              </w:rPr>
              <w:t>12.</w:t>
            </w:r>
            <w:r w:rsidR="000066DA" w:rsidRPr="000066DA">
              <w:rPr>
                <w:rFonts w:ascii="Titillium" w:eastAsiaTheme="minorEastAsia" w:hAnsi="Titillium" w:cstheme="minorBidi"/>
                <w:smallCaps w:val="0"/>
                <w:noProof/>
                <w:kern w:val="2"/>
                <w:lang w:eastAsia="it-IT"/>
                <w14:ligatures w14:val="standardContextual"/>
              </w:rPr>
              <w:tab/>
            </w:r>
            <w:r w:rsidR="000066DA" w:rsidRPr="000066DA">
              <w:rPr>
                <w:rStyle w:val="Collegamentoipertestuale"/>
                <w:rFonts w:ascii="Titillium" w:hAnsi="Titillium"/>
                <w:noProof/>
              </w:rPr>
              <w:t>PAGAMENTO DEL CONTRIBUTO A FAVORE DELL’ANAC</w:t>
            </w:r>
            <w:r w:rsidR="000066DA" w:rsidRPr="000066DA">
              <w:rPr>
                <w:rFonts w:ascii="Titillium" w:hAnsi="Titillium"/>
                <w:noProof/>
              </w:rPr>
              <w:tab/>
            </w:r>
            <w:r w:rsidR="000066DA" w:rsidRPr="000066DA">
              <w:rPr>
                <w:rFonts w:ascii="Titillium" w:hAnsi="Titillium"/>
                <w:noProof/>
              </w:rPr>
              <w:fldChar w:fldCharType="begin"/>
            </w:r>
            <w:r w:rsidR="000066DA" w:rsidRPr="000066DA">
              <w:rPr>
                <w:rFonts w:ascii="Titillium" w:hAnsi="Titillium"/>
                <w:noProof/>
              </w:rPr>
              <w:instrText xml:space="preserve"> PAGEREF _Toc227921635 \h </w:instrText>
            </w:r>
            <w:r w:rsidR="000066DA" w:rsidRPr="000066DA">
              <w:rPr>
                <w:rFonts w:ascii="Titillium" w:hAnsi="Titillium"/>
                <w:noProof/>
              </w:rPr>
            </w:r>
            <w:r w:rsidR="000066DA" w:rsidRPr="000066DA">
              <w:rPr>
                <w:rFonts w:ascii="Titillium" w:hAnsi="Titillium"/>
                <w:noProof/>
              </w:rPr>
              <w:fldChar w:fldCharType="separate"/>
            </w:r>
            <w:r w:rsidR="00862788">
              <w:rPr>
                <w:rFonts w:ascii="Titillium" w:hAnsi="Titillium"/>
                <w:noProof/>
              </w:rPr>
              <w:t>37</w:t>
            </w:r>
            <w:r w:rsidR="000066DA" w:rsidRPr="000066DA">
              <w:rPr>
                <w:rFonts w:ascii="Titillium" w:hAnsi="Titillium"/>
                <w:noProof/>
              </w:rPr>
              <w:fldChar w:fldCharType="end"/>
            </w:r>
          </w:hyperlink>
        </w:p>
        <w:p w14:paraId="1C027F77" w14:textId="2E7E41A6" w:rsidR="000066DA" w:rsidRPr="000066DA" w:rsidRDefault="00D26F03">
          <w:pPr>
            <w:pStyle w:val="Sommario2"/>
            <w:rPr>
              <w:rFonts w:ascii="Titillium" w:eastAsiaTheme="minorEastAsia" w:hAnsi="Titillium" w:cstheme="minorBidi"/>
              <w:smallCaps w:val="0"/>
              <w:noProof/>
              <w:kern w:val="2"/>
              <w:lang w:eastAsia="it-IT"/>
              <w14:ligatures w14:val="standardContextual"/>
            </w:rPr>
          </w:pPr>
          <w:hyperlink w:anchor="_Toc227921636" w:history="1">
            <w:r w:rsidR="000066DA" w:rsidRPr="000066DA">
              <w:rPr>
                <w:rStyle w:val="Collegamentoipertestuale"/>
                <w:rFonts w:ascii="Titillium" w:hAnsi="Titillium"/>
                <w:noProof/>
              </w:rPr>
              <w:t>13.</w:t>
            </w:r>
            <w:r w:rsidR="000066DA" w:rsidRPr="000066DA">
              <w:rPr>
                <w:rFonts w:ascii="Titillium" w:eastAsiaTheme="minorEastAsia" w:hAnsi="Titillium" w:cstheme="minorBidi"/>
                <w:smallCaps w:val="0"/>
                <w:noProof/>
                <w:kern w:val="2"/>
                <w:lang w:eastAsia="it-IT"/>
                <w14:ligatures w14:val="standardContextual"/>
              </w:rPr>
              <w:tab/>
            </w:r>
            <w:r w:rsidR="000066DA" w:rsidRPr="000066DA">
              <w:rPr>
                <w:rStyle w:val="Collegamentoipertestuale"/>
                <w:rFonts w:ascii="Titillium" w:hAnsi="Titillium"/>
                <w:noProof/>
              </w:rPr>
              <w:t>MODALITÀ DI PRESENTAZIONE DELL’OFFERTA E SOTTOSCRIZIONE DEI DOCUMENTI DI GARA</w:t>
            </w:r>
            <w:r w:rsidR="000066DA" w:rsidRPr="000066DA">
              <w:rPr>
                <w:rFonts w:ascii="Titillium" w:hAnsi="Titillium"/>
                <w:noProof/>
              </w:rPr>
              <w:tab/>
            </w:r>
            <w:r w:rsidR="000066DA" w:rsidRPr="000066DA">
              <w:rPr>
                <w:rFonts w:ascii="Titillium" w:hAnsi="Titillium"/>
                <w:noProof/>
              </w:rPr>
              <w:fldChar w:fldCharType="begin"/>
            </w:r>
            <w:r w:rsidR="000066DA" w:rsidRPr="000066DA">
              <w:rPr>
                <w:rFonts w:ascii="Titillium" w:hAnsi="Titillium"/>
                <w:noProof/>
              </w:rPr>
              <w:instrText xml:space="preserve"> PAGEREF _Toc227921636 \h </w:instrText>
            </w:r>
            <w:r w:rsidR="000066DA" w:rsidRPr="000066DA">
              <w:rPr>
                <w:rFonts w:ascii="Titillium" w:hAnsi="Titillium"/>
                <w:noProof/>
              </w:rPr>
            </w:r>
            <w:r w:rsidR="000066DA" w:rsidRPr="000066DA">
              <w:rPr>
                <w:rFonts w:ascii="Titillium" w:hAnsi="Titillium"/>
                <w:noProof/>
              </w:rPr>
              <w:fldChar w:fldCharType="separate"/>
            </w:r>
            <w:r w:rsidR="00862788">
              <w:rPr>
                <w:rFonts w:ascii="Titillium" w:hAnsi="Titillium"/>
                <w:noProof/>
              </w:rPr>
              <w:t>38</w:t>
            </w:r>
            <w:r w:rsidR="000066DA" w:rsidRPr="000066DA">
              <w:rPr>
                <w:rFonts w:ascii="Titillium" w:hAnsi="Titillium"/>
                <w:noProof/>
              </w:rPr>
              <w:fldChar w:fldCharType="end"/>
            </w:r>
          </w:hyperlink>
        </w:p>
        <w:p w14:paraId="26E0C69B" w14:textId="7258D8E8" w:rsidR="000066DA" w:rsidRPr="000066DA" w:rsidRDefault="00D26F03">
          <w:pPr>
            <w:pStyle w:val="Sommario3"/>
            <w:rPr>
              <w:rFonts w:cstheme="minorBidi"/>
              <w:iCs w:val="0"/>
              <w:noProof/>
              <w:kern w:val="2"/>
              <w:lang w:eastAsia="it-IT"/>
              <w14:ligatures w14:val="standardContextual"/>
            </w:rPr>
          </w:pPr>
          <w:hyperlink w:anchor="_Toc227921637" w:history="1">
            <w:r w:rsidR="000066DA" w:rsidRPr="000066DA">
              <w:rPr>
                <w:rStyle w:val="Collegamentoipertestuale"/>
                <w:rFonts w:cs="Calibri"/>
                <w:noProof/>
              </w:rPr>
              <w:t>13.1. REGOLE PER LA PRESENTAZIONE DELL’OFFERTA</w:t>
            </w:r>
            <w:r w:rsidR="000066DA" w:rsidRPr="000066DA">
              <w:rPr>
                <w:noProof/>
              </w:rPr>
              <w:tab/>
            </w:r>
            <w:r w:rsidR="000066DA" w:rsidRPr="000066DA">
              <w:rPr>
                <w:noProof/>
              </w:rPr>
              <w:fldChar w:fldCharType="begin"/>
            </w:r>
            <w:r w:rsidR="000066DA" w:rsidRPr="000066DA">
              <w:rPr>
                <w:noProof/>
              </w:rPr>
              <w:instrText xml:space="preserve"> PAGEREF _Toc227921637 \h </w:instrText>
            </w:r>
            <w:r w:rsidR="000066DA" w:rsidRPr="000066DA">
              <w:rPr>
                <w:noProof/>
              </w:rPr>
            </w:r>
            <w:r w:rsidR="000066DA" w:rsidRPr="000066DA">
              <w:rPr>
                <w:noProof/>
              </w:rPr>
              <w:fldChar w:fldCharType="separate"/>
            </w:r>
            <w:r w:rsidR="00862788">
              <w:rPr>
                <w:noProof/>
              </w:rPr>
              <w:t>39</w:t>
            </w:r>
            <w:r w:rsidR="000066DA" w:rsidRPr="000066DA">
              <w:rPr>
                <w:noProof/>
              </w:rPr>
              <w:fldChar w:fldCharType="end"/>
            </w:r>
          </w:hyperlink>
        </w:p>
        <w:p w14:paraId="18300200" w14:textId="084FD5DF" w:rsidR="000066DA" w:rsidRPr="000066DA" w:rsidRDefault="00D26F03">
          <w:pPr>
            <w:pStyle w:val="Sommario2"/>
            <w:rPr>
              <w:rFonts w:ascii="Titillium" w:eastAsiaTheme="minorEastAsia" w:hAnsi="Titillium" w:cstheme="minorBidi"/>
              <w:smallCaps w:val="0"/>
              <w:noProof/>
              <w:kern w:val="2"/>
              <w:lang w:eastAsia="it-IT"/>
              <w14:ligatures w14:val="standardContextual"/>
            </w:rPr>
          </w:pPr>
          <w:hyperlink w:anchor="_Toc227921638" w:history="1">
            <w:r w:rsidR="000066DA" w:rsidRPr="000066DA">
              <w:rPr>
                <w:rStyle w:val="Collegamentoipertestuale"/>
                <w:rFonts w:ascii="Titillium" w:hAnsi="Titillium"/>
                <w:noProof/>
              </w:rPr>
              <w:t>14.</w:t>
            </w:r>
            <w:r w:rsidR="000066DA" w:rsidRPr="000066DA">
              <w:rPr>
                <w:rFonts w:ascii="Titillium" w:eastAsiaTheme="minorEastAsia" w:hAnsi="Titillium" w:cstheme="minorBidi"/>
                <w:smallCaps w:val="0"/>
                <w:noProof/>
                <w:kern w:val="2"/>
                <w:lang w:eastAsia="it-IT"/>
                <w14:ligatures w14:val="standardContextual"/>
              </w:rPr>
              <w:tab/>
            </w:r>
            <w:r w:rsidR="000066DA" w:rsidRPr="000066DA">
              <w:rPr>
                <w:rStyle w:val="Collegamentoipertestuale"/>
                <w:rFonts w:ascii="Titillium" w:hAnsi="Titillium"/>
                <w:noProof/>
              </w:rPr>
              <w:t>SOCCORSO ISTRUTTORIO</w:t>
            </w:r>
            <w:r w:rsidR="000066DA" w:rsidRPr="000066DA">
              <w:rPr>
                <w:rFonts w:ascii="Titillium" w:hAnsi="Titillium"/>
                <w:noProof/>
              </w:rPr>
              <w:tab/>
            </w:r>
            <w:r w:rsidR="000066DA" w:rsidRPr="000066DA">
              <w:rPr>
                <w:rFonts w:ascii="Titillium" w:hAnsi="Titillium"/>
                <w:noProof/>
              </w:rPr>
              <w:fldChar w:fldCharType="begin"/>
            </w:r>
            <w:r w:rsidR="000066DA" w:rsidRPr="000066DA">
              <w:rPr>
                <w:rFonts w:ascii="Titillium" w:hAnsi="Titillium"/>
                <w:noProof/>
              </w:rPr>
              <w:instrText xml:space="preserve"> PAGEREF _Toc227921638 \h </w:instrText>
            </w:r>
            <w:r w:rsidR="000066DA" w:rsidRPr="000066DA">
              <w:rPr>
                <w:rFonts w:ascii="Titillium" w:hAnsi="Titillium"/>
                <w:noProof/>
              </w:rPr>
            </w:r>
            <w:r w:rsidR="000066DA" w:rsidRPr="000066DA">
              <w:rPr>
                <w:rFonts w:ascii="Titillium" w:hAnsi="Titillium"/>
                <w:noProof/>
              </w:rPr>
              <w:fldChar w:fldCharType="separate"/>
            </w:r>
            <w:r w:rsidR="00862788">
              <w:rPr>
                <w:rFonts w:ascii="Titillium" w:hAnsi="Titillium"/>
                <w:noProof/>
              </w:rPr>
              <w:t>40</w:t>
            </w:r>
            <w:r w:rsidR="000066DA" w:rsidRPr="000066DA">
              <w:rPr>
                <w:rFonts w:ascii="Titillium" w:hAnsi="Titillium"/>
                <w:noProof/>
              </w:rPr>
              <w:fldChar w:fldCharType="end"/>
            </w:r>
          </w:hyperlink>
        </w:p>
        <w:p w14:paraId="04C97DBD" w14:textId="26F85523" w:rsidR="000066DA" w:rsidRPr="000066DA" w:rsidRDefault="00D26F03">
          <w:pPr>
            <w:pStyle w:val="Sommario2"/>
            <w:rPr>
              <w:rFonts w:ascii="Titillium" w:eastAsiaTheme="minorEastAsia" w:hAnsi="Titillium" w:cstheme="minorBidi"/>
              <w:smallCaps w:val="0"/>
              <w:noProof/>
              <w:kern w:val="2"/>
              <w:lang w:eastAsia="it-IT"/>
              <w14:ligatures w14:val="standardContextual"/>
            </w:rPr>
          </w:pPr>
          <w:hyperlink w:anchor="_Toc227921639" w:history="1">
            <w:r w:rsidR="000066DA" w:rsidRPr="000066DA">
              <w:rPr>
                <w:rStyle w:val="Collegamentoipertestuale"/>
                <w:rFonts w:ascii="Titillium" w:hAnsi="Titillium"/>
                <w:noProof/>
              </w:rPr>
              <w:t>15.</w:t>
            </w:r>
            <w:r w:rsidR="000066DA" w:rsidRPr="000066DA">
              <w:rPr>
                <w:rFonts w:ascii="Titillium" w:eastAsiaTheme="minorEastAsia" w:hAnsi="Titillium" w:cstheme="minorBidi"/>
                <w:smallCaps w:val="0"/>
                <w:noProof/>
                <w:kern w:val="2"/>
                <w:lang w:eastAsia="it-IT"/>
                <w14:ligatures w14:val="standardContextual"/>
              </w:rPr>
              <w:tab/>
            </w:r>
            <w:r w:rsidR="000066DA" w:rsidRPr="000066DA">
              <w:rPr>
                <w:rStyle w:val="Collegamentoipertestuale"/>
                <w:rFonts w:ascii="Titillium" w:hAnsi="Titillium"/>
                <w:noProof/>
              </w:rPr>
              <w:t>DOMANDA DI PARTECIPAZIONE E DOCUMENTAZIONE AMMINISTRATIVA</w:t>
            </w:r>
            <w:r w:rsidR="000066DA" w:rsidRPr="000066DA">
              <w:rPr>
                <w:rFonts w:ascii="Titillium" w:hAnsi="Titillium"/>
                <w:noProof/>
              </w:rPr>
              <w:tab/>
            </w:r>
            <w:r w:rsidR="000066DA" w:rsidRPr="000066DA">
              <w:rPr>
                <w:rFonts w:ascii="Titillium" w:hAnsi="Titillium"/>
                <w:noProof/>
              </w:rPr>
              <w:fldChar w:fldCharType="begin"/>
            </w:r>
            <w:r w:rsidR="000066DA" w:rsidRPr="000066DA">
              <w:rPr>
                <w:rFonts w:ascii="Titillium" w:hAnsi="Titillium"/>
                <w:noProof/>
              </w:rPr>
              <w:instrText xml:space="preserve"> PAGEREF _Toc227921639 \h </w:instrText>
            </w:r>
            <w:r w:rsidR="000066DA" w:rsidRPr="000066DA">
              <w:rPr>
                <w:rFonts w:ascii="Titillium" w:hAnsi="Titillium"/>
                <w:noProof/>
              </w:rPr>
            </w:r>
            <w:r w:rsidR="000066DA" w:rsidRPr="000066DA">
              <w:rPr>
                <w:rFonts w:ascii="Titillium" w:hAnsi="Titillium"/>
                <w:noProof/>
              </w:rPr>
              <w:fldChar w:fldCharType="separate"/>
            </w:r>
            <w:r w:rsidR="00862788">
              <w:rPr>
                <w:rFonts w:ascii="Titillium" w:hAnsi="Titillium"/>
                <w:noProof/>
              </w:rPr>
              <w:t>41</w:t>
            </w:r>
            <w:r w:rsidR="000066DA" w:rsidRPr="000066DA">
              <w:rPr>
                <w:rFonts w:ascii="Titillium" w:hAnsi="Titillium"/>
                <w:noProof/>
              </w:rPr>
              <w:fldChar w:fldCharType="end"/>
            </w:r>
          </w:hyperlink>
        </w:p>
        <w:p w14:paraId="40E976EE" w14:textId="5390EE2D" w:rsidR="000066DA" w:rsidRPr="000066DA" w:rsidRDefault="00D26F03">
          <w:pPr>
            <w:pStyle w:val="Sommario3"/>
            <w:rPr>
              <w:rFonts w:cstheme="minorBidi"/>
              <w:iCs w:val="0"/>
              <w:noProof/>
              <w:kern w:val="2"/>
              <w:lang w:eastAsia="it-IT"/>
              <w14:ligatures w14:val="standardContextual"/>
            </w:rPr>
          </w:pPr>
          <w:hyperlink w:anchor="_Toc227921640" w:history="1">
            <w:r w:rsidR="000066DA" w:rsidRPr="000066DA">
              <w:rPr>
                <w:rStyle w:val="Collegamentoipertestuale"/>
                <w:noProof/>
              </w:rPr>
              <w:t>15.1.</w:t>
            </w:r>
            <w:r w:rsidR="000066DA" w:rsidRPr="000066DA">
              <w:rPr>
                <w:rFonts w:cstheme="minorBidi"/>
                <w:iCs w:val="0"/>
                <w:noProof/>
                <w:kern w:val="2"/>
                <w:lang w:eastAsia="it-IT"/>
                <w14:ligatures w14:val="standardContextual"/>
              </w:rPr>
              <w:tab/>
            </w:r>
            <w:r w:rsidR="000066DA" w:rsidRPr="000066DA">
              <w:rPr>
                <w:rStyle w:val="Collegamentoipertestuale"/>
                <w:noProof/>
              </w:rPr>
              <w:t>DOMANDA DI PARTECIPAZIONE ED EVENTUALE PROCURA</w:t>
            </w:r>
            <w:r w:rsidR="000066DA" w:rsidRPr="000066DA">
              <w:rPr>
                <w:noProof/>
              </w:rPr>
              <w:tab/>
            </w:r>
            <w:r w:rsidR="000066DA" w:rsidRPr="000066DA">
              <w:rPr>
                <w:noProof/>
              </w:rPr>
              <w:fldChar w:fldCharType="begin"/>
            </w:r>
            <w:r w:rsidR="000066DA" w:rsidRPr="000066DA">
              <w:rPr>
                <w:noProof/>
              </w:rPr>
              <w:instrText xml:space="preserve"> PAGEREF _Toc227921640 \h </w:instrText>
            </w:r>
            <w:r w:rsidR="000066DA" w:rsidRPr="000066DA">
              <w:rPr>
                <w:noProof/>
              </w:rPr>
            </w:r>
            <w:r w:rsidR="000066DA" w:rsidRPr="000066DA">
              <w:rPr>
                <w:noProof/>
              </w:rPr>
              <w:fldChar w:fldCharType="separate"/>
            </w:r>
            <w:r w:rsidR="00862788">
              <w:rPr>
                <w:noProof/>
              </w:rPr>
              <w:t>42</w:t>
            </w:r>
            <w:r w:rsidR="000066DA" w:rsidRPr="000066DA">
              <w:rPr>
                <w:noProof/>
              </w:rPr>
              <w:fldChar w:fldCharType="end"/>
            </w:r>
          </w:hyperlink>
        </w:p>
        <w:p w14:paraId="578455F0" w14:textId="6A5E76AA" w:rsidR="000066DA" w:rsidRPr="000066DA" w:rsidRDefault="00D26F03">
          <w:pPr>
            <w:pStyle w:val="Sommario3"/>
            <w:rPr>
              <w:rFonts w:cstheme="minorBidi"/>
              <w:iCs w:val="0"/>
              <w:noProof/>
              <w:kern w:val="2"/>
              <w:lang w:eastAsia="it-IT"/>
              <w14:ligatures w14:val="standardContextual"/>
            </w:rPr>
          </w:pPr>
          <w:hyperlink w:anchor="_Toc227921641" w:history="1">
            <w:r w:rsidR="000066DA" w:rsidRPr="000066DA">
              <w:rPr>
                <w:rStyle w:val="Collegamentoipertestuale"/>
                <w:noProof/>
              </w:rPr>
              <w:t>15.2.</w:t>
            </w:r>
            <w:r w:rsidR="000066DA" w:rsidRPr="000066DA">
              <w:rPr>
                <w:rFonts w:cstheme="minorBidi"/>
                <w:iCs w:val="0"/>
                <w:noProof/>
                <w:kern w:val="2"/>
                <w:lang w:eastAsia="it-IT"/>
                <w14:ligatures w14:val="standardContextual"/>
              </w:rPr>
              <w:tab/>
            </w:r>
            <w:r w:rsidR="000066DA" w:rsidRPr="000066DA">
              <w:rPr>
                <w:rStyle w:val="Collegamentoipertestuale"/>
                <w:noProof/>
              </w:rPr>
              <w:t>DICHIARAZIONI DA RENDERE A CURA DEGLI OPERATORI ECONOMICI AMMESSI AL CONCORDATO PREVENTIVO CON CONTINUITÀ AZIENDALE DI CUI ALL’ARTICOLO 372 del DECRETO LEGISLATIVO 12 GENNAIO 2019, n. 14</w:t>
            </w:r>
            <w:r w:rsidR="000066DA" w:rsidRPr="000066DA">
              <w:rPr>
                <w:noProof/>
              </w:rPr>
              <w:tab/>
            </w:r>
            <w:r w:rsidR="000066DA" w:rsidRPr="000066DA">
              <w:rPr>
                <w:noProof/>
              </w:rPr>
              <w:fldChar w:fldCharType="begin"/>
            </w:r>
            <w:r w:rsidR="000066DA" w:rsidRPr="000066DA">
              <w:rPr>
                <w:noProof/>
              </w:rPr>
              <w:instrText xml:space="preserve"> PAGEREF _Toc227921641 \h </w:instrText>
            </w:r>
            <w:r w:rsidR="000066DA" w:rsidRPr="000066DA">
              <w:rPr>
                <w:noProof/>
              </w:rPr>
            </w:r>
            <w:r w:rsidR="000066DA" w:rsidRPr="000066DA">
              <w:rPr>
                <w:noProof/>
              </w:rPr>
              <w:fldChar w:fldCharType="separate"/>
            </w:r>
            <w:r w:rsidR="00862788">
              <w:rPr>
                <w:noProof/>
              </w:rPr>
              <w:t>43</w:t>
            </w:r>
            <w:r w:rsidR="000066DA" w:rsidRPr="000066DA">
              <w:rPr>
                <w:noProof/>
              </w:rPr>
              <w:fldChar w:fldCharType="end"/>
            </w:r>
          </w:hyperlink>
        </w:p>
        <w:p w14:paraId="0AE1AAFD" w14:textId="6C2799B5" w:rsidR="000066DA" w:rsidRPr="000066DA" w:rsidRDefault="00D26F03">
          <w:pPr>
            <w:pStyle w:val="Sommario3"/>
            <w:rPr>
              <w:rFonts w:cstheme="minorBidi"/>
              <w:iCs w:val="0"/>
              <w:noProof/>
              <w:kern w:val="2"/>
              <w:lang w:eastAsia="it-IT"/>
              <w14:ligatures w14:val="standardContextual"/>
            </w:rPr>
          </w:pPr>
          <w:hyperlink w:anchor="_Toc227921642" w:history="1">
            <w:r w:rsidR="000066DA" w:rsidRPr="000066DA">
              <w:rPr>
                <w:rStyle w:val="Collegamentoipertestuale"/>
                <w:noProof/>
              </w:rPr>
              <w:t>15.3.</w:t>
            </w:r>
            <w:r w:rsidR="000066DA" w:rsidRPr="000066DA">
              <w:rPr>
                <w:rFonts w:cstheme="minorBidi"/>
                <w:iCs w:val="0"/>
                <w:noProof/>
                <w:kern w:val="2"/>
                <w:lang w:eastAsia="it-IT"/>
                <w14:ligatures w14:val="standardContextual"/>
              </w:rPr>
              <w:tab/>
            </w:r>
            <w:r w:rsidR="000066DA" w:rsidRPr="000066DA">
              <w:rPr>
                <w:rStyle w:val="Collegamentoipertestuale"/>
                <w:noProof/>
              </w:rPr>
              <w:t>DICHIARAZIONI DA RENDERE NEL DGUE</w:t>
            </w:r>
            <w:r w:rsidR="000066DA" w:rsidRPr="000066DA">
              <w:rPr>
                <w:noProof/>
              </w:rPr>
              <w:tab/>
            </w:r>
            <w:r w:rsidR="000066DA" w:rsidRPr="000066DA">
              <w:rPr>
                <w:noProof/>
              </w:rPr>
              <w:fldChar w:fldCharType="begin"/>
            </w:r>
            <w:r w:rsidR="000066DA" w:rsidRPr="000066DA">
              <w:rPr>
                <w:noProof/>
              </w:rPr>
              <w:instrText xml:space="preserve"> PAGEREF _Toc227921642 \h </w:instrText>
            </w:r>
            <w:r w:rsidR="000066DA" w:rsidRPr="000066DA">
              <w:rPr>
                <w:noProof/>
              </w:rPr>
            </w:r>
            <w:r w:rsidR="000066DA" w:rsidRPr="000066DA">
              <w:rPr>
                <w:noProof/>
              </w:rPr>
              <w:fldChar w:fldCharType="separate"/>
            </w:r>
            <w:r w:rsidR="00862788">
              <w:rPr>
                <w:noProof/>
              </w:rPr>
              <w:t>44</w:t>
            </w:r>
            <w:r w:rsidR="000066DA" w:rsidRPr="000066DA">
              <w:rPr>
                <w:noProof/>
              </w:rPr>
              <w:fldChar w:fldCharType="end"/>
            </w:r>
          </w:hyperlink>
        </w:p>
        <w:p w14:paraId="0E695460" w14:textId="7043D393" w:rsidR="000066DA" w:rsidRPr="000066DA" w:rsidRDefault="00D26F03">
          <w:pPr>
            <w:pStyle w:val="Sommario3"/>
            <w:rPr>
              <w:rFonts w:cstheme="minorBidi"/>
              <w:iCs w:val="0"/>
              <w:noProof/>
              <w:kern w:val="2"/>
              <w:lang w:eastAsia="it-IT"/>
              <w14:ligatures w14:val="standardContextual"/>
            </w:rPr>
          </w:pPr>
          <w:hyperlink w:anchor="_Toc227921643" w:history="1">
            <w:r w:rsidR="000066DA" w:rsidRPr="000066DA">
              <w:rPr>
                <w:rStyle w:val="Collegamentoipertestuale"/>
                <w:noProof/>
              </w:rPr>
              <w:t>15.4.</w:t>
            </w:r>
            <w:r w:rsidR="000066DA" w:rsidRPr="000066DA">
              <w:rPr>
                <w:rFonts w:cstheme="minorBidi"/>
                <w:iCs w:val="0"/>
                <w:noProof/>
                <w:kern w:val="2"/>
                <w:lang w:eastAsia="it-IT"/>
                <w14:ligatures w14:val="standardContextual"/>
              </w:rPr>
              <w:tab/>
            </w:r>
            <w:r w:rsidR="000066DA" w:rsidRPr="000066DA">
              <w:rPr>
                <w:rStyle w:val="Collegamentoipertestuale"/>
                <w:noProof/>
              </w:rPr>
              <w:t>DOCUMENTAZIONE IN CASO DI AVVALIMENTO</w:t>
            </w:r>
            <w:r w:rsidR="000066DA" w:rsidRPr="000066DA">
              <w:rPr>
                <w:noProof/>
              </w:rPr>
              <w:tab/>
            </w:r>
            <w:r w:rsidR="000066DA" w:rsidRPr="000066DA">
              <w:rPr>
                <w:noProof/>
              </w:rPr>
              <w:fldChar w:fldCharType="begin"/>
            </w:r>
            <w:r w:rsidR="000066DA" w:rsidRPr="000066DA">
              <w:rPr>
                <w:noProof/>
              </w:rPr>
              <w:instrText xml:space="preserve"> PAGEREF _Toc227921643 \h </w:instrText>
            </w:r>
            <w:r w:rsidR="000066DA" w:rsidRPr="000066DA">
              <w:rPr>
                <w:noProof/>
              </w:rPr>
            </w:r>
            <w:r w:rsidR="000066DA" w:rsidRPr="000066DA">
              <w:rPr>
                <w:noProof/>
              </w:rPr>
              <w:fldChar w:fldCharType="separate"/>
            </w:r>
            <w:r w:rsidR="00862788">
              <w:rPr>
                <w:noProof/>
              </w:rPr>
              <w:t>44</w:t>
            </w:r>
            <w:r w:rsidR="000066DA" w:rsidRPr="000066DA">
              <w:rPr>
                <w:noProof/>
              </w:rPr>
              <w:fldChar w:fldCharType="end"/>
            </w:r>
          </w:hyperlink>
        </w:p>
        <w:p w14:paraId="79D69DA5" w14:textId="6B20C286" w:rsidR="000066DA" w:rsidRPr="000066DA" w:rsidRDefault="00D26F03">
          <w:pPr>
            <w:pStyle w:val="Sommario3"/>
            <w:rPr>
              <w:rFonts w:cstheme="minorBidi"/>
              <w:iCs w:val="0"/>
              <w:noProof/>
              <w:kern w:val="2"/>
              <w:lang w:eastAsia="it-IT"/>
              <w14:ligatures w14:val="standardContextual"/>
            </w:rPr>
          </w:pPr>
          <w:hyperlink w:anchor="_Toc227921644" w:history="1">
            <w:r w:rsidR="000066DA" w:rsidRPr="000066DA">
              <w:rPr>
                <w:rStyle w:val="Collegamentoipertestuale"/>
                <w:noProof/>
              </w:rPr>
              <w:t>15.5.</w:t>
            </w:r>
            <w:r w:rsidR="000066DA" w:rsidRPr="000066DA">
              <w:rPr>
                <w:rFonts w:cstheme="minorBidi"/>
                <w:iCs w:val="0"/>
                <w:noProof/>
                <w:kern w:val="2"/>
                <w:lang w:eastAsia="it-IT"/>
                <w14:ligatures w14:val="standardContextual"/>
              </w:rPr>
              <w:tab/>
            </w:r>
            <w:r w:rsidR="000066DA" w:rsidRPr="000066DA">
              <w:rPr>
                <w:rStyle w:val="Collegamentoipertestuale"/>
                <w:noProof/>
              </w:rPr>
              <w:t>DOCUMENTAZIONE ULTERIORE PER I SOGGETTI ASSOCIATI</w:t>
            </w:r>
            <w:r w:rsidR="000066DA" w:rsidRPr="000066DA">
              <w:rPr>
                <w:noProof/>
              </w:rPr>
              <w:tab/>
            </w:r>
            <w:r w:rsidR="000066DA" w:rsidRPr="000066DA">
              <w:rPr>
                <w:noProof/>
              </w:rPr>
              <w:fldChar w:fldCharType="begin"/>
            </w:r>
            <w:r w:rsidR="000066DA" w:rsidRPr="000066DA">
              <w:rPr>
                <w:noProof/>
              </w:rPr>
              <w:instrText xml:space="preserve"> PAGEREF _Toc227921644 \h </w:instrText>
            </w:r>
            <w:r w:rsidR="000066DA" w:rsidRPr="000066DA">
              <w:rPr>
                <w:noProof/>
              </w:rPr>
            </w:r>
            <w:r w:rsidR="000066DA" w:rsidRPr="000066DA">
              <w:rPr>
                <w:noProof/>
              </w:rPr>
              <w:fldChar w:fldCharType="separate"/>
            </w:r>
            <w:r w:rsidR="00862788">
              <w:rPr>
                <w:noProof/>
              </w:rPr>
              <w:t>44</w:t>
            </w:r>
            <w:r w:rsidR="000066DA" w:rsidRPr="000066DA">
              <w:rPr>
                <w:noProof/>
              </w:rPr>
              <w:fldChar w:fldCharType="end"/>
            </w:r>
          </w:hyperlink>
        </w:p>
        <w:p w14:paraId="396ABAAD" w14:textId="38582ED6" w:rsidR="000066DA" w:rsidRPr="000066DA" w:rsidRDefault="00D26F03">
          <w:pPr>
            <w:pStyle w:val="Sommario2"/>
            <w:rPr>
              <w:rFonts w:ascii="Titillium" w:eastAsiaTheme="minorEastAsia" w:hAnsi="Titillium" w:cstheme="minorBidi"/>
              <w:smallCaps w:val="0"/>
              <w:noProof/>
              <w:kern w:val="2"/>
              <w:lang w:eastAsia="it-IT"/>
              <w14:ligatures w14:val="standardContextual"/>
            </w:rPr>
          </w:pPr>
          <w:hyperlink w:anchor="_Toc227921645" w:history="1">
            <w:r w:rsidR="000066DA" w:rsidRPr="000066DA">
              <w:rPr>
                <w:rStyle w:val="Collegamentoipertestuale"/>
                <w:rFonts w:ascii="Titillium" w:hAnsi="Titillium"/>
                <w:noProof/>
              </w:rPr>
              <w:t>16.</w:t>
            </w:r>
            <w:r w:rsidR="000066DA" w:rsidRPr="000066DA">
              <w:rPr>
                <w:rFonts w:ascii="Titillium" w:eastAsiaTheme="minorEastAsia" w:hAnsi="Titillium" w:cstheme="minorBidi"/>
                <w:smallCaps w:val="0"/>
                <w:noProof/>
                <w:kern w:val="2"/>
                <w:lang w:eastAsia="it-IT"/>
                <w14:ligatures w14:val="standardContextual"/>
              </w:rPr>
              <w:tab/>
            </w:r>
            <w:r w:rsidR="000066DA" w:rsidRPr="000066DA">
              <w:rPr>
                <w:rStyle w:val="Collegamentoipertestuale"/>
                <w:rFonts w:ascii="Titillium" w:hAnsi="Titillium"/>
                <w:noProof/>
              </w:rPr>
              <w:t>OFFERTA TECNICA</w:t>
            </w:r>
            <w:r w:rsidR="000066DA" w:rsidRPr="000066DA">
              <w:rPr>
                <w:rFonts w:ascii="Titillium" w:hAnsi="Titillium"/>
                <w:noProof/>
              </w:rPr>
              <w:tab/>
            </w:r>
            <w:r w:rsidR="000066DA" w:rsidRPr="000066DA">
              <w:rPr>
                <w:rFonts w:ascii="Titillium" w:hAnsi="Titillium"/>
                <w:noProof/>
              </w:rPr>
              <w:fldChar w:fldCharType="begin"/>
            </w:r>
            <w:r w:rsidR="000066DA" w:rsidRPr="000066DA">
              <w:rPr>
                <w:rFonts w:ascii="Titillium" w:hAnsi="Titillium"/>
                <w:noProof/>
              </w:rPr>
              <w:instrText xml:space="preserve"> PAGEREF _Toc227921645 \h </w:instrText>
            </w:r>
            <w:r w:rsidR="000066DA" w:rsidRPr="000066DA">
              <w:rPr>
                <w:rFonts w:ascii="Titillium" w:hAnsi="Titillium"/>
                <w:noProof/>
              </w:rPr>
            </w:r>
            <w:r w:rsidR="000066DA" w:rsidRPr="000066DA">
              <w:rPr>
                <w:rFonts w:ascii="Titillium" w:hAnsi="Titillium"/>
                <w:noProof/>
              </w:rPr>
              <w:fldChar w:fldCharType="separate"/>
            </w:r>
            <w:r w:rsidR="00862788">
              <w:rPr>
                <w:rFonts w:ascii="Titillium" w:hAnsi="Titillium"/>
                <w:noProof/>
              </w:rPr>
              <w:t>47</w:t>
            </w:r>
            <w:r w:rsidR="000066DA" w:rsidRPr="000066DA">
              <w:rPr>
                <w:rFonts w:ascii="Titillium" w:hAnsi="Titillium"/>
                <w:noProof/>
              </w:rPr>
              <w:fldChar w:fldCharType="end"/>
            </w:r>
          </w:hyperlink>
        </w:p>
        <w:p w14:paraId="4E8862E0" w14:textId="67A5ECB5" w:rsidR="000066DA" w:rsidRPr="000066DA" w:rsidRDefault="00D26F03">
          <w:pPr>
            <w:pStyle w:val="Sommario2"/>
            <w:rPr>
              <w:rFonts w:ascii="Titillium" w:eastAsiaTheme="minorEastAsia" w:hAnsi="Titillium" w:cstheme="minorBidi"/>
              <w:smallCaps w:val="0"/>
              <w:noProof/>
              <w:kern w:val="2"/>
              <w:lang w:eastAsia="it-IT"/>
              <w14:ligatures w14:val="standardContextual"/>
            </w:rPr>
          </w:pPr>
          <w:hyperlink w:anchor="_Toc227921646" w:history="1">
            <w:r w:rsidR="000066DA" w:rsidRPr="000066DA">
              <w:rPr>
                <w:rStyle w:val="Collegamentoipertestuale"/>
                <w:rFonts w:ascii="Titillium" w:hAnsi="Titillium"/>
                <w:noProof/>
              </w:rPr>
              <w:t>17.</w:t>
            </w:r>
            <w:r w:rsidR="000066DA" w:rsidRPr="000066DA">
              <w:rPr>
                <w:rFonts w:ascii="Titillium" w:eastAsiaTheme="minorEastAsia" w:hAnsi="Titillium" w:cstheme="minorBidi"/>
                <w:smallCaps w:val="0"/>
                <w:noProof/>
                <w:kern w:val="2"/>
                <w:lang w:eastAsia="it-IT"/>
                <w14:ligatures w14:val="standardContextual"/>
              </w:rPr>
              <w:tab/>
            </w:r>
            <w:r w:rsidR="000066DA" w:rsidRPr="000066DA">
              <w:rPr>
                <w:rStyle w:val="Collegamentoipertestuale"/>
                <w:rFonts w:ascii="Titillium" w:hAnsi="Titillium"/>
                <w:noProof/>
              </w:rPr>
              <w:t>OFFERTA ECONOMICA</w:t>
            </w:r>
            <w:r w:rsidR="000066DA" w:rsidRPr="000066DA">
              <w:rPr>
                <w:rFonts w:ascii="Titillium" w:hAnsi="Titillium"/>
                <w:noProof/>
              </w:rPr>
              <w:tab/>
            </w:r>
            <w:r w:rsidR="000066DA" w:rsidRPr="000066DA">
              <w:rPr>
                <w:rFonts w:ascii="Titillium" w:hAnsi="Titillium"/>
                <w:noProof/>
              </w:rPr>
              <w:fldChar w:fldCharType="begin"/>
            </w:r>
            <w:r w:rsidR="000066DA" w:rsidRPr="000066DA">
              <w:rPr>
                <w:rFonts w:ascii="Titillium" w:hAnsi="Titillium"/>
                <w:noProof/>
              </w:rPr>
              <w:instrText xml:space="preserve"> PAGEREF _Toc227921646 \h </w:instrText>
            </w:r>
            <w:r w:rsidR="000066DA" w:rsidRPr="000066DA">
              <w:rPr>
                <w:rFonts w:ascii="Titillium" w:hAnsi="Titillium"/>
                <w:noProof/>
              </w:rPr>
            </w:r>
            <w:r w:rsidR="000066DA" w:rsidRPr="000066DA">
              <w:rPr>
                <w:rFonts w:ascii="Titillium" w:hAnsi="Titillium"/>
                <w:noProof/>
              </w:rPr>
              <w:fldChar w:fldCharType="separate"/>
            </w:r>
            <w:r w:rsidR="00862788">
              <w:rPr>
                <w:rFonts w:ascii="Titillium" w:hAnsi="Titillium"/>
                <w:noProof/>
              </w:rPr>
              <w:t>49</w:t>
            </w:r>
            <w:r w:rsidR="000066DA" w:rsidRPr="000066DA">
              <w:rPr>
                <w:rFonts w:ascii="Titillium" w:hAnsi="Titillium"/>
                <w:noProof/>
              </w:rPr>
              <w:fldChar w:fldCharType="end"/>
            </w:r>
          </w:hyperlink>
        </w:p>
        <w:p w14:paraId="61461805" w14:textId="08EB6A73" w:rsidR="000066DA" w:rsidRPr="000066DA" w:rsidRDefault="00D26F03">
          <w:pPr>
            <w:pStyle w:val="Sommario2"/>
            <w:rPr>
              <w:rFonts w:ascii="Titillium" w:eastAsiaTheme="minorEastAsia" w:hAnsi="Titillium" w:cstheme="minorBidi"/>
              <w:smallCaps w:val="0"/>
              <w:noProof/>
              <w:kern w:val="2"/>
              <w:lang w:eastAsia="it-IT"/>
              <w14:ligatures w14:val="standardContextual"/>
            </w:rPr>
          </w:pPr>
          <w:hyperlink w:anchor="_Toc227921647" w:history="1">
            <w:r w:rsidR="000066DA" w:rsidRPr="000066DA">
              <w:rPr>
                <w:rStyle w:val="Collegamentoipertestuale"/>
                <w:rFonts w:ascii="Titillium" w:hAnsi="Titillium"/>
                <w:noProof/>
              </w:rPr>
              <w:t>18.</w:t>
            </w:r>
            <w:r w:rsidR="000066DA" w:rsidRPr="000066DA">
              <w:rPr>
                <w:rFonts w:ascii="Titillium" w:eastAsiaTheme="minorEastAsia" w:hAnsi="Titillium" w:cstheme="minorBidi"/>
                <w:smallCaps w:val="0"/>
                <w:noProof/>
                <w:kern w:val="2"/>
                <w:lang w:eastAsia="it-IT"/>
                <w14:ligatures w14:val="standardContextual"/>
              </w:rPr>
              <w:tab/>
            </w:r>
            <w:r w:rsidR="000066DA" w:rsidRPr="000066DA">
              <w:rPr>
                <w:rStyle w:val="Collegamentoipertestuale"/>
                <w:rFonts w:ascii="Titillium" w:hAnsi="Titillium"/>
                <w:noProof/>
              </w:rPr>
              <w:t>CRITERIO DI AGGIUDICAZIONE</w:t>
            </w:r>
            <w:r w:rsidR="000066DA" w:rsidRPr="000066DA">
              <w:rPr>
                <w:rFonts w:ascii="Titillium" w:hAnsi="Titillium"/>
                <w:noProof/>
              </w:rPr>
              <w:tab/>
            </w:r>
            <w:r w:rsidR="000066DA" w:rsidRPr="000066DA">
              <w:rPr>
                <w:rFonts w:ascii="Titillium" w:hAnsi="Titillium"/>
                <w:noProof/>
              </w:rPr>
              <w:fldChar w:fldCharType="begin"/>
            </w:r>
            <w:r w:rsidR="000066DA" w:rsidRPr="000066DA">
              <w:rPr>
                <w:rFonts w:ascii="Titillium" w:hAnsi="Titillium"/>
                <w:noProof/>
              </w:rPr>
              <w:instrText xml:space="preserve"> PAGEREF _Toc227921647 \h </w:instrText>
            </w:r>
            <w:r w:rsidR="000066DA" w:rsidRPr="000066DA">
              <w:rPr>
                <w:rFonts w:ascii="Titillium" w:hAnsi="Titillium"/>
                <w:noProof/>
              </w:rPr>
            </w:r>
            <w:r w:rsidR="000066DA" w:rsidRPr="000066DA">
              <w:rPr>
                <w:rFonts w:ascii="Titillium" w:hAnsi="Titillium"/>
                <w:noProof/>
              </w:rPr>
              <w:fldChar w:fldCharType="separate"/>
            </w:r>
            <w:r w:rsidR="00862788">
              <w:rPr>
                <w:rFonts w:ascii="Titillium" w:hAnsi="Titillium"/>
                <w:noProof/>
              </w:rPr>
              <w:t>49</w:t>
            </w:r>
            <w:r w:rsidR="000066DA" w:rsidRPr="000066DA">
              <w:rPr>
                <w:rFonts w:ascii="Titillium" w:hAnsi="Titillium"/>
                <w:noProof/>
              </w:rPr>
              <w:fldChar w:fldCharType="end"/>
            </w:r>
          </w:hyperlink>
        </w:p>
        <w:p w14:paraId="59146031" w14:textId="373F29A6" w:rsidR="000066DA" w:rsidRPr="000066DA" w:rsidRDefault="00D26F03">
          <w:pPr>
            <w:pStyle w:val="Sommario3"/>
            <w:rPr>
              <w:rFonts w:cstheme="minorBidi"/>
              <w:iCs w:val="0"/>
              <w:noProof/>
              <w:kern w:val="2"/>
              <w:lang w:eastAsia="it-IT"/>
              <w14:ligatures w14:val="standardContextual"/>
            </w:rPr>
          </w:pPr>
          <w:hyperlink w:anchor="_Toc227921648" w:history="1">
            <w:r w:rsidR="000066DA" w:rsidRPr="000066DA">
              <w:rPr>
                <w:rStyle w:val="Collegamentoipertestuale"/>
                <w:noProof/>
              </w:rPr>
              <w:t>18.1.</w:t>
            </w:r>
            <w:r w:rsidR="000066DA" w:rsidRPr="000066DA">
              <w:rPr>
                <w:rFonts w:cstheme="minorBidi"/>
                <w:iCs w:val="0"/>
                <w:noProof/>
                <w:kern w:val="2"/>
                <w:lang w:eastAsia="it-IT"/>
                <w14:ligatures w14:val="standardContextual"/>
              </w:rPr>
              <w:tab/>
            </w:r>
            <w:r w:rsidR="000066DA" w:rsidRPr="000066DA">
              <w:rPr>
                <w:rStyle w:val="Collegamentoipertestuale"/>
                <w:noProof/>
              </w:rPr>
              <w:t>CRITERI DI VALUTAZIONE DELL’OFFERTA TECNICA</w:t>
            </w:r>
            <w:r w:rsidR="000066DA" w:rsidRPr="000066DA">
              <w:rPr>
                <w:noProof/>
              </w:rPr>
              <w:tab/>
            </w:r>
            <w:r w:rsidR="000066DA" w:rsidRPr="000066DA">
              <w:rPr>
                <w:noProof/>
              </w:rPr>
              <w:fldChar w:fldCharType="begin"/>
            </w:r>
            <w:r w:rsidR="000066DA" w:rsidRPr="000066DA">
              <w:rPr>
                <w:noProof/>
              </w:rPr>
              <w:instrText xml:space="preserve"> PAGEREF _Toc227921648 \h </w:instrText>
            </w:r>
            <w:r w:rsidR="000066DA" w:rsidRPr="000066DA">
              <w:rPr>
                <w:noProof/>
              </w:rPr>
            </w:r>
            <w:r w:rsidR="000066DA" w:rsidRPr="000066DA">
              <w:rPr>
                <w:noProof/>
              </w:rPr>
              <w:fldChar w:fldCharType="separate"/>
            </w:r>
            <w:r w:rsidR="00862788">
              <w:rPr>
                <w:noProof/>
              </w:rPr>
              <w:t>49</w:t>
            </w:r>
            <w:r w:rsidR="000066DA" w:rsidRPr="000066DA">
              <w:rPr>
                <w:noProof/>
              </w:rPr>
              <w:fldChar w:fldCharType="end"/>
            </w:r>
          </w:hyperlink>
        </w:p>
        <w:p w14:paraId="7DBB129C" w14:textId="7C517CE3" w:rsidR="000066DA" w:rsidRPr="000066DA" w:rsidRDefault="00D26F03">
          <w:pPr>
            <w:pStyle w:val="Sommario3"/>
            <w:rPr>
              <w:rFonts w:cstheme="minorBidi"/>
              <w:iCs w:val="0"/>
              <w:noProof/>
              <w:kern w:val="2"/>
              <w:lang w:eastAsia="it-IT"/>
              <w14:ligatures w14:val="standardContextual"/>
            </w:rPr>
          </w:pPr>
          <w:hyperlink w:anchor="_Toc227921649" w:history="1">
            <w:r w:rsidR="000066DA" w:rsidRPr="000066DA">
              <w:rPr>
                <w:rStyle w:val="Collegamentoipertestuale"/>
                <w:noProof/>
              </w:rPr>
              <w:t>18.2.</w:t>
            </w:r>
            <w:r w:rsidR="000066DA" w:rsidRPr="000066DA">
              <w:rPr>
                <w:rFonts w:cstheme="minorBidi"/>
                <w:iCs w:val="0"/>
                <w:noProof/>
                <w:kern w:val="2"/>
                <w:lang w:eastAsia="it-IT"/>
                <w14:ligatures w14:val="standardContextual"/>
              </w:rPr>
              <w:tab/>
            </w:r>
            <w:r w:rsidR="000066DA" w:rsidRPr="000066DA">
              <w:rPr>
                <w:rStyle w:val="Collegamentoipertestuale"/>
                <w:noProof/>
              </w:rPr>
              <w:t>METODO DI ATTRIBUZIONE DEL COEFFICIENTE PER IL CALCOLO DEL PUNTEGGIO DELL’OFFERTA TECNICA</w:t>
            </w:r>
            <w:r w:rsidR="000066DA" w:rsidRPr="000066DA">
              <w:rPr>
                <w:noProof/>
              </w:rPr>
              <w:tab/>
            </w:r>
            <w:r w:rsidR="000066DA" w:rsidRPr="000066DA">
              <w:rPr>
                <w:noProof/>
              </w:rPr>
              <w:fldChar w:fldCharType="begin"/>
            </w:r>
            <w:r w:rsidR="000066DA" w:rsidRPr="000066DA">
              <w:rPr>
                <w:noProof/>
              </w:rPr>
              <w:instrText xml:space="preserve"> PAGEREF _Toc227921649 \h </w:instrText>
            </w:r>
            <w:r w:rsidR="000066DA" w:rsidRPr="000066DA">
              <w:rPr>
                <w:noProof/>
              </w:rPr>
            </w:r>
            <w:r w:rsidR="000066DA" w:rsidRPr="000066DA">
              <w:rPr>
                <w:noProof/>
              </w:rPr>
              <w:fldChar w:fldCharType="separate"/>
            </w:r>
            <w:r w:rsidR="00862788">
              <w:rPr>
                <w:noProof/>
              </w:rPr>
              <w:t>51</w:t>
            </w:r>
            <w:r w:rsidR="000066DA" w:rsidRPr="000066DA">
              <w:rPr>
                <w:noProof/>
              </w:rPr>
              <w:fldChar w:fldCharType="end"/>
            </w:r>
          </w:hyperlink>
        </w:p>
        <w:p w14:paraId="0CC5F092" w14:textId="6BD4F541" w:rsidR="000066DA" w:rsidRPr="000066DA" w:rsidRDefault="00D26F03">
          <w:pPr>
            <w:pStyle w:val="Sommario3"/>
            <w:rPr>
              <w:rFonts w:cstheme="minorBidi"/>
              <w:iCs w:val="0"/>
              <w:noProof/>
              <w:kern w:val="2"/>
              <w:lang w:eastAsia="it-IT"/>
              <w14:ligatures w14:val="standardContextual"/>
            </w:rPr>
          </w:pPr>
          <w:hyperlink w:anchor="_Toc227921650" w:history="1">
            <w:r w:rsidR="000066DA" w:rsidRPr="000066DA">
              <w:rPr>
                <w:rStyle w:val="Collegamentoipertestuale"/>
                <w:noProof/>
              </w:rPr>
              <w:t>18.3.</w:t>
            </w:r>
            <w:r w:rsidR="000066DA" w:rsidRPr="000066DA">
              <w:rPr>
                <w:rFonts w:cstheme="minorBidi"/>
                <w:iCs w:val="0"/>
                <w:noProof/>
                <w:kern w:val="2"/>
                <w:lang w:eastAsia="it-IT"/>
                <w14:ligatures w14:val="standardContextual"/>
              </w:rPr>
              <w:tab/>
            </w:r>
            <w:r w:rsidR="000066DA" w:rsidRPr="000066DA">
              <w:rPr>
                <w:rStyle w:val="Collegamentoipertestuale"/>
                <w:noProof/>
              </w:rPr>
              <w:t>METODO DI ATTRIBUZIONE DEL COEFFICIENTE PER IL CALCOLO DEL PUNTEGGIO DELL’OFFERTA ECONOMICA</w:t>
            </w:r>
            <w:r w:rsidR="000066DA" w:rsidRPr="000066DA">
              <w:rPr>
                <w:noProof/>
              </w:rPr>
              <w:tab/>
            </w:r>
            <w:r w:rsidR="000066DA" w:rsidRPr="000066DA">
              <w:rPr>
                <w:noProof/>
              </w:rPr>
              <w:fldChar w:fldCharType="begin"/>
            </w:r>
            <w:r w:rsidR="000066DA" w:rsidRPr="000066DA">
              <w:rPr>
                <w:noProof/>
              </w:rPr>
              <w:instrText xml:space="preserve"> PAGEREF _Toc227921650 \h </w:instrText>
            </w:r>
            <w:r w:rsidR="000066DA" w:rsidRPr="000066DA">
              <w:rPr>
                <w:noProof/>
              </w:rPr>
            </w:r>
            <w:r w:rsidR="000066DA" w:rsidRPr="000066DA">
              <w:rPr>
                <w:noProof/>
              </w:rPr>
              <w:fldChar w:fldCharType="separate"/>
            </w:r>
            <w:r w:rsidR="00862788">
              <w:rPr>
                <w:noProof/>
              </w:rPr>
              <w:t>51</w:t>
            </w:r>
            <w:r w:rsidR="000066DA" w:rsidRPr="000066DA">
              <w:rPr>
                <w:noProof/>
              </w:rPr>
              <w:fldChar w:fldCharType="end"/>
            </w:r>
          </w:hyperlink>
        </w:p>
        <w:p w14:paraId="20AADB4C" w14:textId="67EEED23" w:rsidR="000066DA" w:rsidRPr="000066DA" w:rsidRDefault="00D26F03">
          <w:pPr>
            <w:pStyle w:val="Sommario3"/>
            <w:rPr>
              <w:rFonts w:cstheme="minorBidi"/>
              <w:iCs w:val="0"/>
              <w:noProof/>
              <w:kern w:val="2"/>
              <w:lang w:eastAsia="it-IT"/>
              <w14:ligatures w14:val="standardContextual"/>
            </w:rPr>
          </w:pPr>
          <w:hyperlink w:anchor="_Toc227921651" w:history="1">
            <w:r w:rsidR="000066DA" w:rsidRPr="000066DA">
              <w:rPr>
                <w:rStyle w:val="Collegamentoipertestuale"/>
                <w:noProof/>
              </w:rPr>
              <w:t>18.4.</w:t>
            </w:r>
            <w:r w:rsidR="000066DA" w:rsidRPr="000066DA">
              <w:rPr>
                <w:rFonts w:cstheme="minorBidi"/>
                <w:iCs w:val="0"/>
                <w:noProof/>
                <w:kern w:val="2"/>
                <w:lang w:eastAsia="it-IT"/>
                <w14:ligatures w14:val="standardContextual"/>
              </w:rPr>
              <w:tab/>
            </w:r>
            <w:r w:rsidR="000066DA" w:rsidRPr="000066DA">
              <w:rPr>
                <w:rStyle w:val="Collegamentoipertestuale"/>
                <w:noProof/>
              </w:rPr>
              <w:t>METODO DI CALCOLO DEI PUNTEGGI COMPLESSIVI</w:t>
            </w:r>
            <w:r w:rsidR="000066DA" w:rsidRPr="000066DA">
              <w:rPr>
                <w:noProof/>
              </w:rPr>
              <w:tab/>
            </w:r>
            <w:r w:rsidR="000066DA" w:rsidRPr="000066DA">
              <w:rPr>
                <w:noProof/>
              </w:rPr>
              <w:fldChar w:fldCharType="begin"/>
            </w:r>
            <w:r w:rsidR="000066DA" w:rsidRPr="000066DA">
              <w:rPr>
                <w:noProof/>
              </w:rPr>
              <w:instrText xml:space="preserve"> PAGEREF _Toc227921651 \h </w:instrText>
            </w:r>
            <w:r w:rsidR="000066DA" w:rsidRPr="000066DA">
              <w:rPr>
                <w:noProof/>
              </w:rPr>
            </w:r>
            <w:r w:rsidR="000066DA" w:rsidRPr="000066DA">
              <w:rPr>
                <w:noProof/>
              </w:rPr>
              <w:fldChar w:fldCharType="separate"/>
            </w:r>
            <w:r w:rsidR="00862788">
              <w:rPr>
                <w:noProof/>
              </w:rPr>
              <w:t>52</w:t>
            </w:r>
            <w:r w:rsidR="000066DA" w:rsidRPr="000066DA">
              <w:rPr>
                <w:noProof/>
              </w:rPr>
              <w:fldChar w:fldCharType="end"/>
            </w:r>
          </w:hyperlink>
        </w:p>
        <w:p w14:paraId="55ABA64F" w14:textId="5B4CD000" w:rsidR="000066DA" w:rsidRPr="000066DA" w:rsidRDefault="00D26F03">
          <w:pPr>
            <w:pStyle w:val="Sommario2"/>
            <w:rPr>
              <w:rFonts w:ascii="Titillium" w:eastAsiaTheme="minorEastAsia" w:hAnsi="Titillium" w:cstheme="minorBidi"/>
              <w:smallCaps w:val="0"/>
              <w:noProof/>
              <w:kern w:val="2"/>
              <w:lang w:eastAsia="it-IT"/>
              <w14:ligatures w14:val="standardContextual"/>
            </w:rPr>
          </w:pPr>
          <w:hyperlink w:anchor="_Toc227921652" w:history="1">
            <w:r w:rsidR="000066DA" w:rsidRPr="000066DA">
              <w:rPr>
                <w:rStyle w:val="Collegamentoipertestuale"/>
                <w:rFonts w:ascii="Titillium" w:hAnsi="Titillium"/>
                <w:noProof/>
              </w:rPr>
              <w:t>19.</w:t>
            </w:r>
            <w:r w:rsidR="000066DA" w:rsidRPr="000066DA">
              <w:rPr>
                <w:rFonts w:ascii="Titillium" w:eastAsiaTheme="minorEastAsia" w:hAnsi="Titillium" w:cstheme="minorBidi"/>
                <w:smallCaps w:val="0"/>
                <w:noProof/>
                <w:kern w:val="2"/>
                <w:lang w:eastAsia="it-IT"/>
                <w14:ligatures w14:val="standardContextual"/>
              </w:rPr>
              <w:tab/>
            </w:r>
            <w:r w:rsidR="000066DA" w:rsidRPr="000066DA">
              <w:rPr>
                <w:rStyle w:val="Collegamentoipertestuale"/>
                <w:rFonts w:ascii="Titillium" w:hAnsi="Titillium"/>
                <w:noProof/>
              </w:rPr>
              <w:t>COMMISSIONE GIUDICATRICE</w:t>
            </w:r>
            <w:r w:rsidR="000066DA" w:rsidRPr="000066DA">
              <w:rPr>
                <w:rFonts w:ascii="Titillium" w:hAnsi="Titillium"/>
                <w:noProof/>
              </w:rPr>
              <w:tab/>
            </w:r>
            <w:r w:rsidR="000066DA" w:rsidRPr="000066DA">
              <w:rPr>
                <w:rFonts w:ascii="Titillium" w:hAnsi="Titillium"/>
                <w:noProof/>
              </w:rPr>
              <w:fldChar w:fldCharType="begin"/>
            </w:r>
            <w:r w:rsidR="000066DA" w:rsidRPr="000066DA">
              <w:rPr>
                <w:rFonts w:ascii="Titillium" w:hAnsi="Titillium"/>
                <w:noProof/>
              </w:rPr>
              <w:instrText xml:space="preserve"> PAGEREF _Toc227921652 \h </w:instrText>
            </w:r>
            <w:r w:rsidR="000066DA" w:rsidRPr="000066DA">
              <w:rPr>
                <w:rFonts w:ascii="Titillium" w:hAnsi="Titillium"/>
                <w:noProof/>
              </w:rPr>
            </w:r>
            <w:r w:rsidR="000066DA" w:rsidRPr="000066DA">
              <w:rPr>
                <w:rFonts w:ascii="Titillium" w:hAnsi="Titillium"/>
                <w:noProof/>
              </w:rPr>
              <w:fldChar w:fldCharType="separate"/>
            </w:r>
            <w:r w:rsidR="00862788">
              <w:rPr>
                <w:rFonts w:ascii="Titillium" w:hAnsi="Titillium"/>
                <w:noProof/>
              </w:rPr>
              <w:t>53</w:t>
            </w:r>
            <w:r w:rsidR="000066DA" w:rsidRPr="000066DA">
              <w:rPr>
                <w:rFonts w:ascii="Titillium" w:hAnsi="Titillium"/>
                <w:noProof/>
              </w:rPr>
              <w:fldChar w:fldCharType="end"/>
            </w:r>
          </w:hyperlink>
        </w:p>
        <w:p w14:paraId="35180B47" w14:textId="328A0810" w:rsidR="000066DA" w:rsidRPr="000066DA" w:rsidRDefault="00D26F03">
          <w:pPr>
            <w:pStyle w:val="Sommario2"/>
            <w:rPr>
              <w:rFonts w:ascii="Titillium" w:eastAsiaTheme="minorEastAsia" w:hAnsi="Titillium" w:cstheme="minorBidi"/>
              <w:smallCaps w:val="0"/>
              <w:noProof/>
              <w:kern w:val="2"/>
              <w:lang w:eastAsia="it-IT"/>
              <w14:ligatures w14:val="standardContextual"/>
            </w:rPr>
          </w:pPr>
          <w:hyperlink w:anchor="_Toc227921653" w:history="1">
            <w:r w:rsidR="000066DA" w:rsidRPr="000066DA">
              <w:rPr>
                <w:rStyle w:val="Collegamentoipertestuale"/>
                <w:rFonts w:ascii="Titillium" w:hAnsi="Titillium"/>
                <w:noProof/>
              </w:rPr>
              <w:t>20.</w:t>
            </w:r>
            <w:r w:rsidR="000066DA" w:rsidRPr="000066DA">
              <w:rPr>
                <w:rFonts w:ascii="Titillium" w:eastAsiaTheme="minorEastAsia" w:hAnsi="Titillium" w:cstheme="minorBidi"/>
                <w:smallCaps w:val="0"/>
                <w:noProof/>
                <w:kern w:val="2"/>
                <w:lang w:eastAsia="it-IT"/>
                <w14:ligatures w14:val="standardContextual"/>
              </w:rPr>
              <w:tab/>
            </w:r>
            <w:r w:rsidR="000066DA" w:rsidRPr="000066DA">
              <w:rPr>
                <w:rStyle w:val="Collegamentoipertestuale"/>
                <w:rFonts w:ascii="Titillium" w:hAnsi="Titillium"/>
                <w:noProof/>
              </w:rPr>
              <w:t>SVOLGIMENTO DELLE OPERAZIONI DI GARA</w:t>
            </w:r>
            <w:r w:rsidR="000066DA" w:rsidRPr="000066DA">
              <w:rPr>
                <w:rFonts w:ascii="Titillium" w:hAnsi="Titillium"/>
                <w:noProof/>
              </w:rPr>
              <w:tab/>
            </w:r>
            <w:r w:rsidR="000066DA" w:rsidRPr="000066DA">
              <w:rPr>
                <w:rFonts w:ascii="Titillium" w:hAnsi="Titillium"/>
                <w:noProof/>
              </w:rPr>
              <w:fldChar w:fldCharType="begin"/>
            </w:r>
            <w:r w:rsidR="000066DA" w:rsidRPr="000066DA">
              <w:rPr>
                <w:rFonts w:ascii="Titillium" w:hAnsi="Titillium"/>
                <w:noProof/>
              </w:rPr>
              <w:instrText xml:space="preserve"> PAGEREF _Toc227921653 \h </w:instrText>
            </w:r>
            <w:r w:rsidR="000066DA" w:rsidRPr="000066DA">
              <w:rPr>
                <w:rFonts w:ascii="Titillium" w:hAnsi="Titillium"/>
                <w:noProof/>
              </w:rPr>
            </w:r>
            <w:r w:rsidR="000066DA" w:rsidRPr="000066DA">
              <w:rPr>
                <w:rFonts w:ascii="Titillium" w:hAnsi="Titillium"/>
                <w:noProof/>
              </w:rPr>
              <w:fldChar w:fldCharType="separate"/>
            </w:r>
            <w:r w:rsidR="00862788">
              <w:rPr>
                <w:rFonts w:ascii="Titillium" w:hAnsi="Titillium"/>
                <w:noProof/>
              </w:rPr>
              <w:t>53</w:t>
            </w:r>
            <w:r w:rsidR="000066DA" w:rsidRPr="000066DA">
              <w:rPr>
                <w:rFonts w:ascii="Titillium" w:hAnsi="Titillium"/>
                <w:noProof/>
              </w:rPr>
              <w:fldChar w:fldCharType="end"/>
            </w:r>
          </w:hyperlink>
        </w:p>
        <w:p w14:paraId="76756FD1" w14:textId="4CA970AE" w:rsidR="000066DA" w:rsidRPr="000066DA" w:rsidRDefault="00D26F03">
          <w:pPr>
            <w:pStyle w:val="Sommario2"/>
            <w:rPr>
              <w:rFonts w:ascii="Titillium" w:eastAsiaTheme="minorEastAsia" w:hAnsi="Titillium" w:cstheme="minorBidi"/>
              <w:smallCaps w:val="0"/>
              <w:noProof/>
              <w:kern w:val="2"/>
              <w:lang w:eastAsia="it-IT"/>
              <w14:ligatures w14:val="standardContextual"/>
            </w:rPr>
          </w:pPr>
          <w:hyperlink w:anchor="_Toc227921654" w:history="1">
            <w:r w:rsidR="000066DA" w:rsidRPr="000066DA">
              <w:rPr>
                <w:rStyle w:val="Collegamentoipertestuale"/>
                <w:rFonts w:ascii="Titillium" w:hAnsi="Titillium"/>
                <w:noProof/>
              </w:rPr>
              <w:t>21.</w:t>
            </w:r>
            <w:r w:rsidR="000066DA" w:rsidRPr="000066DA">
              <w:rPr>
                <w:rFonts w:ascii="Titillium" w:eastAsiaTheme="minorEastAsia" w:hAnsi="Titillium" w:cstheme="minorBidi"/>
                <w:smallCaps w:val="0"/>
                <w:noProof/>
                <w:kern w:val="2"/>
                <w:lang w:eastAsia="it-IT"/>
                <w14:ligatures w14:val="standardContextual"/>
              </w:rPr>
              <w:tab/>
            </w:r>
            <w:r w:rsidR="000066DA" w:rsidRPr="000066DA">
              <w:rPr>
                <w:rStyle w:val="Collegamentoipertestuale"/>
                <w:rFonts w:ascii="Titillium" w:hAnsi="Titillium"/>
                <w:noProof/>
              </w:rPr>
              <w:t>VERIFICA DOCUMENTAZIONE AMMINISTRATIVA</w:t>
            </w:r>
            <w:r w:rsidR="000066DA" w:rsidRPr="000066DA">
              <w:rPr>
                <w:rFonts w:ascii="Titillium" w:hAnsi="Titillium"/>
                <w:noProof/>
              </w:rPr>
              <w:tab/>
            </w:r>
            <w:r w:rsidR="000066DA" w:rsidRPr="000066DA">
              <w:rPr>
                <w:rFonts w:ascii="Titillium" w:hAnsi="Titillium"/>
                <w:noProof/>
              </w:rPr>
              <w:fldChar w:fldCharType="begin"/>
            </w:r>
            <w:r w:rsidR="000066DA" w:rsidRPr="000066DA">
              <w:rPr>
                <w:rFonts w:ascii="Titillium" w:hAnsi="Titillium"/>
                <w:noProof/>
              </w:rPr>
              <w:instrText xml:space="preserve"> PAGEREF _Toc227921654 \h </w:instrText>
            </w:r>
            <w:r w:rsidR="000066DA" w:rsidRPr="000066DA">
              <w:rPr>
                <w:rFonts w:ascii="Titillium" w:hAnsi="Titillium"/>
                <w:noProof/>
              </w:rPr>
            </w:r>
            <w:r w:rsidR="000066DA" w:rsidRPr="000066DA">
              <w:rPr>
                <w:rFonts w:ascii="Titillium" w:hAnsi="Titillium"/>
                <w:noProof/>
              </w:rPr>
              <w:fldChar w:fldCharType="separate"/>
            </w:r>
            <w:r w:rsidR="00862788">
              <w:rPr>
                <w:rFonts w:ascii="Titillium" w:hAnsi="Titillium"/>
                <w:noProof/>
              </w:rPr>
              <w:t>54</w:t>
            </w:r>
            <w:r w:rsidR="000066DA" w:rsidRPr="000066DA">
              <w:rPr>
                <w:rFonts w:ascii="Titillium" w:hAnsi="Titillium"/>
                <w:noProof/>
              </w:rPr>
              <w:fldChar w:fldCharType="end"/>
            </w:r>
          </w:hyperlink>
        </w:p>
        <w:p w14:paraId="124F9AA4" w14:textId="0AFEC44E" w:rsidR="000066DA" w:rsidRPr="000066DA" w:rsidRDefault="00D26F03">
          <w:pPr>
            <w:pStyle w:val="Sommario2"/>
            <w:rPr>
              <w:rFonts w:ascii="Titillium" w:eastAsiaTheme="minorEastAsia" w:hAnsi="Titillium" w:cstheme="minorBidi"/>
              <w:smallCaps w:val="0"/>
              <w:noProof/>
              <w:kern w:val="2"/>
              <w:lang w:eastAsia="it-IT"/>
              <w14:ligatures w14:val="standardContextual"/>
            </w:rPr>
          </w:pPr>
          <w:hyperlink w:anchor="_Toc227921655" w:history="1">
            <w:r w:rsidR="000066DA" w:rsidRPr="000066DA">
              <w:rPr>
                <w:rStyle w:val="Collegamentoipertestuale"/>
                <w:rFonts w:ascii="Titillium" w:hAnsi="Titillium"/>
                <w:noProof/>
              </w:rPr>
              <w:t>22.</w:t>
            </w:r>
            <w:r w:rsidR="000066DA" w:rsidRPr="000066DA">
              <w:rPr>
                <w:rFonts w:ascii="Titillium" w:eastAsiaTheme="minorEastAsia" w:hAnsi="Titillium" w:cstheme="minorBidi"/>
                <w:smallCaps w:val="0"/>
                <w:noProof/>
                <w:kern w:val="2"/>
                <w:lang w:eastAsia="it-IT"/>
                <w14:ligatures w14:val="standardContextual"/>
              </w:rPr>
              <w:tab/>
            </w:r>
            <w:r w:rsidR="000066DA" w:rsidRPr="000066DA">
              <w:rPr>
                <w:rStyle w:val="Collegamentoipertestuale"/>
                <w:rFonts w:ascii="Titillium" w:hAnsi="Titillium"/>
                <w:noProof/>
              </w:rPr>
              <w:t>VALUTAZIONE DELLE OFFERTE TECNICHE ED ECONOMICHE</w:t>
            </w:r>
            <w:r w:rsidR="000066DA" w:rsidRPr="000066DA">
              <w:rPr>
                <w:rFonts w:ascii="Titillium" w:hAnsi="Titillium"/>
                <w:noProof/>
              </w:rPr>
              <w:tab/>
            </w:r>
            <w:r w:rsidR="000066DA" w:rsidRPr="000066DA">
              <w:rPr>
                <w:rFonts w:ascii="Titillium" w:hAnsi="Titillium"/>
                <w:noProof/>
              </w:rPr>
              <w:fldChar w:fldCharType="begin"/>
            </w:r>
            <w:r w:rsidR="000066DA" w:rsidRPr="000066DA">
              <w:rPr>
                <w:rFonts w:ascii="Titillium" w:hAnsi="Titillium"/>
                <w:noProof/>
              </w:rPr>
              <w:instrText xml:space="preserve"> PAGEREF _Toc227921655 \h </w:instrText>
            </w:r>
            <w:r w:rsidR="000066DA" w:rsidRPr="000066DA">
              <w:rPr>
                <w:rFonts w:ascii="Titillium" w:hAnsi="Titillium"/>
                <w:noProof/>
              </w:rPr>
            </w:r>
            <w:r w:rsidR="000066DA" w:rsidRPr="000066DA">
              <w:rPr>
                <w:rFonts w:ascii="Titillium" w:hAnsi="Titillium"/>
                <w:noProof/>
              </w:rPr>
              <w:fldChar w:fldCharType="separate"/>
            </w:r>
            <w:r w:rsidR="00862788">
              <w:rPr>
                <w:rFonts w:ascii="Titillium" w:hAnsi="Titillium"/>
                <w:noProof/>
              </w:rPr>
              <w:t>54</w:t>
            </w:r>
            <w:r w:rsidR="000066DA" w:rsidRPr="000066DA">
              <w:rPr>
                <w:rFonts w:ascii="Titillium" w:hAnsi="Titillium"/>
                <w:noProof/>
              </w:rPr>
              <w:fldChar w:fldCharType="end"/>
            </w:r>
          </w:hyperlink>
        </w:p>
        <w:p w14:paraId="12EC46D8" w14:textId="72C4C2E2" w:rsidR="000066DA" w:rsidRPr="000066DA" w:rsidRDefault="00D26F03">
          <w:pPr>
            <w:pStyle w:val="Sommario2"/>
            <w:rPr>
              <w:rFonts w:ascii="Titillium" w:eastAsiaTheme="minorEastAsia" w:hAnsi="Titillium" w:cstheme="minorBidi"/>
              <w:smallCaps w:val="0"/>
              <w:noProof/>
              <w:kern w:val="2"/>
              <w:lang w:eastAsia="it-IT"/>
              <w14:ligatures w14:val="standardContextual"/>
            </w:rPr>
          </w:pPr>
          <w:hyperlink w:anchor="_Toc227921656" w:history="1">
            <w:r w:rsidR="000066DA" w:rsidRPr="000066DA">
              <w:rPr>
                <w:rStyle w:val="Collegamentoipertestuale"/>
                <w:rFonts w:ascii="Titillium" w:hAnsi="Titillium"/>
                <w:noProof/>
              </w:rPr>
              <w:t>23.</w:t>
            </w:r>
            <w:r w:rsidR="000066DA" w:rsidRPr="000066DA">
              <w:rPr>
                <w:rFonts w:ascii="Titillium" w:eastAsiaTheme="minorEastAsia" w:hAnsi="Titillium" w:cstheme="minorBidi"/>
                <w:smallCaps w:val="0"/>
                <w:noProof/>
                <w:kern w:val="2"/>
                <w:lang w:eastAsia="it-IT"/>
                <w14:ligatures w14:val="standardContextual"/>
              </w:rPr>
              <w:tab/>
            </w:r>
            <w:r w:rsidR="000066DA" w:rsidRPr="000066DA">
              <w:rPr>
                <w:rStyle w:val="Collegamentoipertestuale"/>
                <w:rFonts w:ascii="Titillium" w:hAnsi="Titillium"/>
                <w:noProof/>
              </w:rPr>
              <w:t>VERIFICA DI ANOMALIA DELLE OFFERTE</w:t>
            </w:r>
            <w:r w:rsidR="000066DA" w:rsidRPr="000066DA">
              <w:rPr>
                <w:rFonts w:ascii="Titillium" w:hAnsi="Titillium"/>
                <w:noProof/>
              </w:rPr>
              <w:tab/>
            </w:r>
            <w:r w:rsidR="000066DA" w:rsidRPr="000066DA">
              <w:rPr>
                <w:rFonts w:ascii="Titillium" w:hAnsi="Titillium"/>
                <w:noProof/>
              </w:rPr>
              <w:fldChar w:fldCharType="begin"/>
            </w:r>
            <w:r w:rsidR="000066DA" w:rsidRPr="000066DA">
              <w:rPr>
                <w:rFonts w:ascii="Titillium" w:hAnsi="Titillium"/>
                <w:noProof/>
              </w:rPr>
              <w:instrText xml:space="preserve"> PAGEREF _Toc227921656 \h </w:instrText>
            </w:r>
            <w:r w:rsidR="000066DA" w:rsidRPr="000066DA">
              <w:rPr>
                <w:rFonts w:ascii="Titillium" w:hAnsi="Titillium"/>
                <w:noProof/>
              </w:rPr>
            </w:r>
            <w:r w:rsidR="000066DA" w:rsidRPr="000066DA">
              <w:rPr>
                <w:rFonts w:ascii="Titillium" w:hAnsi="Titillium"/>
                <w:noProof/>
              </w:rPr>
              <w:fldChar w:fldCharType="separate"/>
            </w:r>
            <w:r w:rsidR="00862788">
              <w:rPr>
                <w:rFonts w:ascii="Titillium" w:hAnsi="Titillium"/>
                <w:noProof/>
              </w:rPr>
              <w:t>55</w:t>
            </w:r>
            <w:r w:rsidR="000066DA" w:rsidRPr="000066DA">
              <w:rPr>
                <w:rFonts w:ascii="Titillium" w:hAnsi="Titillium"/>
                <w:noProof/>
              </w:rPr>
              <w:fldChar w:fldCharType="end"/>
            </w:r>
          </w:hyperlink>
        </w:p>
        <w:p w14:paraId="0D6687F7" w14:textId="388350B6" w:rsidR="000066DA" w:rsidRPr="000066DA" w:rsidRDefault="00D26F03">
          <w:pPr>
            <w:pStyle w:val="Sommario2"/>
            <w:rPr>
              <w:rFonts w:ascii="Titillium" w:eastAsiaTheme="minorEastAsia" w:hAnsi="Titillium" w:cstheme="minorBidi"/>
              <w:smallCaps w:val="0"/>
              <w:noProof/>
              <w:kern w:val="2"/>
              <w:lang w:eastAsia="it-IT"/>
              <w14:ligatures w14:val="standardContextual"/>
            </w:rPr>
          </w:pPr>
          <w:hyperlink w:anchor="_Toc227921657" w:history="1">
            <w:r w:rsidR="000066DA" w:rsidRPr="000066DA">
              <w:rPr>
                <w:rStyle w:val="Collegamentoipertestuale"/>
                <w:rFonts w:ascii="Titillium" w:hAnsi="Titillium"/>
                <w:noProof/>
              </w:rPr>
              <w:t>24.</w:t>
            </w:r>
            <w:r w:rsidR="000066DA" w:rsidRPr="000066DA">
              <w:rPr>
                <w:rFonts w:ascii="Titillium" w:eastAsiaTheme="minorEastAsia" w:hAnsi="Titillium" w:cstheme="minorBidi"/>
                <w:smallCaps w:val="0"/>
                <w:noProof/>
                <w:kern w:val="2"/>
                <w:lang w:eastAsia="it-IT"/>
                <w14:ligatures w14:val="standardContextual"/>
              </w:rPr>
              <w:tab/>
            </w:r>
            <w:r w:rsidR="000066DA" w:rsidRPr="000066DA">
              <w:rPr>
                <w:rStyle w:val="Collegamentoipertestuale"/>
                <w:rFonts w:ascii="Titillium" w:hAnsi="Titillium"/>
                <w:noProof/>
              </w:rPr>
              <w:t>VERIFICA DELLA DOCUMENTAZIONE AMMINISTRATIVA</w:t>
            </w:r>
            <w:r w:rsidR="000066DA" w:rsidRPr="000066DA">
              <w:rPr>
                <w:rFonts w:ascii="Titillium" w:hAnsi="Titillium"/>
                <w:noProof/>
              </w:rPr>
              <w:tab/>
            </w:r>
            <w:r w:rsidR="000066DA" w:rsidRPr="000066DA">
              <w:rPr>
                <w:rFonts w:ascii="Titillium" w:hAnsi="Titillium"/>
                <w:noProof/>
              </w:rPr>
              <w:fldChar w:fldCharType="begin"/>
            </w:r>
            <w:r w:rsidR="000066DA" w:rsidRPr="000066DA">
              <w:rPr>
                <w:rFonts w:ascii="Titillium" w:hAnsi="Titillium"/>
                <w:noProof/>
              </w:rPr>
              <w:instrText xml:space="preserve"> PAGEREF _Toc227921657 \h </w:instrText>
            </w:r>
            <w:r w:rsidR="000066DA" w:rsidRPr="000066DA">
              <w:rPr>
                <w:rFonts w:ascii="Titillium" w:hAnsi="Titillium"/>
                <w:noProof/>
              </w:rPr>
            </w:r>
            <w:r w:rsidR="000066DA" w:rsidRPr="000066DA">
              <w:rPr>
                <w:rFonts w:ascii="Titillium" w:hAnsi="Titillium"/>
                <w:noProof/>
              </w:rPr>
              <w:fldChar w:fldCharType="separate"/>
            </w:r>
            <w:r w:rsidR="00862788">
              <w:rPr>
                <w:rFonts w:ascii="Titillium" w:hAnsi="Titillium"/>
                <w:noProof/>
              </w:rPr>
              <w:t>56</w:t>
            </w:r>
            <w:r w:rsidR="000066DA" w:rsidRPr="000066DA">
              <w:rPr>
                <w:rFonts w:ascii="Titillium" w:hAnsi="Titillium"/>
                <w:noProof/>
              </w:rPr>
              <w:fldChar w:fldCharType="end"/>
            </w:r>
          </w:hyperlink>
        </w:p>
        <w:p w14:paraId="317ACAC0" w14:textId="4FB2A957" w:rsidR="000066DA" w:rsidRPr="000066DA" w:rsidRDefault="00D26F03">
          <w:pPr>
            <w:pStyle w:val="Sommario2"/>
            <w:rPr>
              <w:rFonts w:ascii="Titillium" w:eastAsiaTheme="minorEastAsia" w:hAnsi="Titillium" w:cstheme="minorBidi"/>
              <w:smallCaps w:val="0"/>
              <w:noProof/>
              <w:kern w:val="2"/>
              <w:lang w:eastAsia="it-IT"/>
              <w14:ligatures w14:val="standardContextual"/>
            </w:rPr>
          </w:pPr>
          <w:hyperlink w:anchor="_Toc227921658" w:history="1">
            <w:r w:rsidR="000066DA" w:rsidRPr="000066DA">
              <w:rPr>
                <w:rStyle w:val="Collegamentoipertestuale"/>
                <w:rFonts w:ascii="Titillium" w:hAnsi="Titillium"/>
                <w:noProof/>
              </w:rPr>
              <w:t>25.</w:t>
            </w:r>
            <w:r w:rsidR="000066DA" w:rsidRPr="000066DA">
              <w:rPr>
                <w:rFonts w:ascii="Titillium" w:eastAsiaTheme="minorEastAsia" w:hAnsi="Titillium" w:cstheme="minorBidi"/>
                <w:smallCaps w:val="0"/>
                <w:noProof/>
                <w:kern w:val="2"/>
                <w:lang w:eastAsia="it-IT"/>
                <w14:ligatures w14:val="standardContextual"/>
              </w:rPr>
              <w:tab/>
            </w:r>
            <w:r w:rsidR="000066DA" w:rsidRPr="000066DA">
              <w:rPr>
                <w:rStyle w:val="Collegamentoipertestuale"/>
                <w:rFonts w:ascii="Titillium" w:hAnsi="Titillium"/>
                <w:noProof/>
              </w:rPr>
              <w:t>AGGIUDICAZIONE DELL’APPALTO E STIPULA DEL CONTRATTO</w:t>
            </w:r>
            <w:r w:rsidR="000066DA" w:rsidRPr="000066DA">
              <w:rPr>
                <w:rFonts w:ascii="Titillium" w:hAnsi="Titillium"/>
                <w:noProof/>
              </w:rPr>
              <w:tab/>
            </w:r>
            <w:r w:rsidR="000066DA" w:rsidRPr="000066DA">
              <w:rPr>
                <w:rFonts w:ascii="Titillium" w:hAnsi="Titillium"/>
                <w:noProof/>
              </w:rPr>
              <w:fldChar w:fldCharType="begin"/>
            </w:r>
            <w:r w:rsidR="000066DA" w:rsidRPr="000066DA">
              <w:rPr>
                <w:rFonts w:ascii="Titillium" w:hAnsi="Titillium"/>
                <w:noProof/>
              </w:rPr>
              <w:instrText xml:space="preserve"> PAGEREF _Toc227921658 \h </w:instrText>
            </w:r>
            <w:r w:rsidR="000066DA" w:rsidRPr="000066DA">
              <w:rPr>
                <w:rFonts w:ascii="Titillium" w:hAnsi="Titillium"/>
                <w:noProof/>
              </w:rPr>
            </w:r>
            <w:r w:rsidR="000066DA" w:rsidRPr="000066DA">
              <w:rPr>
                <w:rFonts w:ascii="Titillium" w:hAnsi="Titillium"/>
                <w:noProof/>
              </w:rPr>
              <w:fldChar w:fldCharType="separate"/>
            </w:r>
            <w:r w:rsidR="00862788">
              <w:rPr>
                <w:rFonts w:ascii="Titillium" w:hAnsi="Titillium"/>
                <w:noProof/>
              </w:rPr>
              <w:t>56</w:t>
            </w:r>
            <w:r w:rsidR="000066DA" w:rsidRPr="000066DA">
              <w:rPr>
                <w:rFonts w:ascii="Titillium" w:hAnsi="Titillium"/>
                <w:noProof/>
              </w:rPr>
              <w:fldChar w:fldCharType="end"/>
            </w:r>
          </w:hyperlink>
        </w:p>
        <w:p w14:paraId="4EC0EE2F" w14:textId="3A5B8950" w:rsidR="000066DA" w:rsidRPr="000066DA" w:rsidRDefault="00D26F03">
          <w:pPr>
            <w:pStyle w:val="Sommario2"/>
            <w:rPr>
              <w:rFonts w:ascii="Titillium" w:eastAsiaTheme="minorEastAsia" w:hAnsi="Titillium" w:cstheme="minorBidi"/>
              <w:smallCaps w:val="0"/>
              <w:noProof/>
              <w:kern w:val="2"/>
              <w:lang w:eastAsia="it-IT"/>
              <w14:ligatures w14:val="standardContextual"/>
            </w:rPr>
          </w:pPr>
          <w:hyperlink w:anchor="_Toc227921659" w:history="1">
            <w:r w:rsidR="000066DA" w:rsidRPr="000066DA">
              <w:rPr>
                <w:rStyle w:val="Collegamentoipertestuale"/>
                <w:rFonts w:ascii="Titillium" w:hAnsi="Titillium"/>
                <w:noProof/>
              </w:rPr>
              <w:t>26.</w:t>
            </w:r>
            <w:r w:rsidR="000066DA" w:rsidRPr="000066DA">
              <w:rPr>
                <w:rFonts w:ascii="Titillium" w:eastAsiaTheme="minorEastAsia" w:hAnsi="Titillium" w:cstheme="minorBidi"/>
                <w:smallCaps w:val="0"/>
                <w:noProof/>
                <w:kern w:val="2"/>
                <w:lang w:eastAsia="it-IT"/>
                <w14:ligatures w14:val="standardContextual"/>
              </w:rPr>
              <w:tab/>
            </w:r>
            <w:r w:rsidR="000066DA" w:rsidRPr="000066DA">
              <w:rPr>
                <w:rStyle w:val="Collegamentoipertestuale"/>
                <w:rFonts w:ascii="Titillium" w:hAnsi="Titillium"/>
                <w:noProof/>
              </w:rPr>
              <w:t>OBBLIGHI RELATIVI ALLA TRACCIABILITÀ DEI FLUSSI FINANZIARI</w:t>
            </w:r>
            <w:r w:rsidR="000066DA" w:rsidRPr="000066DA">
              <w:rPr>
                <w:rFonts w:ascii="Titillium" w:hAnsi="Titillium"/>
                <w:noProof/>
              </w:rPr>
              <w:tab/>
            </w:r>
            <w:r w:rsidR="000066DA" w:rsidRPr="000066DA">
              <w:rPr>
                <w:rFonts w:ascii="Titillium" w:hAnsi="Titillium"/>
                <w:noProof/>
              </w:rPr>
              <w:fldChar w:fldCharType="begin"/>
            </w:r>
            <w:r w:rsidR="000066DA" w:rsidRPr="000066DA">
              <w:rPr>
                <w:rFonts w:ascii="Titillium" w:hAnsi="Titillium"/>
                <w:noProof/>
              </w:rPr>
              <w:instrText xml:space="preserve"> PAGEREF _Toc227921659 \h </w:instrText>
            </w:r>
            <w:r w:rsidR="000066DA" w:rsidRPr="000066DA">
              <w:rPr>
                <w:rFonts w:ascii="Titillium" w:hAnsi="Titillium"/>
                <w:noProof/>
              </w:rPr>
            </w:r>
            <w:r w:rsidR="000066DA" w:rsidRPr="000066DA">
              <w:rPr>
                <w:rFonts w:ascii="Titillium" w:hAnsi="Titillium"/>
                <w:noProof/>
              </w:rPr>
              <w:fldChar w:fldCharType="separate"/>
            </w:r>
            <w:r w:rsidR="00862788">
              <w:rPr>
                <w:rFonts w:ascii="Titillium" w:hAnsi="Titillium"/>
                <w:noProof/>
              </w:rPr>
              <w:t>59</w:t>
            </w:r>
            <w:r w:rsidR="000066DA" w:rsidRPr="000066DA">
              <w:rPr>
                <w:rFonts w:ascii="Titillium" w:hAnsi="Titillium"/>
                <w:noProof/>
              </w:rPr>
              <w:fldChar w:fldCharType="end"/>
            </w:r>
          </w:hyperlink>
        </w:p>
        <w:p w14:paraId="5A7E5105" w14:textId="7D37D280" w:rsidR="000066DA" w:rsidRPr="000066DA" w:rsidRDefault="00D26F03">
          <w:pPr>
            <w:pStyle w:val="Sommario2"/>
            <w:rPr>
              <w:rFonts w:ascii="Titillium" w:eastAsiaTheme="minorEastAsia" w:hAnsi="Titillium" w:cstheme="minorBidi"/>
              <w:smallCaps w:val="0"/>
              <w:noProof/>
              <w:kern w:val="2"/>
              <w:lang w:eastAsia="it-IT"/>
              <w14:ligatures w14:val="standardContextual"/>
            </w:rPr>
          </w:pPr>
          <w:hyperlink w:anchor="_Toc227921660" w:history="1">
            <w:r w:rsidR="000066DA" w:rsidRPr="000066DA">
              <w:rPr>
                <w:rStyle w:val="Collegamentoipertestuale"/>
                <w:rFonts w:ascii="Titillium" w:hAnsi="Titillium"/>
                <w:noProof/>
              </w:rPr>
              <w:t>27.</w:t>
            </w:r>
            <w:r w:rsidR="000066DA" w:rsidRPr="000066DA">
              <w:rPr>
                <w:rFonts w:ascii="Titillium" w:eastAsiaTheme="minorEastAsia" w:hAnsi="Titillium" w:cstheme="minorBidi"/>
                <w:smallCaps w:val="0"/>
                <w:noProof/>
                <w:kern w:val="2"/>
                <w:lang w:eastAsia="it-IT"/>
                <w14:ligatures w14:val="standardContextual"/>
              </w:rPr>
              <w:tab/>
            </w:r>
            <w:r w:rsidR="000066DA" w:rsidRPr="000066DA">
              <w:rPr>
                <w:rStyle w:val="Collegamentoipertestuale"/>
                <w:rFonts w:ascii="Titillium" w:hAnsi="Titillium"/>
                <w:noProof/>
              </w:rPr>
              <w:t>CODICE DI COMPORTAMENTO</w:t>
            </w:r>
            <w:r w:rsidR="000066DA" w:rsidRPr="000066DA">
              <w:rPr>
                <w:rFonts w:ascii="Titillium" w:hAnsi="Titillium"/>
                <w:noProof/>
              </w:rPr>
              <w:tab/>
            </w:r>
            <w:r w:rsidR="000066DA" w:rsidRPr="000066DA">
              <w:rPr>
                <w:rFonts w:ascii="Titillium" w:hAnsi="Titillium"/>
                <w:noProof/>
              </w:rPr>
              <w:fldChar w:fldCharType="begin"/>
            </w:r>
            <w:r w:rsidR="000066DA" w:rsidRPr="000066DA">
              <w:rPr>
                <w:rFonts w:ascii="Titillium" w:hAnsi="Titillium"/>
                <w:noProof/>
              </w:rPr>
              <w:instrText xml:space="preserve"> PAGEREF _Toc227921660 \h </w:instrText>
            </w:r>
            <w:r w:rsidR="000066DA" w:rsidRPr="000066DA">
              <w:rPr>
                <w:rFonts w:ascii="Titillium" w:hAnsi="Titillium"/>
                <w:noProof/>
              </w:rPr>
            </w:r>
            <w:r w:rsidR="000066DA" w:rsidRPr="000066DA">
              <w:rPr>
                <w:rFonts w:ascii="Titillium" w:hAnsi="Titillium"/>
                <w:noProof/>
              </w:rPr>
              <w:fldChar w:fldCharType="separate"/>
            </w:r>
            <w:r w:rsidR="00862788">
              <w:rPr>
                <w:rFonts w:ascii="Titillium" w:hAnsi="Titillium"/>
                <w:noProof/>
              </w:rPr>
              <w:t>59</w:t>
            </w:r>
            <w:r w:rsidR="000066DA" w:rsidRPr="000066DA">
              <w:rPr>
                <w:rFonts w:ascii="Titillium" w:hAnsi="Titillium"/>
                <w:noProof/>
              </w:rPr>
              <w:fldChar w:fldCharType="end"/>
            </w:r>
          </w:hyperlink>
        </w:p>
        <w:p w14:paraId="3AF725C0" w14:textId="2CC20F50" w:rsidR="000066DA" w:rsidRPr="000066DA" w:rsidRDefault="00D26F03">
          <w:pPr>
            <w:pStyle w:val="Sommario2"/>
            <w:rPr>
              <w:rFonts w:ascii="Titillium" w:eastAsiaTheme="minorEastAsia" w:hAnsi="Titillium" w:cstheme="minorBidi"/>
              <w:smallCaps w:val="0"/>
              <w:noProof/>
              <w:kern w:val="2"/>
              <w:lang w:eastAsia="it-IT"/>
              <w14:ligatures w14:val="standardContextual"/>
            </w:rPr>
          </w:pPr>
          <w:hyperlink w:anchor="_Toc227921661" w:history="1">
            <w:r w:rsidR="000066DA" w:rsidRPr="000066DA">
              <w:rPr>
                <w:rStyle w:val="Collegamentoipertestuale"/>
                <w:rFonts w:ascii="Titillium" w:hAnsi="Titillium"/>
                <w:noProof/>
              </w:rPr>
              <w:t>28.</w:t>
            </w:r>
            <w:r w:rsidR="000066DA" w:rsidRPr="000066DA">
              <w:rPr>
                <w:rFonts w:ascii="Titillium" w:eastAsiaTheme="minorEastAsia" w:hAnsi="Titillium" w:cstheme="minorBidi"/>
                <w:smallCaps w:val="0"/>
                <w:noProof/>
                <w:kern w:val="2"/>
                <w:lang w:eastAsia="it-IT"/>
                <w14:ligatures w14:val="standardContextual"/>
              </w:rPr>
              <w:tab/>
            </w:r>
            <w:r w:rsidR="000066DA" w:rsidRPr="000066DA">
              <w:rPr>
                <w:rStyle w:val="Collegamentoipertestuale"/>
                <w:rFonts w:ascii="Titillium" w:hAnsi="Titillium"/>
                <w:noProof/>
              </w:rPr>
              <w:t>ACCESSO AGLI ATTI</w:t>
            </w:r>
            <w:r w:rsidR="000066DA" w:rsidRPr="000066DA">
              <w:rPr>
                <w:rFonts w:ascii="Titillium" w:hAnsi="Titillium"/>
                <w:noProof/>
              </w:rPr>
              <w:tab/>
            </w:r>
            <w:r w:rsidR="000066DA" w:rsidRPr="000066DA">
              <w:rPr>
                <w:rFonts w:ascii="Titillium" w:hAnsi="Titillium"/>
                <w:noProof/>
              </w:rPr>
              <w:fldChar w:fldCharType="begin"/>
            </w:r>
            <w:r w:rsidR="000066DA" w:rsidRPr="000066DA">
              <w:rPr>
                <w:rFonts w:ascii="Titillium" w:hAnsi="Titillium"/>
                <w:noProof/>
              </w:rPr>
              <w:instrText xml:space="preserve"> PAGEREF _Toc227921661 \h </w:instrText>
            </w:r>
            <w:r w:rsidR="000066DA" w:rsidRPr="000066DA">
              <w:rPr>
                <w:rFonts w:ascii="Titillium" w:hAnsi="Titillium"/>
                <w:noProof/>
              </w:rPr>
            </w:r>
            <w:r w:rsidR="000066DA" w:rsidRPr="000066DA">
              <w:rPr>
                <w:rFonts w:ascii="Titillium" w:hAnsi="Titillium"/>
                <w:noProof/>
              </w:rPr>
              <w:fldChar w:fldCharType="separate"/>
            </w:r>
            <w:r w:rsidR="00862788">
              <w:rPr>
                <w:rFonts w:ascii="Titillium" w:hAnsi="Titillium"/>
                <w:noProof/>
              </w:rPr>
              <w:t>59</w:t>
            </w:r>
            <w:r w:rsidR="000066DA" w:rsidRPr="000066DA">
              <w:rPr>
                <w:rFonts w:ascii="Titillium" w:hAnsi="Titillium"/>
                <w:noProof/>
              </w:rPr>
              <w:fldChar w:fldCharType="end"/>
            </w:r>
          </w:hyperlink>
        </w:p>
        <w:p w14:paraId="36701709" w14:textId="4987EE09" w:rsidR="000066DA" w:rsidRPr="000066DA" w:rsidRDefault="00D26F03">
          <w:pPr>
            <w:pStyle w:val="Sommario2"/>
            <w:rPr>
              <w:rFonts w:ascii="Titillium" w:eastAsiaTheme="minorEastAsia" w:hAnsi="Titillium" w:cstheme="minorBidi"/>
              <w:smallCaps w:val="0"/>
              <w:noProof/>
              <w:kern w:val="2"/>
              <w:lang w:eastAsia="it-IT"/>
              <w14:ligatures w14:val="standardContextual"/>
            </w:rPr>
          </w:pPr>
          <w:hyperlink w:anchor="_Toc227921662" w:history="1">
            <w:r w:rsidR="000066DA" w:rsidRPr="000066DA">
              <w:rPr>
                <w:rStyle w:val="Collegamentoipertestuale"/>
                <w:rFonts w:ascii="Titillium" w:hAnsi="Titillium"/>
                <w:noProof/>
              </w:rPr>
              <w:t>29.</w:t>
            </w:r>
            <w:r w:rsidR="000066DA" w:rsidRPr="000066DA">
              <w:rPr>
                <w:rFonts w:ascii="Titillium" w:eastAsiaTheme="minorEastAsia" w:hAnsi="Titillium" w:cstheme="minorBidi"/>
                <w:smallCaps w:val="0"/>
                <w:noProof/>
                <w:kern w:val="2"/>
                <w:lang w:eastAsia="it-IT"/>
                <w14:ligatures w14:val="standardContextual"/>
              </w:rPr>
              <w:tab/>
            </w:r>
            <w:r w:rsidR="000066DA" w:rsidRPr="000066DA">
              <w:rPr>
                <w:rStyle w:val="Collegamentoipertestuale"/>
                <w:rFonts w:ascii="Titillium" w:hAnsi="Titillium"/>
                <w:noProof/>
              </w:rPr>
              <w:t>DEFINIZIONE DELLE CONTROVERSIE</w:t>
            </w:r>
            <w:r w:rsidR="000066DA" w:rsidRPr="000066DA">
              <w:rPr>
                <w:rFonts w:ascii="Titillium" w:hAnsi="Titillium"/>
                <w:noProof/>
              </w:rPr>
              <w:tab/>
            </w:r>
            <w:r w:rsidR="000066DA" w:rsidRPr="000066DA">
              <w:rPr>
                <w:rFonts w:ascii="Titillium" w:hAnsi="Titillium"/>
                <w:noProof/>
              </w:rPr>
              <w:fldChar w:fldCharType="begin"/>
            </w:r>
            <w:r w:rsidR="000066DA" w:rsidRPr="000066DA">
              <w:rPr>
                <w:rFonts w:ascii="Titillium" w:hAnsi="Titillium"/>
                <w:noProof/>
              </w:rPr>
              <w:instrText xml:space="preserve"> PAGEREF _Toc227921662 \h </w:instrText>
            </w:r>
            <w:r w:rsidR="000066DA" w:rsidRPr="000066DA">
              <w:rPr>
                <w:rFonts w:ascii="Titillium" w:hAnsi="Titillium"/>
                <w:noProof/>
              </w:rPr>
            </w:r>
            <w:r w:rsidR="000066DA" w:rsidRPr="000066DA">
              <w:rPr>
                <w:rFonts w:ascii="Titillium" w:hAnsi="Titillium"/>
                <w:noProof/>
              </w:rPr>
              <w:fldChar w:fldCharType="separate"/>
            </w:r>
            <w:r w:rsidR="00862788">
              <w:rPr>
                <w:rFonts w:ascii="Titillium" w:hAnsi="Titillium"/>
                <w:noProof/>
              </w:rPr>
              <w:t>60</w:t>
            </w:r>
            <w:r w:rsidR="000066DA" w:rsidRPr="000066DA">
              <w:rPr>
                <w:rFonts w:ascii="Titillium" w:hAnsi="Titillium"/>
                <w:noProof/>
              </w:rPr>
              <w:fldChar w:fldCharType="end"/>
            </w:r>
          </w:hyperlink>
        </w:p>
        <w:p w14:paraId="05307769" w14:textId="3035FEB7" w:rsidR="000066DA" w:rsidRDefault="00D26F03">
          <w:pPr>
            <w:pStyle w:val="Sommario2"/>
            <w:rPr>
              <w:rFonts w:asciiTheme="minorHAnsi" w:eastAsiaTheme="minorEastAsia" w:hAnsiTheme="minorHAnsi" w:cstheme="minorBidi"/>
              <w:smallCaps w:val="0"/>
              <w:noProof/>
              <w:kern w:val="2"/>
              <w:sz w:val="24"/>
              <w:szCs w:val="24"/>
              <w:lang w:eastAsia="it-IT"/>
              <w14:ligatures w14:val="standardContextual"/>
            </w:rPr>
          </w:pPr>
          <w:hyperlink w:anchor="_Toc227921663" w:history="1">
            <w:r w:rsidR="000066DA" w:rsidRPr="000066DA">
              <w:rPr>
                <w:rStyle w:val="Collegamentoipertestuale"/>
                <w:rFonts w:ascii="Titillium" w:hAnsi="Titillium"/>
                <w:noProof/>
              </w:rPr>
              <w:t>30.</w:t>
            </w:r>
            <w:r w:rsidR="000066DA" w:rsidRPr="000066DA">
              <w:rPr>
                <w:rFonts w:ascii="Titillium" w:eastAsiaTheme="minorEastAsia" w:hAnsi="Titillium" w:cstheme="minorBidi"/>
                <w:smallCaps w:val="0"/>
                <w:noProof/>
                <w:kern w:val="2"/>
                <w:lang w:eastAsia="it-IT"/>
                <w14:ligatures w14:val="standardContextual"/>
              </w:rPr>
              <w:tab/>
            </w:r>
            <w:r w:rsidR="000066DA" w:rsidRPr="000066DA">
              <w:rPr>
                <w:rStyle w:val="Collegamentoipertestuale"/>
                <w:rFonts w:ascii="Titillium" w:hAnsi="Titillium"/>
                <w:noProof/>
              </w:rPr>
              <w:t>TRATTAMENTO DEI DATI PERSONALI</w:t>
            </w:r>
            <w:r w:rsidR="000066DA" w:rsidRPr="000066DA">
              <w:rPr>
                <w:rFonts w:ascii="Titillium" w:hAnsi="Titillium"/>
                <w:noProof/>
              </w:rPr>
              <w:tab/>
            </w:r>
            <w:r w:rsidR="000066DA" w:rsidRPr="000066DA">
              <w:rPr>
                <w:rFonts w:ascii="Titillium" w:hAnsi="Titillium"/>
                <w:noProof/>
              </w:rPr>
              <w:fldChar w:fldCharType="begin"/>
            </w:r>
            <w:r w:rsidR="000066DA" w:rsidRPr="000066DA">
              <w:rPr>
                <w:rFonts w:ascii="Titillium" w:hAnsi="Titillium"/>
                <w:noProof/>
              </w:rPr>
              <w:instrText xml:space="preserve"> PAGEREF _Toc227921663 \h </w:instrText>
            </w:r>
            <w:r w:rsidR="000066DA" w:rsidRPr="000066DA">
              <w:rPr>
                <w:rFonts w:ascii="Titillium" w:hAnsi="Titillium"/>
                <w:noProof/>
              </w:rPr>
            </w:r>
            <w:r w:rsidR="000066DA" w:rsidRPr="000066DA">
              <w:rPr>
                <w:rFonts w:ascii="Titillium" w:hAnsi="Titillium"/>
                <w:noProof/>
              </w:rPr>
              <w:fldChar w:fldCharType="separate"/>
            </w:r>
            <w:r w:rsidR="00862788">
              <w:rPr>
                <w:rFonts w:ascii="Titillium" w:hAnsi="Titillium"/>
                <w:noProof/>
              </w:rPr>
              <w:t>61</w:t>
            </w:r>
            <w:r w:rsidR="000066DA" w:rsidRPr="000066DA">
              <w:rPr>
                <w:rFonts w:ascii="Titillium" w:hAnsi="Titillium"/>
                <w:noProof/>
              </w:rPr>
              <w:fldChar w:fldCharType="end"/>
            </w:r>
          </w:hyperlink>
        </w:p>
        <w:p w14:paraId="71D9B661" w14:textId="2F61A108" w:rsidR="006842EE" w:rsidRDefault="008F2625">
          <w:pPr>
            <w:pStyle w:val="Sommario2"/>
            <w:rPr>
              <w:rFonts w:asciiTheme="minorHAnsi" w:eastAsiaTheme="minorEastAsia" w:hAnsiTheme="minorHAnsi" w:cstheme="minorBidi"/>
              <w:smallCaps w:val="0"/>
              <w:sz w:val="22"/>
              <w:szCs w:val="22"/>
              <w:lang w:eastAsia="it-IT"/>
            </w:rPr>
          </w:pPr>
          <w:r>
            <w:rPr>
              <w:rStyle w:val="Saltoaindice"/>
            </w:rPr>
            <w:fldChar w:fldCharType="end"/>
          </w:r>
        </w:p>
      </w:sdtContent>
    </w:sdt>
    <w:p w14:paraId="4836905D" w14:textId="77777777" w:rsidR="006842EE" w:rsidRDefault="006842EE">
      <w:pPr>
        <w:pStyle w:val="Sommario2"/>
        <w:rPr>
          <w:rFonts w:asciiTheme="minorHAnsi" w:eastAsiaTheme="minorEastAsia" w:hAnsiTheme="minorHAnsi" w:cstheme="minorBidi"/>
          <w:smallCaps w:val="0"/>
          <w:sz w:val="22"/>
          <w:szCs w:val="22"/>
          <w:lang w:eastAsia="it-IT"/>
        </w:rPr>
      </w:pPr>
    </w:p>
    <w:p w14:paraId="704D13A1" w14:textId="77777777" w:rsidR="006842EE" w:rsidRDefault="006842EE">
      <w:pPr>
        <w:sectPr w:rsidR="006842EE" w:rsidSect="001C447C">
          <w:type w:val="continuous"/>
          <w:pgSz w:w="11906" w:h="16838"/>
          <w:pgMar w:top="1418" w:right="1134" w:bottom="680" w:left="1548" w:header="851" w:footer="454" w:gutter="0"/>
          <w:cols w:space="720"/>
          <w:formProt w:val="0"/>
          <w:docGrid w:linePitch="326"/>
        </w:sectPr>
      </w:pPr>
    </w:p>
    <w:p w14:paraId="57F6EB24" w14:textId="77777777" w:rsidR="006842EE" w:rsidRDefault="006842EE">
      <w:pPr>
        <w:pStyle w:val="Sommario1"/>
      </w:pPr>
    </w:p>
    <w:p w14:paraId="36A7B466" w14:textId="77777777" w:rsidR="006842EE" w:rsidRDefault="006842EE">
      <w:pPr>
        <w:pStyle w:val="Sommario2"/>
        <w:rPr>
          <w:lang w:eastAsia="it-IT"/>
        </w:rPr>
      </w:pPr>
    </w:p>
    <w:p w14:paraId="5AC06B3E" w14:textId="77777777" w:rsidR="006842EE" w:rsidRDefault="006842EE">
      <w:pPr>
        <w:pStyle w:val="Sommario2"/>
        <w:rPr>
          <w:lang w:eastAsia="it-IT"/>
        </w:rPr>
      </w:pPr>
    </w:p>
    <w:p w14:paraId="22DF2096" w14:textId="77777777" w:rsidR="006842EE" w:rsidRDefault="006842EE">
      <w:pPr>
        <w:pStyle w:val="Sommario2"/>
        <w:rPr>
          <w:lang w:eastAsia="it-IT"/>
        </w:rPr>
      </w:pPr>
    </w:p>
    <w:p w14:paraId="64F1E605" w14:textId="77777777" w:rsidR="006842EE" w:rsidRDefault="006842EE">
      <w:pPr>
        <w:pStyle w:val="Sommario2"/>
        <w:rPr>
          <w:lang w:eastAsia="it-IT"/>
        </w:rPr>
      </w:pPr>
    </w:p>
    <w:p w14:paraId="2F122B41" w14:textId="77777777" w:rsidR="006842EE" w:rsidRDefault="006842EE">
      <w:pPr>
        <w:pStyle w:val="Sommario2"/>
        <w:rPr>
          <w:lang w:eastAsia="it-IT"/>
        </w:rPr>
      </w:pPr>
    </w:p>
    <w:p w14:paraId="6712237E" w14:textId="77777777" w:rsidR="006842EE" w:rsidRDefault="008F2625">
      <w:pPr>
        <w:widowControl w:val="0"/>
        <w:spacing w:before="60" w:after="60"/>
        <w:rPr>
          <w:rFonts w:ascii="Titillium" w:hAnsi="Titillium" w:cs="Calibri"/>
          <w:szCs w:val="24"/>
          <w:lang w:eastAsia="it-IT"/>
        </w:rPr>
      </w:pPr>
      <w:r>
        <w:br w:type="page"/>
      </w:r>
    </w:p>
    <w:p w14:paraId="3DE89288" w14:textId="77777777" w:rsidR="006842EE" w:rsidRDefault="008F2625">
      <w:pPr>
        <w:pStyle w:val="Titolo1"/>
        <w:spacing w:before="100" w:after="100"/>
      </w:pPr>
      <w:bookmarkStart w:id="0" w:name="_Toc492630594"/>
      <w:bookmarkStart w:id="1" w:name="_Toc227921608"/>
      <w:r>
        <w:rPr>
          <w:rFonts w:ascii="Titillium" w:hAnsi="Titillium"/>
          <w:sz w:val="18"/>
          <w:szCs w:val="18"/>
          <w:lang w:val="it-IT"/>
        </w:rPr>
        <w:t xml:space="preserve">AMBITO DI APPLICAZIONE E </w:t>
      </w:r>
      <w:r>
        <w:rPr>
          <w:rFonts w:ascii="Titillium" w:hAnsi="Titillium"/>
          <w:sz w:val="18"/>
          <w:szCs w:val="18"/>
        </w:rPr>
        <w:t>ISTRUZIONI PER LA COMPILAZIONE</w:t>
      </w:r>
      <w:bookmarkEnd w:id="0"/>
      <w:bookmarkEnd w:id="1"/>
      <w:r>
        <w:rPr>
          <w:rFonts w:ascii="Titillium" w:hAnsi="Titillium"/>
          <w:sz w:val="18"/>
          <w:szCs w:val="18"/>
        </w:rPr>
        <w:t xml:space="preserve"> </w:t>
      </w:r>
    </w:p>
    <w:p w14:paraId="1E4A4B9E" w14:textId="77777777" w:rsidR="006842EE" w:rsidRDefault="008F2625" w:rsidP="00F661D1">
      <w:pPr>
        <w:widowControl w:val="0"/>
        <w:rPr>
          <w:rFonts w:ascii="Titillium" w:hAnsi="Titillium" w:cs="Calibri"/>
          <w:sz w:val="18"/>
          <w:szCs w:val="18"/>
          <w:lang w:eastAsia="it-IT"/>
        </w:rPr>
      </w:pPr>
      <w:r>
        <w:rPr>
          <w:rFonts w:ascii="Titillium" w:hAnsi="Titillium" w:cs="Calibri"/>
          <w:sz w:val="18"/>
          <w:szCs w:val="18"/>
          <w:lang w:eastAsia="it-IT"/>
        </w:rPr>
        <w:t>Il presente Disciplinare tipo si applica alle procedure aperte aventi ad oggetto l’affidamento di contratti pubblici di servizi di ingegneria e architettura nei settori ordinari di importo pari o superiore alle soglie di rilevanza europea, con il criterio dell’offerta economicamente più vantaggiosa sulla base del miglior rapporto qualità/prezzo.</w:t>
      </w:r>
    </w:p>
    <w:p w14:paraId="2343A891" w14:textId="77777777" w:rsidR="006842EE" w:rsidRDefault="008F2625">
      <w:pPr>
        <w:widowControl w:val="0"/>
      </w:pPr>
      <w:r>
        <w:rPr>
          <w:rFonts w:ascii="Titillium" w:hAnsi="Titillium" w:cs="Calibri"/>
          <w:sz w:val="18"/>
          <w:szCs w:val="18"/>
          <w:lang w:eastAsia="it-IT"/>
        </w:rPr>
        <w:t xml:space="preserve">Le parti del presente Disciplinare tipo, indicate con carattere normale, rappresentano l’ipotesi base di formulazione. </w:t>
      </w:r>
      <w:r>
        <w:rPr>
          <w:rFonts w:ascii="Titillium" w:hAnsi="Titillium" w:cs="Calibri"/>
          <w:sz w:val="18"/>
          <w:szCs w:val="18"/>
        </w:rPr>
        <w:t>In tale modello base sono evidenziate le parti variabili o opzionali, mediante il ricorso a corsivo o parentesi quadre, come di seguito specificato.</w:t>
      </w:r>
    </w:p>
    <w:p w14:paraId="75A6970B" w14:textId="0747FDA2" w:rsidR="006842EE" w:rsidRPr="00741D9E" w:rsidRDefault="008F2625" w:rsidP="00F07F08">
      <w:pPr>
        <w:widowControl w:val="0"/>
        <w:spacing w:before="60" w:after="60"/>
        <w:rPr>
          <w:rFonts w:ascii="Titillium" w:hAnsi="Titillium" w:cs="Calibri"/>
          <w:color w:val="000000" w:themeColor="text1"/>
          <w:sz w:val="18"/>
          <w:szCs w:val="18"/>
          <w:lang w:eastAsia="it-IT"/>
        </w:rPr>
      </w:pPr>
      <w:r>
        <w:rPr>
          <w:rFonts w:ascii="Titillium" w:hAnsi="Titillium" w:cs="Calibri"/>
          <w:sz w:val="18"/>
          <w:szCs w:val="18"/>
          <w:lang w:eastAsia="it-IT"/>
        </w:rPr>
        <w:t>Il presente schema recepisce la normativa vigente e, in particolare, il decreto legislativo 31 marzo 2023, n. 36</w:t>
      </w:r>
      <w:r w:rsidRPr="00B31D6F">
        <w:rPr>
          <w:rFonts w:ascii="Titillium" w:hAnsi="Titillium" w:cs="Calibri"/>
          <w:sz w:val="18"/>
          <w:szCs w:val="18"/>
          <w:lang w:eastAsia="it-IT"/>
        </w:rPr>
        <w:t>,</w:t>
      </w:r>
      <w:r w:rsidR="00F07F08" w:rsidRPr="00B31D6F">
        <w:rPr>
          <w:rFonts w:ascii="Titillium" w:hAnsi="Titillium" w:cs="Calibri"/>
          <w:sz w:val="18"/>
          <w:szCs w:val="18"/>
          <w:lang w:eastAsia="it-IT"/>
        </w:rPr>
        <w:t xml:space="preserve"> come modificato dal decreto legislativo 31 dicembre 2024 n. 209, e i pertinenti Allegati</w:t>
      </w:r>
      <w:r w:rsidR="00F07F08" w:rsidRPr="00741D9E">
        <w:rPr>
          <w:rFonts w:ascii="Titillium" w:hAnsi="Titillium" w:cs="Calibri"/>
          <w:sz w:val="18"/>
          <w:szCs w:val="18"/>
          <w:lang w:eastAsia="it-IT"/>
        </w:rPr>
        <w:t>,</w:t>
      </w:r>
      <w:r w:rsidR="00741D9E" w:rsidRPr="00741D9E">
        <w:rPr>
          <w:rFonts w:ascii="Titillium" w:hAnsi="Titillium" w:cs="Calibri"/>
          <w:sz w:val="18"/>
          <w:szCs w:val="18"/>
          <w:lang w:eastAsia="it-IT"/>
        </w:rPr>
        <w:t xml:space="preserve"> c</w:t>
      </w:r>
      <w:r w:rsidR="00741D9E">
        <w:rPr>
          <w:rFonts w:ascii="Titillium" w:hAnsi="Titillium" w:cs="Calibri"/>
          <w:sz w:val="18"/>
          <w:szCs w:val="18"/>
          <w:lang w:eastAsia="it-IT"/>
        </w:rPr>
        <w:t>o</w:t>
      </w:r>
      <w:r w:rsidR="00F07F08" w:rsidRPr="00741D9E">
        <w:rPr>
          <w:rFonts w:ascii="Titillium" w:hAnsi="Titillium" w:cs="Calibri"/>
          <w:color w:val="000000" w:themeColor="text1"/>
          <w:sz w:val="18"/>
          <w:szCs w:val="18"/>
          <w:lang w:eastAsia="it-IT"/>
        </w:rPr>
        <w:t>n particolare riguardo all</w:t>
      </w:r>
      <w:r w:rsidRPr="00741D9E">
        <w:rPr>
          <w:rFonts w:ascii="Titillium" w:hAnsi="Titillium" w:cs="Calibri"/>
          <w:color w:val="000000" w:themeColor="text1"/>
          <w:sz w:val="18"/>
          <w:szCs w:val="18"/>
          <w:lang w:eastAsia="it-IT"/>
        </w:rPr>
        <w:t xml:space="preserve">’Allegato I.13 del Codice. </w:t>
      </w:r>
    </w:p>
    <w:p w14:paraId="12FD6F12" w14:textId="05D57DDD" w:rsidR="006842EE" w:rsidRDefault="008F2625">
      <w:pPr>
        <w:widowControl w:val="0"/>
        <w:spacing w:before="60" w:after="60"/>
        <w:rPr>
          <w:rFonts w:ascii="Titillium" w:hAnsi="Titillium" w:cs="Calibri"/>
          <w:sz w:val="18"/>
          <w:szCs w:val="18"/>
          <w:lang w:eastAsia="it-IT"/>
        </w:rPr>
      </w:pPr>
      <w:r>
        <w:rPr>
          <w:rFonts w:ascii="Titillium" w:hAnsi="Titillium" w:cs="Calibri"/>
          <w:sz w:val="18"/>
          <w:szCs w:val="18"/>
          <w:lang w:eastAsia="it-IT"/>
        </w:rPr>
        <w:t>Lo schema di disciplinare di gara acquista efficacia il</w:t>
      </w:r>
      <w:r w:rsidR="005F3A48">
        <w:rPr>
          <w:rFonts w:ascii="Titillium" w:hAnsi="Titillium" w:cs="Calibri"/>
          <w:sz w:val="18"/>
          <w:szCs w:val="18"/>
          <w:lang w:eastAsia="it-IT"/>
        </w:rPr>
        <w:t xml:space="preserve"> </w:t>
      </w:r>
      <w:r>
        <w:rPr>
          <w:rFonts w:ascii="Titillium" w:hAnsi="Titillium" w:cs="Calibri"/>
          <w:sz w:val="18"/>
          <w:szCs w:val="18"/>
          <w:lang w:eastAsia="it-IT"/>
        </w:rPr>
        <w:t>quindicesimo giorno successivo alla pubblicazione nella Gazzetta Ufficiale della Repubblica Italiana.</w:t>
      </w:r>
    </w:p>
    <w:p w14:paraId="1F9AB293" w14:textId="77777777" w:rsidR="006842EE" w:rsidRDefault="006842EE">
      <w:pPr>
        <w:widowControl w:val="0"/>
        <w:spacing w:before="60" w:after="60"/>
        <w:rPr>
          <w:rFonts w:ascii="Titillium" w:hAnsi="Titillium" w:cs="Calibri"/>
          <w:szCs w:val="24"/>
          <w:lang w:eastAsia="it-IT"/>
        </w:rPr>
      </w:pPr>
    </w:p>
    <w:p w14:paraId="0CC16B40" w14:textId="77777777" w:rsidR="006842EE" w:rsidRDefault="008F2625">
      <w:pPr>
        <w:pStyle w:val="Paragrafoelenco"/>
        <w:widowControl w:val="0"/>
        <w:numPr>
          <w:ilvl w:val="0"/>
          <w:numId w:val="5"/>
        </w:numPr>
        <w:spacing w:before="60" w:after="60"/>
        <w:ind w:left="284" w:hanging="284"/>
        <w:rPr>
          <w:rFonts w:ascii="Titillium" w:hAnsi="Titillium" w:cs="Calibri"/>
          <w:b/>
          <w:smallCaps/>
          <w:sz w:val="18"/>
          <w:szCs w:val="18"/>
        </w:rPr>
      </w:pPr>
      <w:bookmarkStart w:id="2" w:name="_Toc406058360"/>
      <w:bookmarkStart w:id="3" w:name="_Toc403471254"/>
      <w:bookmarkStart w:id="4" w:name="_Toc397422847"/>
      <w:bookmarkStart w:id="5" w:name="_Toc397346806"/>
      <w:bookmarkStart w:id="6" w:name="_Toc393706891"/>
      <w:bookmarkStart w:id="7" w:name="_Toc393700818"/>
      <w:bookmarkStart w:id="8" w:name="_Toc393283159"/>
      <w:bookmarkStart w:id="9" w:name="_Toc393272643"/>
      <w:bookmarkStart w:id="10" w:name="_Toc393272585"/>
      <w:bookmarkStart w:id="11" w:name="_Toc393187829"/>
      <w:bookmarkStart w:id="12" w:name="_Toc393112110"/>
      <w:bookmarkStart w:id="13" w:name="_Toc393110546"/>
      <w:bookmarkStart w:id="14" w:name="_Toc392577479"/>
      <w:bookmarkStart w:id="15" w:name="_Toc391036039"/>
      <w:bookmarkStart w:id="16" w:name="_Toc391035966"/>
      <w:bookmarkStart w:id="17" w:name="_Toc380501854"/>
      <w:bookmarkStart w:id="18" w:name="_Toc416423343"/>
      <w:bookmarkStart w:id="19" w:name="_Toc406754160"/>
      <w:r>
        <w:rPr>
          <w:rFonts w:ascii="Titillium" w:hAnsi="Titillium" w:cs="Calibri"/>
          <w:b/>
          <w:smallCaps/>
          <w:sz w:val="18"/>
          <w:szCs w:val="18"/>
        </w:rPr>
        <w:t>informazioni da riportare in base alle esigenze</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Pr>
          <w:rFonts w:ascii="Titillium" w:hAnsi="Titillium" w:cs="Calibri"/>
          <w:b/>
          <w:smallCaps/>
          <w:sz w:val="18"/>
          <w:szCs w:val="18"/>
        </w:rPr>
        <w:t xml:space="preserve"> della stazione appaltante</w:t>
      </w:r>
    </w:p>
    <w:p w14:paraId="733C326A" w14:textId="77777777" w:rsidR="006842EE" w:rsidRDefault="008F2625">
      <w:pPr>
        <w:widowControl w:val="0"/>
        <w:spacing w:before="60" w:after="60"/>
      </w:pPr>
      <w:r>
        <w:rPr>
          <w:rFonts w:ascii="Titillium" w:hAnsi="Titillium" w:cs="Calibri"/>
          <w:sz w:val="18"/>
          <w:szCs w:val="18"/>
          <w:lang w:eastAsia="it-IT"/>
        </w:rPr>
        <w:t>Gli spazi lasciati liberi devono essere compilati dalla stazione appaltante in base alle caratteristiche specifiche dell’appalto</w:t>
      </w:r>
      <w:r>
        <w:rPr>
          <w:rFonts w:ascii="Titillium" w:hAnsi="Titillium" w:cs="Calibri"/>
          <w:sz w:val="18"/>
          <w:szCs w:val="18"/>
        </w:rPr>
        <w:t>. In tali parti, talvolta evidenziate tra parentesi quadre, sono contenuti esempi o è fornita una descrizione di come potrebbe essere riempito il relativo spazio da parte delle stazioni appaltanti.</w:t>
      </w:r>
    </w:p>
    <w:p w14:paraId="6767073D" w14:textId="77777777" w:rsidR="006842EE" w:rsidRDefault="008F2625">
      <w:pPr>
        <w:widowControl w:val="0"/>
        <w:spacing w:before="60" w:after="60"/>
        <w:rPr>
          <w:rFonts w:ascii="Titillium" w:hAnsi="Titillium" w:cs="Calibri"/>
          <w:sz w:val="18"/>
          <w:szCs w:val="18"/>
        </w:rPr>
      </w:pPr>
      <w:r>
        <w:rPr>
          <w:rFonts w:ascii="Titillium" w:hAnsi="Titillium" w:cs="Calibri"/>
          <w:sz w:val="18"/>
          <w:szCs w:val="18"/>
        </w:rPr>
        <w:t>Ad esempio:</w:t>
      </w:r>
    </w:p>
    <w:p w14:paraId="768D9D60" w14:textId="510D8448" w:rsidR="006842EE" w:rsidRDefault="008F2625">
      <w:pPr>
        <w:widowControl w:val="0"/>
        <w:spacing w:before="60" w:after="60"/>
        <w:rPr>
          <w:rFonts w:ascii="Titillium" w:hAnsi="Titillium" w:cs="Calibri"/>
          <w:sz w:val="18"/>
          <w:szCs w:val="18"/>
        </w:rPr>
      </w:pPr>
      <w:r>
        <w:rPr>
          <w:rFonts w:ascii="Titillium" w:hAnsi="Titillium" w:cs="Calibri"/>
          <w:sz w:val="18"/>
          <w:szCs w:val="18"/>
        </w:rPr>
        <w:t>«</w:t>
      </w:r>
      <w:r>
        <w:rPr>
          <w:rFonts w:ascii="Titillium" w:hAnsi="Titillium" w:cs="Calibri"/>
          <w:bCs/>
          <w:color w:val="000000"/>
          <w:sz w:val="18"/>
          <w:szCs w:val="18"/>
          <w:highlight w:val="white"/>
        </w:rPr>
        <w:t xml:space="preserve">Ai fini della partecipazione alla presente procedura, ogni operatore economico deve dotarsi, a propria cura, spesa e responsabilità della strumentazione tecnica ed informatica conforme a quella indicata nel presente disciplinare e nel documento …  </w:t>
      </w:r>
      <w:r>
        <w:rPr>
          <w:rFonts w:ascii="Titillium" w:hAnsi="Titillium" w:cs="Calibri"/>
          <w:bCs/>
          <w:i/>
          <w:iCs/>
          <w:color w:val="000000"/>
          <w:sz w:val="18"/>
          <w:szCs w:val="18"/>
          <w:highlight w:val="white"/>
        </w:rPr>
        <w:t xml:space="preserve">[indicarne il nome, ad esempio Condizioni generali di utilizzo della </w:t>
      </w:r>
      <w:r w:rsidR="00813352" w:rsidRPr="00741D9E">
        <w:rPr>
          <w:rFonts w:ascii="Titillium" w:hAnsi="Titillium" w:cs="Calibri"/>
          <w:bCs/>
          <w:i/>
          <w:iCs/>
          <w:color w:val="000000" w:themeColor="text1"/>
          <w:sz w:val="18"/>
          <w:szCs w:val="18"/>
          <w:highlight w:val="white"/>
        </w:rPr>
        <w:t>PAD</w:t>
      </w:r>
      <w:r w:rsidR="00813352">
        <w:rPr>
          <w:rFonts w:ascii="Titillium" w:hAnsi="Titillium" w:cs="Calibri"/>
          <w:bCs/>
          <w:i/>
          <w:iCs/>
          <w:color w:val="000000"/>
          <w:sz w:val="18"/>
          <w:szCs w:val="18"/>
          <w:highlight w:val="white"/>
        </w:rPr>
        <w:t xml:space="preserve"> </w:t>
      </w:r>
      <w:r>
        <w:rPr>
          <w:rFonts w:ascii="Titillium" w:hAnsi="Titillium" w:cs="Calibri"/>
          <w:bCs/>
          <w:i/>
          <w:iCs/>
          <w:color w:val="000000"/>
          <w:sz w:val="18"/>
          <w:szCs w:val="18"/>
          <w:highlight w:val="white"/>
        </w:rPr>
        <w:t>o Regolamento tecnico]</w:t>
      </w:r>
      <w:r>
        <w:rPr>
          <w:rFonts w:ascii="Titillium" w:hAnsi="Titillium" w:cs="Calibri"/>
          <w:bCs/>
          <w:iCs/>
          <w:color w:val="000000"/>
          <w:sz w:val="18"/>
          <w:szCs w:val="18"/>
          <w:highlight w:val="white"/>
        </w:rPr>
        <w:t xml:space="preserve">, che disciplina il funzionamento e l’utilizzo della </w:t>
      </w:r>
      <w:r w:rsidR="00813352" w:rsidRPr="00741D9E">
        <w:rPr>
          <w:rFonts w:ascii="Titillium" w:hAnsi="Titillium" w:cs="Calibri"/>
          <w:bCs/>
          <w:iCs/>
          <w:color w:val="000000" w:themeColor="text1"/>
          <w:sz w:val="18"/>
          <w:szCs w:val="18"/>
          <w:highlight w:val="white"/>
        </w:rPr>
        <w:t>PAD</w:t>
      </w:r>
      <w:r>
        <w:rPr>
          <w:rFonts w:ascii="Titillium" w:hAnsi="Titillium" w:cs="Calibri"/>
          <w:sz w:val="18"/>
          <w:szCs w:val="18"/>
        </w:rPr>
        <w:t>».</w:t>
      </w:r>
    </w:p>
    <w:p w14:paraId="31DB737F" w14:textId="77777777" w:rsidR="006842EE" w:rsidRDefault="006842EE">
      <w:pPr>
        <w:widowControl w:val="0"/>
        <w:tabs>
          <w:tab w:val="left" w:pos="2520"/>
        </w:tabs>
        <w:spacing w:before="60" w:after="60"/>
        <w:ind w:right="-1"/>
        <w:rPr>
          <w:rFonts w:ascii="Titillium" w:hAnsi="Titillium" w:cs="Calibri"/>
          <w:szCs w:val="24"/>
          <w:lang w:eastAsia="it-IT"/>
        </w:rPr>
      </w:pPr>
    </w:p>
    <w:p w14:paraId="4AEAA049" w14:textId="77777777" w:rsidR="006842EE" w:rsidRDefault="008F2625">
      <w:pPr>
        <w:pStyle w:val="Paragrafoelenco"/>
        <w:widowControl w:val="0"/>
        <w:numPr>
          <w:ilvl w:val="0"/>
          <w:numId w:val="5"/>
        </w:numPr>
        <w:spacing w:before="60" w:after="60"/>
        <w:ind w:left="284" w:hanging="284"/>
        <w:rPr>
          <w:rFonts w:ascii="Titillium" w:hAnsi="Titillium" w:cs="Calibri"/>
          <w:b/>
          <w:smallCaps/>
          <w:sz w:val="18"/>
          <w:szCs w:val="18"/>
        </w:rPr>
      </w:pPr>
      <w:bookmarkStart w:id="20" w:name="_Toc481159794"/>
      <w:bookmarkStart w:id="21" w:name="_Toc481159737"/>
      <w:bookmarkStart w:id="22" w:name="_Toc481159691"/>
      <w:bookmarkStart w:id="23" w:name="_Toc481159352"/>
      <w:bookmarkStart w:id="24" w:name="_Toc481158956"/>
      <w:bookmarkStart w:id="25" w:name="_Toc481159991"/>
      <w:bookmarkStart w:id="26" w:name="_Toc481159846"/>
      <w:bookmarkStart w:id="27" w:name="_Toc416423344"/>
      <w:bookmarkStart w:id="28" w:name="_Toc406754161"/>
      <w:bookmarkStart w:id="29" w:name="_Toc406058361"/>
      <w:bookmarkStart w:id="30" w:name="_Toc403471255"/>
      <w:bookmarkStart w:id="31" w:name="_Toc397422848"/>
      <w:bookmarkStart w:id="32" w:name="_Toc397346807"/>
      <w:bookmarkStart w:id="33" w:name="_Toc393706892"/>
      <w:bookmarkStart w:id="34" w:name="_Toc393700819"/>
      <w:bookmarkStart w:id="35" w:name="_Toc393283160"/>
      <w:bookmarkStart w:id="36" w:name="_Toc393272644"/>
      <w:bookmarkStart w:id="37" w:name="_Toc393272586"/>
      <w:bookmarkStart w:id="38" w:name="_Toc393187830"/>
      <w:bookmarkStart w:id="39" w:name="_Toc393112111"/>
      <w:bookmarkStart w:id="40" w:name="_Toc393110547"/>
      <w:bookmarkStart w:id="41" w:name="_Toc392577480"/>
      <w:bookmarkStart w:id="42" w:name="_Toc391036040"/>
      <w:bookmarkStart w:id="43" w:name="_Toc391035967"/>
      <w:bookmarkStart w:id="44" w:name="_Toc380501855"/>
      <w:bookmarkEnd w:id="20"/>
      <w:bookmarkEnd w:id="21"/>
      <w:bookmarkEnd w:id="22"/>
      <w:bookmarkEnd w:id="23"/>
      <w:bookmarkEnd w:id="24"/>
      <w:bookmarkEnd w:id="25"/>
      <w:bookmarkEnd w:id="26"/>
      <w:r>
        <w:rPr>
          <w:rFonts w:ascii="Titillium" w:hAnsi="Titillium" w:cs="Calibri"/>
          <w:b/>
          <w:smallCaps/>
          <w:sz w:val="18"/>
          <w:szCs w:val="18"/>
        </w:rPr>
        <w:t>ipotesi alternative</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2613DF7F" w14:textId="77777777" w:rsidR="006842EE" w:rsidRDefault="008F2625">
      <w:pPr>
        <w:widowControl w:val="0"/>
      </w:pPr>
      <w:r>
        <w:rPr>
          <w:rFonts w:ascii="Titillium" w:hAnsi="Titillium" w:cs="Calibri"/>
          <w:sz w:val="18"/>
          <w:szCs w:val="18"/>
          <w:lang w:eastAsia="it-IT"/>
        </w:rPr>
        <w:t xml:space="preserve">Le clausole alternative sono segnalate dalle espressioni: </w:t>
      </w:r>
      <w:r>
        <w:rPr>
          <w:rFonts w:ascii="Titillium" w:hAnsi="Titillium" w:cs="Calibri"/>
          <w:b/>
          <w:i/>
          <w:sz w:val="18"/>
          <w:szCs w:val="18"/>
        </w:rPr>
        <w:t>[</w:t>
      </w:r>
      <w:r>
        <w:rPr>
          <w:rFonts w:ascii="Titillium" w:hAnsi="Titillium" w:cs="Calibri"/>
          <w:b/>
          <w:i/>
          <w:sz w:val="18"/>
          <w:szCs w:val="18"/>
          <w:lang w:eastAsia="it-IT"/>
        </w:rPr>
        <w:t>o in alternativa]</w:t>
      </w:r>
      <w:r>
        <w:rPr>
          <w:rFonts w:ascii="Titillium" w:hAnsi="Titillium" w:cs="Calibri"/>
          <w:sz w:val="18"/>
          <w:szCs w:val="18"/>
        </w:rPr>
        <w:t xml:space="preserve"> o </w:t>
      </w:r>
      <w:r>
        <w:rPr>
          <w:rFonts w:ascii="Titillium" w:hAnsi="Titillium" w:cs="Calibri"/>
          <w:b/>
          <w:i/>
          <w:sz w:val="18"/>
          <w:szCs w:val="18"/>
        </w:rPr>
        <w:t>[oppure]</w:t>
      </w:r>
      <w:r>
        <w:rPr>
          <w:rFonts w:ascii="Titillium" w:hAnsi="Titillium" w:cs="Calibri"/>
          <w:i/>
          <w:sz w:val="18"/>
          <w:szCs w:val="18"/>
        </w:rPr>
        <w:t xml:space="preserve">. </w:t>
      </w:r>
      <w:r>
        <w:rPr>
          <w:rFonts w:ascii="Titillium" w:hAnsi="Titillium" w:cs="Calibri"/>
          <w:sz w:val="18"/>
          <w:szCs w:val="18"/>
        </w:rPr>
        <w:t xml:space="preserve">La stazione appaltante </w:t>
      </w:r>
      <w:r>
        <w:rPr>
          <w:rFonts w:ascii="Titillium" w:hAnsi="Titillium" w:cs="Calibri"/>
          <w:sz w:val="18"/>
          <w:szCs w:val="18"/>
          <w:lang w:eastAsia="it-IT"/>
        </w:rPr>
        <w:t>sceglie la clausola che ritiene più opportuna.</w:t>
      </w:r>
    </w:p>
    <w:p w14:paraId="6371CFD8" w14:textId="77777777" w:rsidR="006842EE" w:rsidRDefault="008F2625">
      <w:pPr>
        <w:widowControl w:val="0"/>
        <w:rPr>
          <w:rFonts w:ascii="Titillium" w:hAnsi="Titillium" w:cs="Calibri"/>
          <w:sz w:val="18"/>
          <w:szCs w:val="18"/>
          <w:lang w:eastAsia="it-IT"/>
        </w:rPr>
      </w:pPr>
      <w:r>
        <w:rPr>
          <w:rFonts w:ascii="Titillium" w:hAnsi="Titillium" w:cs="Calibri"/>
          <w:sz w:val="18"/>
          <w:szCs w:val="18"/>
          <w:lang w:eastAsia="it-IT"/>
        </w:rPr>
        <w:t xml:space="preserve">Ad esempio: </w:t>
      </w:r>
    </w:p>
    <w:p w14:paraId="203F80F7" w14:textId="77777777" w:rsidR="006842EE" w:rsidRDefault="008F2625">
      <w:pPr>
        <w:spacing w:before="60" w:after="60"/>
        <w:rPr>
          <w:rFonts w:ascii="Titillium" w:hAnsi="Titillium" w:cs="Calibri"/>
          <w:i/>
          <w:sz w:val="18"/>
          <w:szCs w:val="18"/>
        </w:rPr>
      </w:pPr>
      <w:r>
        <w:rPr>
          <w:rFonts w:ascii="Titillium" w:hAnsi="Titillium" w:cs="Calibri"/>
          <w:sz w:val="18"/>
          <w:szCs w:val="18"/>
          <w:lang w:eastAsia="it-IT"/>
        </w:rPr>
        <w:t>«</w:t>
      </w:r>
      <w:r>
        <w:rPr>
          <w:rFonts w:ascii="Titillium" w:hAnsi="Titillium" w:cs="Calibri"/>
          <w:sz w:val="18"/>
          <w:szCs w:val="18"/>
        </w:rPr>
        <w:t xml:space="preserve">Le richieste di chiarimenti e le relative risposte sono formulate esclusivamente in lingua italiana </w:t>
      </w:r>
      <w:r>
        <w:rPr>
          <w:rFonts w:ascii="Titillium" w:hAnsi="Titillium" w:cs="Calibri"/>
          <w:b/>
          <w:i/>
          <w:iCs/>
          <w:sz w:val="18"/>
          <w:szCs w:val="18"/>
        </w:rPr>
        <w:t xml:space="preserve">[in alternativa </w:t>
      </w:r>
      <w:r>
        <w:rPr>
          <w:rFonts w:ascii="Titillium" w:hAnsi="Titillium" w:cs="Calibri"/>
          <w:i/>
          <w:iCs/>
          <w:sz w:val="18"/>
          <w:szCs w:val="18"/>
        </w:rPr>
        <w:t>in caso di bilinguismo]</w:t>
      </w:r>
      <w:r>
        <w:rPr>
          <w:rFonts w:ascii="Titillium" w:hAnsi="Titillium" w:cs="Calibri"/>
          <w:b/>
          <w:sz w:val="18"/>
          <w:szCs w:val="18"/>
        </w:rPr>
        <w:t xml:space="preserve"> </w:t>
      </w:r>
      <w:r>
        <w:rPr>
          <w:rFonts w:ascii="Titillium" w:hAnsi="Titillium" w:cs="Calibri"/>
          <w:sz w:val="18"/>
          <w:szCs w:val="18"/>
        </w:rPr>
        <w:t xml:space="preserve">Le richieste di chiarimenti e le relative risposte sono formulate in lingua </w:t>
      </w:r>
      <w:r>
        <w:rPr>
          <w:rFonts w:ascii="Titillium" w:hAnsi="Titillium" w:cs="Calibri"/>
          <w:sz w:val="18"/>
          <w:szCs w:val="18"/>
          <w:lang w:eastAsia="it-IT"/>
        </w:rPr>
        <w:t>italiana [</w:t>
      </w:r>
      <w:r>
        <w:rPr>
          <w:rFonts w:ascii="Titillium" w:hAnsi="Titillium" w:cs="Calibri"/>
          <w:i/>
          <w:sz w:val="18"/>
          <w:szCs w:val="18"/>
          <w:lang w:eastAsia="it-IT"/>
        </w:rPr>
        <w:t>e, o specificare</w:t>
      </w:r>
      <w:r>
        <w:rPr>
          <w:rFonts w:ascii="Titillium" w:hAnsi="Titillium" w:cs="Calibri"/>
          <w:sz w:val="18"/>
          <w:szCs w:val="18"/>
          <w:lang w:eastAsia="it-IT"/>
        </w:rPr>
        <w:t xml:space="preserve">] </w:t>
      </w:r>
      <w:r>
        <w:rPr>
          <w:rFonts w:ascii="Titillium" w:hAnsi="Titillium" w:cs="Calibri"/>
          <w:sz w:val="18"/>
          <w:szCs w:val="18"/>
        </w:rPr>
        <w:t xml:space="preserve">… </w:t>
      </w:r>
      <w:r>
        <w:rPr>
          <w:rFonts w:ascii="Titillium" w:hAnsi="Titillium" w:cs="Calibri"/>
          <w:i/>
          <w:sz w:val="18"/>
          <w:szCs w:val="18"/>
        </w:rPr>
        <w:t>[indicare l’altra lingua]</w:t>
      </w:r>
      <w:r>
        <w:rPr>
          <w:rFonts w:ascii="Titillium" w:hAnsi="Titillium" w:cs="Calibri"/>
          <w:sz w:val="18"/>
          <w:szCs w:val="18"/>
          <w:lang w:eastAsia="it-IT"/>
        </w:rPr>
        <w:t>»</w:t>
      </w:r>
    </w:p>
    <w:p w14:paraId="3F4341FF" w14:textId="77777777" w:rsidR="006842EE" w:rsidRDefault="006842EE">
      <w:pPr>
        <w:widowControl w:val="0"/>
        <w:rPr>
          <w:rFonts w:ascii="Titillium" w:hAnsi="Titillium" w:cs="Calibri"/>
          <w:sz w:val="18"/>
          <w:szCs w:val="18"/>
          <w:lang w:eastAsia="it-IT"/>
        </w:rPr>
      </w:pPr>
    </w:p>
    <w:p w14:paraId="1247AB4E" w14:textId="77777777" w:rsidR="006842EE" w:rsidRDefault="008F2625">
      <w:pPr>
        <w:pStyle w:val="Paragrafoelenco"/>
        <w:widowControl w:val="0"/>
        <w:numPr>
          <w:ilvl w:val="0"/>
          <w:numId w:val="5"/>
        </w:numPr>
        <w:spacing w:before="60" w:after="60"/>
        <w:ind w:left="284" w:hanging="284"/>
        <w:rPr>
          <w:rFonts w:ascii="Titillium" w:hAnsi="Titillium" w:cs="Calibri"/>
          <w:b/>
          <w:smallCaps/>
          <w:sz w:val="18"/>
          <w:szCs w:val="18"/>
        </w:rPr>
      </w:pPr>
      <w:bookmarkStart w:id="45" w:name="_Toc481159797"/>
      <w:bookmarkStart w:id="46" w:name="_Toc481159740"/>
      <w:bookmarkStart w:id="47" w:name="_Toc481159694"/>
      <w:bookmarkStart w:id="48" w:name="_Toc481159355"/>
      <w:bookmarkStart w:id="49" w:name="_Toc481158959"/>
      <w:bookmarkStart w:id="50" w:name="_Toc481159994"/>
      <w:bookmarkStart w:id="51" w:name="_Toc481159849"/>
      <w:bookmarkStart w:id="52" w:name="_Toc416423349"/>
      <w:bookmarkStart w:id="53" w:name="_Toc406754163"/>
      <w:bookmarkStart w:id="54" w:name="_Toc406058363"/>
      <w:bookmarkStart w:id="55" w:name="_Toc403471257"/>
      <w:bookmarkStart w:id="56" w:name="_Toc397422850"/>
      <w:bookmarkStart w:id="57" w:name="_Toc397346809"/>
      <w:bookmarkStart w:id="58" w:name="_Toc393706894"/>
      <w:bookmarkStart w:id="59" w:name="_Toc393700821"/>
      <w:bookmarkStart w:id="60" w:name="_Toc393283162"/>
      <w:bookmarkStart w:id="61" w:name="_Toc393272646"/>
      <w:bookmarkStart w:id="62" w:name="_Toc393272588"/>
      <w:bookmarkStart w:id="63" w:name="_Toc393187832"/>
      <w:bookmarkStart w:id="64" w:name="_Toc393112113"/>
      <w:bookmarkStart w:id="65" w:name="_Toc393110549"/>
      <w:bookmarkStart w:id="66" w:name="_Toc392577482"/>
      <w:bookmarkStart w:id="67" w:name="_Toc391036042"/>
      <w:bookmarkStart w:id="68" w:name="_Toc391035969"/>
      <w:bookmarkStart w:id="69" w:name="_Toc380501857"/>
      <w:bookmarkEnd w:id="45"/>
      <w:bookmarkEnd w:id="46"/>
      <w:bookmarkEnd w:id="47"/>
      <w:bookmarkEnd w:id="48"/>
      <w:bookmarkEnd w:id="49"/>
      <w:bookmarkEnd w:id="50"/>
      <w:bookmarkEnd w:id="51"/>
      <w:r>
        <w:rPr>
          <w:rFonts w:ascii="Titillium" w:hAnsi="Titillium" w:cs="Calibri"/>
          <w:b/>
          <w:smallCaps/>
          <w:sz w:val="18"/>
          <w:szCs w:val="18"/>
        </w:rPr>
        <w:t>parti eventuali e facoltative</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628396BE" w14:textId="77777777" w:rsidR="006842EE" w:rsidRDefault="008F2625">
      <w:pPr>
        <w:widowControl w:val="0"/>
        <w:spacing w:before="60"/>
      </w:pPr>
      <w:r>
        <w:rPr>
          <w:rFonts w:ascii="Titillium" w:hAnsi="Titillium" w:cs="Calibri"/>
          <w:sz w:val="18"/>
          <w:szCs w:val="18"/>
          <w:lang w:eastAsia="it-IT"/>
        </w:rPr>
        <w:t xml:space="preserve">Le clausole eventuali e facoltative sono precedute da espressioni quali </w:t>
      </w:r>
      <w:r>
        <w:rPr>
          <w:rFonts w:ascii="Titillium" w:hAnsi="Titillium" w:cs="Calibri"/>
          <w:b/>
          <w:i/>
          <w:sz w:val="18"/>
          <w:szCs w:val="18"/>
          <w:lang w:eastAsia="it-IT"/>
        </w:rPr>
        <w:t>[</w:t>
      </w:r>
      <w:r>
        <w:rPr>
          <w:rFonts w:ascii="Titillium" w:hAnsi="Titillium" w:cs="Calibri"/>
          <w:b/>
          <w:i/>
          <w:sz w:val="18"/>
          <w:szCs w:val="18"/>
        </w:rPr>
        <w:t>Facoltativo</w:t>
      </w:r>
      <w:r>
        <w:rPr>
          <w:rFonts w:ascii="Titillium" w:hAnsi="Titillium" w:cs="Calibri"/>
          <w:b/>
          <w:i/>
          <w:sz w:val="18"/>
          <w:szCs w:val="18"/>
          <w:lang w:eastAsia="it-IT"/>
        </w:rPr>
        <w:t>]</w:t>
      </w:r>
      <w:r>
        <w:rPr>
          <w:rFonts w:ascii="Titillium" w:hAnsi="Titillium" w:cs="Calibri"/>
          <w:i/>
          <w:sz w:val="18"/>
          <w:szCs w:val="18"/>
          <w:lang w:eastAsia="it-IT"/>
        </w:rPr>
        <w:t>,</w:t>
      </w:r>
      <w:r>
        <w:rPr>
          <w:rFonts w:ascii="Titillium" w:hAnsi="Titillium" w:cs="Calibri"/>
          <w:b/>
          <w:i/>
          <w:sz w:val="18"/>
          <w:szCs w:val="18"/>
          <w:lang w:eastAsia="it-IT"/>
        </w:rPr>
        <w:t xml:space="preserve"> [Se richiesto…],</w:t>
      </w:r>
      <w:r>
        <w:rPr>
          <w:rFonts w:ascii="Titillium" w:hAnsi="Titillium" w:cs="Calibri"/>
          <w:sz w:val="18"/>
          <w:szCs w:val="18"/>
        </w:rPr>
        <w:t xml:space="preserve"> </w:t>
      </w:r>
      <w:r>
        <w:rPr>
          <w:rFonts w:ascii="Titillium" w:hAnsi="Titillium" w:cs="Calibri"/>
          <w:b/>
          <w:i/>
          <w:sz w:val="18"/>
          <w:szCs w:val="18"/>
        </w:rPr>
        <w:t>[</w:t>
      </w:r>
      <w:r>
        <w:rPr>
          <w:rFonts w:ascii="Titillium" w:hAnsi="Titillium" w:cs="Calibri"/>
          <w:b/>
          <w:i/>
          <w:sz w:val="18"/>
          <w:szCs w:val="18"/>
          <w:lang w:eastAsia="it-IT"/>
        </w:rPr>
        <w:t>In caso di …]</w:t>
      </w:r>
      <w:r>
        <w:rPr>
          <w:rFonts w:ascii="Titillium" w:hAnsi="Titillium" w:cs="Calibri"/>
          <w:i/>
          <w:sz w:val="18"/>
          <w:szCs w:val="18"/>
          <w:lang w:eastAsia="it-IT"/>
        </w:rPr>
        <w:t xml:space="preserve"> </w:t>
      </w:r>
      <w:r>
        <w:rPr>
          <w:rFonts w:ascii="Titillium" w:hAnsi="Titillium" w:cs="Calibri"/>
          <w:sz w:val="18"/>
          <w:szCs w:val="18"/>
          <w:lang w:eastAsia="it-IT"/>
        </w:rPr>
        <w:t>etc. La stazione appaltante sceglie se inserire o meno la clausola.</w:t>
      </w:r>
    </w:p>
    <w:p w14:paraId="6D3AD4D5" w14:textId="77777777" w:rsidR="006842EE" w:rsidRDefault="008F2625">
      <w:pPr>
        <w:widowControl w:val="0"/>
        <w:rPr>
          <w:rFonts w:ascii="Titillium" w:hAnsi="Titillium" w:cs="Calibri"/>
          <w:sz w:val="18"/>
          <w:szCs w:val="18"/>
          <w:lang w:eastAsia="it-IT"/>
        </w:rPr>
      </w:pPr>
      <w:r>
        <w:rPr>
          <w:rFonts w:ascii="Titillium" w:hAnsi="Titillium" w:cs="Calibri"/>
          <w:sz w:val="18"/>
          <w:szCs w:val="18"/>
          <w:lang w:eastAsia="it-IT"/>
        </w:rPr>
        <w:t xml:space="preserve">Ad esempio:  </w:t>
      </w:r>
    </w:p>
    <w:p w14:paraId="0503D91B" w14:textId="77777777" w:rsidR="006842EE" w:rsidRDefault="008F2625">
      <w:pPr>
        <w:spacing w:before="120" w:after="60"/>
        <w:rPr>
          <w:rFonts w:ascii="Titillium" w:hAnsi="Titillium" w:cs="Calibri"/>
          <w:sz w:val="18"/>
          <w:szCs w:val="18"/>
        </w:rPr>
      </w:pPr>
      <w:r>
        <w:rPr>
          <w:rFonts w:ascii="Titillium" w:hAnsi="Titillium" w:cs="Arial"/>
          <w:b/>
          <w:i/>
          <w:sz w:val="18"/>
          <w:szCs w:val="18"/>
        </w:rPr>
        <w:t>[</w:t>
      </w:r>
      <w:r>
        <w:rPr>
          <w:rFonts w:ascii="Titillium" w:hAnsi="Titillium" w:cs="Arial"/>
          <w:b/>
          <w:bCs/>
          <w:i/>
          <w:sz w:val="18"/>
          <w:szCs w:val="18"/>
        </w:rPr>
        <w:t>In caso di protocollo di legalità/patto di integrità</w:t>
      </w:r>
      <w:r>
        <w:rPr>
          <w:rFonts w:ascii="Titillium" w:hAnsi="Titillium" w:cs="Arial"/>
          <w:b/>
          <w:i/>
          <w:sz w:val="18"/>
          <w:szCs w:val="18"/>
        </w:rPr>
        <w:t>]</w:t>
      </w:r>
      <w:r>
        <w:rPr>
          <w:rFonts w:ascii="Titillium" w:hAnsi="Titillium" w:cs="Arial"/>
          <w:sz w:val="18"/>
          <w:szCs w:val="18"/>
        </w:rPr>
        <w:t xml:space="preserve"> La mancata accettazione delle clausole contenute nel protocollo di legalità/patto di integrità e il mancato rispetto dello stesso costituiscono causa di </w:t>
      </w:r>
      <w:r>
        <w:rPr>
          <w:rFonts w:ascii="Titillium" w:hAnsi="Titillium" w:cs="Arial"/>
          <w:bCs/>
          <w:sz w:val="18"/>
          <w:szCs w:val="18"/>
        </w:rPr>
        <w:t xml:space="preserve">esclusione </w:t>
      </w:r>
      <w:r>
        <w:rPr>
          <w:rFonts w:ascii="Titillium" w:hAnsi="Titillium" w:cs="Arial"/>
          <w:sz w:val="18"/>
          <w:szCs w:val="18"/>
        </w:rPr>
        <w:t>dalla gara, ai sensi dell’articolo 83 bis del decreto legislativo n. 159/2011.</w:t>
      </w:r>
      <w:r>
        <w:rPr>
          <w:rFonts w:ascii="Titillium" w:hAnsi="Titillium" w:cs="Calibri"/>
          <w:sz w:val="18"/>
          <w:szCs w:val="18"/>
        </w:rPr>
        <w:t xml:space="preserve"> </w:t>
      </w:r>
    </w:p>
    <w:p w14:paraId="7FAC9FAB" w14:textId="77777777" w:rsidR="006842EE" w:rsidRDefault="006842EE">
      <w:pPr>
        <w:widowControl w:val="0"/>
        <w:spacing w:before="60" w:after="60"/>
        <w:ind w:right="425"/>
        <w:rPr>
          <w:rFonts w:ascii="Titillium" w:hAnsi="Titillium" w:cs="Calibri"/>
          <w:b/>
          <w:i/>
          <w:szCs w:val="24"/>
        </w:rPr>
      </w:pPr>
    </w:p>
    <w:p w14:paraId="1C767289" w14:textId="77777777" w:rsidR="006842EE" w:rsidRDefault="008F2625">
      <w:pPr>
        <w:pStyle w:val="Paragrafoelenco"/>
        <w:widowControl w:val="0"/>
        <w:numPr>
          <w:ilvl w:val="0"/>
          <w:numId w:val="5"/>
        </w:numPr>
        <w:spacing w:before="60" w:after="60"/>
        <w:ind w:left="284" w:hanging="284"/>
        <w:rPr>
          <w:rFonts w:ascii="Titillium" w:hAnsi="Titillium" w:cs="Calibri"/>
          <w:b/>
          <w:smallCaps/>
          <w:sz w:val="18"/>
          <w:szCs w:val="18"/>
        </w:rPr>
      </w:pPr>
      <w:bookmarkStart w:id="70" w:name="_Toc406058364"/>
      <w:bookmarkStart w:id="71" w:name="_Toc403471258"/>
      <w:bookmarkStart w:id="72" w:name="_Toc397422851"/>
      <w:bookmarkStart w:id="73" w:name="_Toc397346810"/>
      <w:bookmarkStart w:id="74" w:name="_Toc393706895"/>
      <w:bookmarkStart w:id="75" w:name="_Toc393700822"/>
      <w:bookmarkStart w:id="76" w:name="_Toc393283163"/>
      <w:bookmarkStart w:id="77" w:name="_Toc393272647"/>
      <w:bookmarkStart w:id="78" w:name="_Toc393272589"/>
      <w:bookmarkStart w:id="79" w:name="_Toc393187833"/>
      <w:bookmarkStart w:id="80" w:name="_Toc393112114"/>
      <w:bookmarkStart w:id="81" w:name="_Toc393110550"/>
      <w:bookmarkStart w:id="82" w:name="_Toc392577483"/>
      <w:bookmarkStart w:id="83" w:name="_Toc391036043"/>
      <w:bookmarkStart w:id="84" w:name="_Toc391035970"/>
      <w:bookmarkStart w:id="85" w:name="_Toc380501858"/>
      <w:bookmarkStart w:id="86" w:name="_Toc416423350"/>
      <w:bookmarkStart w:id="87" w:name="_Toc406754164"/>
      <w:r>
        <w:rPr>
          <w:rFonts w:ascii="Titillium" w:hAnsi="Titillium" w:cs="Calibri"/>
          <w:b/>
          <w:smallCaps/>
          <w:sz w:val="18"/>
          <w:szCs w:val="18"/>
        </w:rPr>
        <w:t>parti vincolanti</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0714BEBA" w14:textId="77777777" w:rsidR="006842EE" w:rsidRDefault="008F2625">
      <w:pPr>
        <w:widowControl w:val="0"/>
        <w:spacing w:before="60" w:after="60"/>
        <w:rPr>
          <w:rFonts w:ascii="Titillium" w:hAnsi="Titillium" w:cs="Calibri"/>
          <w:sz w:val="18"/>
          <w:szCs w:val="18"/>
        </w:rPr>
      </w:pPr>
      <w:bookmarkStart w:id="88" w:name="_Toc406754165"/>
      <w:r>
        <w:rPr>
          <w:rFonts w:ascii="Titillium" w:hAnsi="Titillium" w:cs="Calibri"/>
          <w:sz w:val="18"/>
          <w:szCs w:val="18"/>
        </w:rPr>
        <w:t>Le restanti parti sono vincolanti.</w:t>
      </w:r>
      <w:bookmarkEnd w:id="88"/>
    </w:p>
    <w:p w14:paraId="41E58797" w14:textId="77777777" w:rsidR="006842EE" w:rsidRDefault="006842EE">
      <w:pPr>
        <w:widowControl w:val="0"/>
        <w:spacing w:before="60" w:after="60"/>
        <w:rPr>
          <w:rFonts w:ascii="Titillium" w:hAnsi="Titillium" w:cs="Calibri"/>
          <w:sz w:val="18"/>
          <w:szCs w:val="18"/>
        </w:rPr>
      </w:pPr>
    </w:p>
    <w:p w14:paraId="1D8F712B" w14:textId="77777777" w:rsidR="006842EE" w:rsidRDefault="008F2625">
      <w:pPr>
        <w:pStyle w:val="Paragrafoelenco"/>
        <w:widowControl w:val="0"/>
        <w:numPr>
          <w:ilvl w:val="0"/>
          <w:numId w:val="5"/>
        </w:numPr>
        <w:spacing w:before="60" w:after="60"/>
        <w:ind w:left="284" w:hanging="284"/>
        <w:rPr>
          <w:rFonts w:ascii="Titillium" w:hAnsi="Titillium" w:cs="Calibri"/>
          <w:b/>
          <w:smallCaps/>
          <w:sz w:val="18"/>
          <w:szCs w:val="18"/>
        </w:rPr>
      </w:pPr>
      <w:bookmarkStart w:id="89" w:name="_Toc481159801"/>
      <w:bookmarkStart w:id="90" w:name="_Toc481159744"/>
      <w:bookmarkStart w:id="91" w:name="_Toc481159698"/>
      <w:bookmarkStart w:id="92" w:name="_Toc481159359"/>
      <w:bookmarkStart w:id="93" w:name="_Toc481158964"/>
      <w:bookmarkStart w:id="94" w:name="_Toc481159998"/>
      <w:bookmarkStart w:id="95" w:name="_Toc481159853"/>
      <w:bookmarkEnd w:id="89"/>
      <w:bookmarkEnd w:id="90"/>
      <w:bookmarkEnd w:id="91"/>
      <w:bookmarkEnd w:id="92"/>
      <w:bookmarkEnd w:id="93"/>
      <w:bookmarkEnd w:id="94"/>
      <w:bookmarkEnd w:id="95"/>
      <w:r>
        <w:rPr>
          <w:rFonts w:ascii="Titillium" w:hAnsi="Titillium" w:cs="Calibri"/>
          <w:b/>
          <w:smallCaps/>
          <w:sz w:val="18"/>
          <w:szCs w:val="18"/>
        </w:rPr>
        <w:t>indicazioni operative</w:t>
      </w:r>
    </w:p>
    <w:p w14:paraId="22F532C6" w14:textId="0CA41ED6" w:rsidR="006842EE" w:rsidRDefault="008F2625">
      <w:pPr>
        <w:widowControl w:val="0"/>
        <w:spacing w:before="60" w:after="60"/>
      </w:pPr>
      <w:r>
        <w:rPr>
          <w:rFonts w:ascii="Titillium" w:hAnsi="Titillium" w:cs="Calibri"/>
          <w:sz w:val="18"/>
          <w:szCs w:val="18"/>
        </w:rPr>
        <w:t xml:space="preserve">In appositi riquadri contrassegnati dall’annotazione </w:t>
      </w:r>
      <w:r>
        <w:rPr>
          <w:rFonts w:ascii="Titillium" w:hAnsi="Titillium" w:cs="Calibri"/>
          <w:i/>
          <w:sz w:val="18"/>
          <w:szCs w:val="18"/>
          <w:bdr w:val="single" w:sz="4" w:space="0" w:color="000000"/>
        </w:rPr>
        <w:t xml:space="preserve">N.B.: ... </w:t>
      </w:r>
      <w:r>
        <w:rPr>
          <w:rFonts w:ascii="Titillium" w:hAnsi="Titillium" w:cs="Calibri"/>
          <w:sz w:val="18"/>
          <w:szCs w:val="18"/>
        </w:rPr>
        <w:t xml:space="preserve"> sono fornite indicazioni operative utili alla stazione appaltante per la stesura del disciplinare. Tali </w:t>
      </w:r>
      <w:r w:rsidRPr="00113E70">
        <w:rPr>
          <w:rFonts w:ascii="Titillium" w:hAnsi="Titillium" w:cs="Calibri"/>
          <w:sz w:val="18"/>
          <w:szCs w:val="18"/>
        </w:rPr>
        <w:t>riquadri</w:t>
      </w:r>
      <w:r w:rsidR="0058798D" w:rsidRPr="00113E70">
        <w:rPr>
          <w:rFonts w:ascii="Titillium" w:hAnsi="Titillium" w:cs="Calibri"/>
          <w:sz w:val="18"/>
          <w:szCs w:val="18"/>
        </w:rPr>
        <w:t xml:space="preserve">, a differenza di quelli non contrassegnati dall’annotazione </w:t>
      </w:r>
      <w:r w:rsidR="0058798D" w:rsidRPr="00113E70">
        <w:rPr>
          <w:rFonts w:ascii="Titillium" w:hAnsi="Titillium" w:cs="Calibri"/>
          <w:i/>
          <w:iCs/>
          <w:sz w:val="18"/>
          <w:szCs w:val="18"/>
        </w:rPr>
        <w:t>N.B.,</w:t>
      </w:r>
      <w:r w:rsidR="0058798D" w:rsidRPr="00113E70">
        <w:rPr>
          <w:rFonts w:ascii="Titillium" w:hAnsi="Titillium" w:cs="Calibri"/>
          <w:sz w:val="18"/>
          <w:szCs w:val="18"/>
        </w:rPr>
        <w:t xml:space="preserve"> </w:t>
      </w:r>
      <w:r w:rsidRPr="00113E70">
        <w:rPr>
          <w:rFonts w:ascii="Titillium" w:hAnsi="Titillium" w:cs="Calibri"/>
          <w:sz w:val="18"/>
          <w:szCs w:val="18"/>
        </w:rPr>
        <w:t>andranno</w:t>
      </w:r>
      <w:r>
        <w:rPr>
          <w:rFonts w:ascii="Titillium" w:hAnsi="Titillium" w:cs="Calibri"/>
          <w:sz w:val="18"/>
          <w:szCs w:val="18"/>
        </w:rPr>
        <w:t xml:space="preserve"> omessi nel disciplinare compilato dalla stazione appaltante.</w:t>
      </w:r>
    </w:p>
    <w:p w14:paraId="33A99997" w14:textId="77777777" w:rsidR="006842EE" w:rsidRDefault="008F2625">
      <w:pPr>
        <w:widowControl w:val="0"/>
        <w:spacing w:before="60" w:after="60"/>
        <w:rPr>
          <w:rFonts w:ascii="Titillium" w:hAnsi="Titillium" w:cs="Calibri"/>
          <w:sz w:val="18"/>
          <w:szCs w:val="18"/>
        </w:rPr>
      </w:pPr>
      <w:r>
        <w:rPr>
          <w:rFonts w:ascii="Titillium" w:hAnsi="Titillium" w:cs="Calibri"/>
          <w:sz w:val="18"/>
          <w:szCs w:val="18"/>
        </w:rPr>
        <w:t>Ad esempio:</w:t>
      </w:r>
    </w:p>
    <w:p w14:paraId="28648FEA" w14:textId="7F3F1442" w:rsidR="006842EE" w:rsidRDefault="008F2625">
      <w:pPr>
        <w:pBdr>
          <w:top w:val="single" w:sz="4" w:space="1" w:color="000000"/>
          <w:left w:val="single" w:sz="4" w:space="4" w:color="000000"/>
          <w:bottom w:val="single" w:sz="4" w:space="1" w:color="000000"/>
          <w:right w:val="single" w:sz="4" w:space="4" w:color="000000"/>
        </w:pBdr>
        <w:spacing w:before="60" w:after="60"/>
        <w:rPr>
          <w:rFonts w:ascii="Titillium" w:hAnsi="Titillium" w:cs="Calibri"/>
          <w:i/>
          <w:iCs/>
          <w:sz w:val="18"/>
          <w:szCs w:val="18"/>
        </w:rPr>
      </w:pPr>
      <w:r>
        <w:rPr>
          <w:rFonts w:ascii="Titillium" w:hAnsi="Titillium" w:cs="Calibri"/>
          <w:i/>
          <w:iCs/>
          <w:sz w:val="18"/>
          <w:szCs w:val="18"/>
        </w:rPr>
        <w:t xml:space="preserve">N.B.: </w:t>
      </w:r>
      <w:r>
        <w:rPr>
          <w:rFonts w:ascii="Titillium" w:hAnsi="Titillium" w:cs="Arial"/>
          <w:i/>
          <w:iCs/>
          <w:sz w:val="18"/>
          <w:szCs w:val="18"/>
        </w:rPr>
        <w:t>I requisiti speciali per partecipare alla gara devono essere elencati esclusivamente nel disciplinare e non contenuti in altri documenti di gara.</w:t>
      </w:r>
      <w:r w:rsidR="00A3362C">
        <w:rPr>
          <w:rFonts w:ascii="Titillium" w:hAnsi="Titillium" w:cs="Arial"/>
          <w:i/>
          <w:iCs/>
          <w:sz w:val="18"/>
          <w:szCs w:val="18"/>
        </w:rPr>
        <w:t xml:space="preserve"> </w:t>
      </w:r>
      <w:r>
        <w:rPr>
          <w:rFonts w:ascii="Titillium" w:hAnsi="Titillium" w:cs="Arial"/>
          <w:i/>
          <w:iCs/>
          <w:sz w:val="18"/>
          <w:szCs w:val="18"/>
        </w:rPr>
        <w:t>In caso di suddivisione della gara in lotti, le stazioni appaltanti specificano per ciascun requisito speciale per quale lotto è richiesto.</w:t>
      </w:r>
    </w:p>
    <w:p w14:paraId="34F1D66E" w14:textId="77777777" w:rsidR="006842EE" w:rsidRDefault="006842EE">
      <w:pPr>
        <w:widowControl w:val="0"/>
        <w:spacing w:before="60" w:after="60"/>
        <w:rPr>
          <w:rFonts w:ascii="Titillium" w:hAnsi="Titillium" w:cs="Calibri"/>
          <w:sz w:val="18"/>
          <w:szCs w:val="18"/>
        </w:rPr>
      </w:pPr>
    </w:p>
    <w:p w14:paraId="3CBC0C4F" w14:textId="77777777" w:rsidR="006842EE" w:rsidRDefault="008F2625">
      <w:pPr>
        <w:widowControl w:val="0"/>
        <w:spacing w:before="60" w:after="60"/>
        <w:rPr>
          <w:rFonts w:ascii="Titillium" w:hAnsi="Titillium" w:cs="Calibri"/>
          <w:sz w:val="18"/>
          <w:szCs w:val="18"/>
        </w:rPr>
      </w:pPr>
      <w:r>
        <w:rPr>
          <w:rFonts w:ascii="Titillium" w:hAnsi="Titillium" w:cs="Calibri"/>
          <w:sz w:val="18"/>
          <w:szCs w:val="18"/>
        </w:rPr>
        <w:t xml:space="preserve">Talvolta sono fornite, tra parentesi quadre, ulteriori indicazioni operative che andranno omesse nel disciplinare compilato dalla stazione appaltante. </w:t>
      </w:r>
    </w:p>
    <w:p w14:paraId="1530FE14" w14:textId="77777777" w:rsidR="006842EE" w:rsidRDefault="008F2625">
      <w:pPr>
        <w:widowControl w:val="0"/>
        <w:spacing w:before="60" w:after="60"/>
        <w:rPr>
          <w:rFonts w:ascii="Titillium" w:hAnsi="Titillium" w:cs="Calibri"/>
          <w:sz w:val="18"/>
          <w:szCs w:val="18"/>
        </w:rPr>
      </w:pPr>
      <w:r>
        <w:rPr>
          <w:rFonts w:ascii="Titillium" w:hAnsi="Titillium" w:cs="Calibri"/>
          <w:sz w:val="18"/>
          <w:szCs w:val="18"/>
        </w:rPr>
        <w:t>Ad esempio:</w:t>
      </w:r>
    </w:p>
    <w:p w14:paraId="139014C5" w14:textId="2FC6E574" w:rsidR="006842EE" w:rsidRDefault="008F2625">
      <w:pPr>
        <w:widowControl w:val="0"/>
        <w:spacing w:before="60" w:after="60"/>
      </w:pPr>
      <w:r>
        <w:rPr>
          <w:rFonts w:ascii="Titillium" w:hAnsi="Titillium"/>
          <w:i/>
          <w:sz w:val="18"/>
          <w:szCs w:val="18"/>
        </w:rPr>
        <w:t>«</w:t>
      </w:r>
      <w:r>
        <w:rPr>
          <w:rFonts w:ascii="Titillium" w:hAnsi="Titillium"/>
          <w:iCs/>
          <w:sz w:val="18"/>
          <w:szCs w:val="18"/>
        </w:rPr>
        <w:t>La documentazione di gara è accessibile gratuitamente, sul sito istituzionale della stazione appaltante, nella sezione “Amministrazione trasparente”, al seguente link: ...</w:t>
      </w:r>
      <w:r>
        <w:rPr>
          <w:rFonts w:ascii="Titillium" w:hAnsi="Titillium"/>
          <w:i/>
          <w:sz w:val="18"/>
          <w:szCs w:val="18"/>
        </w:rPr>
        <w:t xml:space="preserve"> [indicare il link dal quale è possibile consultare la documentazione] </w:t>
      </w:r>
      <w:r>
        <w:rPr>
          <w:rFonts w:ascii="Titillium" w:hAnsi="Titillium"/>
          <w:iCs/>
          <w:sz w:val="18"/>
          <w:szCs w:val="18"/>
        </w:rPr>
        <w:t xml:space="preserve">e sulla </w:t>
      </w:r>
      <w:r w:rsidR="00813352" w:rsidRPr="00741D9E">
        <w:rPr>
          <w:rFonts w:ascii="Titillium" w:hAnsi="Titillium"/>
          <w:iCs/>
          <w:color w:val="000000" w:themeColor="text1"/>
          <w:sz w:val="18"/>
          <w:szCs w:val="18"/>
        </w:rPr>
        <w:t xml:space="preserve">PAD </w:t>
      </w:r>
      <w:r>
        <w:rPr>
          <w:rFonts w:ascii="Titillium" w:hAnsi="Titillium"/>
          <w:iCs/>
          <w:sz w:val="18"/>
          <w:szCs w:val="18"/>
        </w:rPr>
        <w:t>…</w:t>
      </w:r>
      <w:r>
        <w:rPr>
          <w:rFonts w:ascii="Titillium" w:hAnsi="Titillium"/>
          <w:i/>
          <w:sz w:val="18"/>
          <w:szCs w:val="18"/>
        </w:rPr>
        <w:t xml:space="preserve"> [indicare l’apposita sezione].</w:t>
      </w:r>
      <w:r>
        <w:rPr>
          <w:rFonts w:ascii="Titillium" w:hAnsi="Titillium"/>
          <w:sz w:val="18"/>
          <w:szCs w:val="18"/>
        </w:rPr>
        <w:t>».</w:t>
      </w:r>
    </w:p>
    <w:p w14:paraId="19797255" w14:textId="77777777" w:rsidR="006842EE" w:rsidRDefault="008F2625">
      <w:pPr>
        <w:spacing w:before="60" w:after="60"/>
        <w:jc w:val="left"/>
        <w:rPr>
          <w:rFonts w:ascii="Titillium" w:hAnsi="Titillium" w:cs="Calibri"/>
          <w:b/>
          <w:szCs w:val="24"/>
        </w:rPr>
      </w:pPr>
      <w:r>
        <w:br w:type="page"/>
      </w:r>
    </w:p>
    <w:p w14:paraId="6323D329" w14:textId="77777777" w:rsidR="006842EE" w:rsidRDefault="008F2625">
      <w:pPr>
        <w:pStyle w:val="Titolo1"/>
        <w:spacing w:before="60" w:after="60"/>
        <w:rPr>
          <w:rFonts w:ascii="Titillium" w:hAnsi="Titillium"/>
          <w:sz w:val="18"/>
          <w:szCs w:val="18"/>
        </w:rPr>
      </w:pPr>
      <w:bookmarkStart w:id="96" w:name="_Toc391036044"/>
      <w:bookmarkStart w:id="97" w:name="_Toc392577486"/>
      <w:bookmarkStart w:id="98" w:name="_Toc393110553"/>
      <w:bookmarkStart w:id="99" w:name="_Toc393112117"/>
      <w:bookmarkStart w:id="100" w:name="_Toc485638580"/>
      <w:bookmarkStart w:id="101" w:name="_Toc380501859"/>
      <w:bookmarkStart w:id="102" w:name="_Toc391035971"/>
      <w:bookmarkStart w:id="103" w:name="_Toc227921609"/>
      <w:r>
        <w:rPr>
          <w:rFonts w:ascii="Titillium" w:hAnsi="Titillium"/>
          <w:sz w:val="18"/>
          <w:szCs w:val="18"/>
        </w:rPr>
        <w:t>DISCIPLINARE DI GARA</w:t>
      </w:r>
      <w:bookmarkEnd w:id="96"/>
      <w:bookmarkEnd w:id="97"/>
      <w:bookmarkEnd w:id="98"/>
      <w:bookmarkEnd w:id="99"/>
      <w:bookmarkEnd w:id="100"/>
      <w:bookmarkEnd w:id="101"/>
      <w:bookmarkEnd w:id="102"/>
      <w:bookmarkEnd w:id="103"/>
    </w:p>
    <w:p w14:paraId="7068B325" w14:textId="5CE3FCB3" w:rsidR="006842EE" w:rsidRDefault="008F2625">
      <w:pPr>
        <w:spacing w:before="60" w:after="60"/>
        <w:jc w:val="center"/>
      </w:pPr>
      <w:r>
        <w:rPr>
          <w:rFonts w:ascii="Titillium" w:hAnsi="Titillium" w:cs="Calibri"/>
          <w:b/>
          <w:sz w:val="18"/>
          <w:szCs w:val="18"/>
          <w:lang w:eastAsia="it-IT"/>
        </w:rPr>
        <w:t>GARA EUROPEA A PROCEDURA APERTA PER L’APPALTO DI …</w:t>
      </w:r>
      <w:r>
        <w:rPr>
          <w:rFonts w:ascii="Titillium" w:hAnsi="Titillium" w:cs="Calibri"/>
          <w:i/>
          <w:sz w:val="18"/>
          <w:szCs w:val="18"/>
          <w:lang w:eastAsia="it-IT"/>
        </w:rPr>
        <w:t xml:space="preserve"> [sintetica descrizione </w:t>
      </w:r>
      <w:r w:rsidRPr="00671023">
        <w:rPr>
          <w:rFonts w:ascii="Titillium" w:hAnsi="Titillium" w:cs="Calibri"/>
          <w:i/>
          <w:sz w:val="18"/>
          <w:szCs w:val="18"/>
          <w:lang w:eastAsia="it-IT"/>
        </w:rPr>
        <w:t>de</w:t>
      </w:r>
      <w:r w:rsidR="00831450" w:rsidRPr="00671023">
        <w:rPr>
          <w:rFonts w:ascii="Titillium" w:hAnsi="Titillium" w:cs="Calibri"/>
          <w:i/>
          <w:sz w:val="18"/>
          <w:szCs w:val="18"/>
          <w:lang w:eastAsia="it-IT"/>
        </w:rPr>
        <w:t>i servizi</w:t>
      </w:r>
      <w:r w:rsidR="00831450">
        <w:rPr>
          <w:rFonts w:ascii="Titillium" w:hAnsi="Titillium" w:cs="Calibri"/>
          <w:i/>
          <w:sz w:val="18"/>
          <w:szCs w:val="18"/>
          <w:lang w:eastAsia="it-IT"/>
        </w:rPr>
        <w:t xml:space="preserve"> </w:t>
      </w:r>
      <w:r>
        <w:rPr>
          <w:rFonts w:ascii="Titillium" w:hAnsi="Titillium" w:cs="Calibri"/>
          <w:i/>
          <w:sz w:val="18"/>
          <w:szCs w:val="18"/>
          <w:lang w:eastAsia="it-IT"/>
        </w:rPr>
        <w:t>oggetto dell’appalto]</w:t>
      </w:r>
    </w:p>
    <w:p w14:paraId="7BAD77D1" w14:textId="77777777" w:rsidR="006842EE" w:rsidRDefault="008F2625">
      <w:pPr>
        <w:pStyle w:val="Titolo2"/>
        <w:rPr>
          <w:rFonts w:ascii="Titillium" w:hAnsi="Titillium"/>
          <w:sz w:val="18"/>
          <w:szCs w:val="18"/>
        </w:rPr>
      </w:pPr>
      <w:bookmarkStart w:id="104" w:name="_Toc482101906"/>
      <w:bookmarkStart w:id="105" w:name="_Toc482101812"/>
      <w:bookmarkStart w:id="106" w:name="_Toc482101719"/>
      <w:bookmarkStart w:id="107" w:name="_Toc482101544"/>
      <w:bookmarkStart w:id="108" w:name="_Toc482101429"/>
      <w:bookmarkStart w:id="109" w:name="_Toc374026426"/>
      <w:bookmarkStart w:id="110" w:name="_Toc374025981"/>
      <w:bookmarkStart w:id="111" w:name="_Toc374025928"/>
      <w:bookmarkStart w:id="112" w:name="_Toc374025834"/>
      <w:bookmarkStart w:id="113" w:name="_Toc374025745"/>
      <w:bookmarkStart w:id="114" w:name="_Toc498419717"/>
      <w:bookmarkStart w:id="115" w:name="_Toc497831525"/>
      <w:bookmarkStart w:id="116" w:name="_Toc497728131"/>
      <w:bookmarkStart w:id="117" w:name="_Toc497484933"/>
      <w:bookmarkStart w:id="118" w:name="_Toc494359015"/>
      <w:bookmarkStart w:id="119" w:name="_Toc494358966"/>
      <w:bookmarkStart w:id="120" w:name="_Toc493500868"/>
      <w:bookmarkStart w:id="121" w:name="_Toc498419716"/>
      <w:bookmarkStart w:id="122" w:name="_Toc497831524"/>
      <w:bookmarkStart w:id="123" w:name="_Toc497728130"/>
      <w:bookmarkStart w:id="124" w:name="_Toc497484932"/>
      <w:bookmarkStart w:id="125" w:name="_Toc494359014"/>
      <w:bookmarkStart w:id="126" w:name="_Toc494358965"/>
      <w:bookmarkStart w:id="127" w:name="_Toc493500867"/>
      <w:bookmarkStart w:id="128" w:name="_Toc482102096"/>
      <w:bookmarkStart w:id="129" w:name="_Toc482102001"/>
      <w:bookmarkStart w:id="130" w:name="_Toc227921610"/>
      <w:bookmarkStart w:id="131" w:name="_Toc391036046"/>
      <w:bookmarkStart w:id="132" w:name="_Toc391035973"/>
      <w:bookmarkStart w:id="133" w:name="_Toc380501861"/>
      <w:bookmarkStart w:id="134" w:name="_Toc354038170"/>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Pr>
          <w:rFonts w:ascii="Titillium" w:hAnsi="Titillium"/>
          <w:sz w:val="18"/>
          <w:szCs w:val="18"/>
        </w:rPr>
        <w:t>PREMESSE</w:t>
      </w:r>
      <w:bookmarkEnd w:id="130"/>
    </w:p>
    <w:p w14:paraId="48DA83FD" w14:textId="07F7D70C" w:rsidR="006842EE" w:rsidRDefault="008F2625" w:rsidP="00F661D1">
      <w:pPr>
        <w:spacing w:before="60" w:after="60"/>
        <w:rPr>
          <w:rFonts w:ascii="Titillium" w:hAnsi="Titillium" w:cs="Calibri"/>
          <w:b/>
          <w:iCs/>
          <w:color w:val="000000" w:themeColor="text1"/>
          <w:sz w:val="18"/>
          <w:szCs w:val="18"/>
        </w:rPr>
      </w:pPr>
      <w:r>
        <w:rPr>
          <w:rFonts w:ascii="Titillium" w:hAnsi="Titillium" w:cs="Calibri"/>
          <w:bCs/>
          <w:iCs/>
          <w:sz w:val="18"/>
          <w:szCs w:val="18"/>
        </w:rPr>
        <w:t>Con atto n</w:t>
      </w:r>
      <w:r w:rsidR="001D07F1">
        <w:rPr>
          <w:rFonts w:ascii="Titillium" w:hAnsi="Titillium" w:cs="Calibri"/>
          <w:bCs/>
          <w:iCs/>
          <w:sz w:val="18"/>
          <w:szCs w:val="18"/>
        </w:rPr>
        <w:t>umero</w:t>
      </w:r>
      <w:r>
        <w:rPr>
          <w:rFonts w:ascii="Titillium" w:hAnsi="Titillium" w:cs="Calibri"/>
          <w:bCs/>
          <w:iCs/>
          <w:sz w:val="18"/>
          <w:szCs w:val="18"/>
        </w:rPr>
        <w:t xml:space="preserve"> ... </w:t>
      </w:r>
      <w:r>
        <w:rPr>
          <w:rFonts w:ascii="Titillium" w:hAnsi="Titillium" w:cs="Calibri"/>
          <w:bCs/>
          <w:i/>
          <w:iCs/>
          <w:sz w:val="18"/>
          <w:szCs w:val="18"/>
        </w:rPr>
        <w:t xml:space="preserve">[specificare il tipo di atto] </w:t>
      </w:r>
      <w:r>
        <w:rPr>
          <w:rFonts w:ascii="Titillium" w:hAnsi="Titillium" w:cs="Calibri"/>
          <w:bCs/>
          <w:iCs/>
          <w:sz w:val="18"/>
          <w:szCs w:val="18"/>
        </w:rPr>
        <w:t xml:space="preserve">del … </w:t>
      </w:r>
      <w:r>
        <w:rPr>
          <w:rFonts w:ascii="Titillium" w:hAnsi="Titillium" w:cs="Calibri"/>
          <w:bCs/>
          <w:i/>
          <w:iCs/>
          <w:sz w:val="18"/>
          <w:szCs w:val="18"/>
        </w:rPr>
        <w:t>[indicare</w:t>
      </w:r>
      <w:r w:rsidR="00831450">
        <w:rPr>
          <w:rFonts w:ascii="Titillium" w:hAnsi="Titillium" w:cs="Calibri"/>
          <w:bCs/>
          <w:i/>
          <w:iCs/>
          <w:sz w:val="18"/>
          <w:szCs w:val="18"/>
        </w:rPr>
        <w:t xml:space="preserve"> data</w:t>
      </w:r>
      <w:r>
        <w:rPr>
          <w:rFonts w:ascii="Titillium" w:hAnsi="Titillium" w:cs="Calibri"/>
          <w:bCs/>
          <w:i/>
          <w:iCs/>
          <w:sz w:val="18"/>
          <w:szCs w:val="18"/>
        </w:rPr>
        <w:t>]</w:t>
      </w:r>
      <w:r>
        <w:rPr>
          <w:rFonts w:ascii="Titillium" w:hAnsi="Titillium" w:cs="Calibri"/>
          <w:bCs/>
          <w:iCs/>
          <w:sz w:val="18"/>
          <w:szCs w:val="18"/>
        </w:rPr>
        <w:t xml:space="preserve">, </w:t>
      </w:r>
      <w:r w:rsidRPr="00C12841">
        <w:rPr>
          <w:rFonts w:ascii="Titillium" w:hAnsi="Titillium" w:cs="Calibri"/>
          <w:bCs/>
          <w:iCs/>
          <w:sz w:val="18"/>
          <w:szCs w:val="18"/>
        </w:rPr>
        <w:t xml:space="preserve">questa </w:t>
      </w:r>
      <w:r w:rsidR="00C12841" w:rsidRPr="00C12841">
        <w:rPr>
          <w:rFonts w:ascii="Titillium" w:hAnsi="Titillium" w:cs="Calibri"/>
          <w:bCs/>
          <w:iCs/>
          <w:sz w:val="18"/>
          <w:szCs w:val="18"/>
        </w:rPr>
        <w:t>l</w:t>
      </w:r>
      <w:r w:rsidR="00C12841">
        <w:rPr>
          <w:rFonts w:ascii="Titillium" w:hAnsi="Titillium" w:cs="Calibri"/>
          <w:bCs/>
          <w:iCs/>
          <w:sz w:val="18"/>
          <w:szCs w:val="18"/>
        </w:rPr>
        <w:t xml:space="preserve">’ </w:t>
      </w:r>
      <w:r w:rsidRPr="001D07F1">
        <w:rPr>
          <w:rFonts w:ascii="Titillium" w:hAnsi="Titillium" w:cs="Calibri"/>
          <w:bCs/>
          <w:iCs/>
          <w:sz w:val="18"/>
          <w:szCs w:val="18"/>
        </w:rPr>
        <w:t>Amministrazione</w:t>
      </w:r>
      <w:r w:rsidR="00851967" w:rsidRPr="001D07F1">
        <w:rPr>
          <w:rFonts w:ascii="Titillium" w:hAnsi="Titillium" w:cs="Calibri"/>
          <w:bCs/>
          <w:iCs/>
          <w:sz w:val="18"/>
          <w:szCs w:val="18"/>
        </w:rPr>
        <w:t xml:space="preserve"> </w:t>
      </w:r>
      <w:r w:rsidR="00851967" w:rsidRPr="00D7674A">
        <w:rPr>
          <w:rFonts w:ascii="Titillium" w:hAnsi="Titillium" w:cs="Calibri"/>
          <w:b/>
          <w:i/>
          <w:sz w:val="18"/>
          <w:szCs w:val="18"/>
        </w:rPr>
        <w:t>[in caso  di affidamento delegato ad una Centrale di Committenza o ad altra Stazione Appaltante Qualificata specificare i rispettivi atti adottati sia dalla delegante che dalla delegata ]</w:t>
      </w:r>
      <w:r w:rsidR="00851967" w:rsidRPr="00851967">
        <w:rPr>
          <w:rFonts w:ascii="Titillium" w:hAnsi="Titillium" w:cs="Calibri"/>
          <w:b/>
          <w:iCs/>
          <w:sz w:val="18"/>
          <w:szCs w:val="18"/>
        </w:rPr>
        <w:t xml:space="preserve">  </w:t>
      </w:r>
      <w:r>
        <w:rPr>
          <w:rFonts w:ascii="Titillium" w:hAnsi="Titillium" w:cs="Calibri"/>
          <w:bCs/>
          <w:iCs/>
          <w:sz w:val="18"/>
          <w:szCs w:val="18"/>
        </w:rPr>
        <w:t>ha deciso di affidare</w:t>
      </w:r>
      <w:r w:rsidR="00831450">
        <w:rPr>
          <w:rFonts w:ascii="Titillium" w:hAnsi="Titillium" w:cs="Calibri"/>
          <w:bCs/>
          <w:iCs/>
          <w:sz w:val="18"/>
          <w:szCs w:val="18"/>
        </w:rPr>
        <w:t xml:space="preserve"> </w:t>
      </w:r>
      <w:r>
        <w:rPr>
          <w:rFonts w:ascii="Titillium" w:hAnsi="Titillium" w:cs="Calibri"/>
          <w:bCs/>
          <w:iCs/>
          <w:sz w:val="18"/>
          <w:szCs w:val="18"/>
        </w:rPr>
        <w:t>il servizio [</w:t>
      </w:r>
      <w:r>
        <w:rPr>
          <w:rFonts w:ascii="Titillium" w:hAnsi="Titillium" w:cs="Calibri"/>
          <w:bCs/>
          <w:i/>
          <w:iCs/>
          <w:sz w:val="18"/>
          <w:szCs w:val="18"/>
        </w:rPr>
        <w:t>indicare i servizi tecnici di architettura e ingegneria e/o altri servizi natura tecnica richiesti</w:t>
      </w:r>
      <w:r>
        <w:rPr>
          <w:rFonts w:ascii="Titillium" w:hAnsi="Titillium" w:cs="Calibri"/>
          <w:bCs/>
          <w:iCs/>
          <w:sz w:val="18"/>
          <w:szCs w:val="18"/>
        </w:rPr>
        <w:t>] inerenti ai lavori di</w:t>
      </w:r>
      <w:r w:rsidR="009A5B65">
        <w:rPr>
          <w:rFonts w:ascii="Titillium" w:hAnsi="Titillium" w:cs="Calibri"/>
          <w:bCs/>
          <w:iCs/>
          <w:sz w:val="18"/>
          <w:szCs w:val="18"/>
        </w:rPr>
        <w:t xml:space="preserve"> … </w:t>
      </w:r>
      <w:r>
        <w:rPr>
          <w:rFonts w:ascii="Titillium" w:hAnsi="Titillium" w:cs="Calibri"/>
          <w:bCs/>
          <w:iCs/>
          <w:sz w:val="18"/>
          <w:szCs w:val="18"/>
        </w:rPr>
        <w:t>[</w:t>
      </w:r>
      <w:r>
        <w:rPr>
          <w:rFonts w:ascii="Titillium" w:hAnsi="Titillium" w:cs="Calibri"/>
          <w:bCs/>
          <w:i/>
          <w:iCs/>
          <w:sz w:val="18"/>
          <w:szCs w:val="18"/>
        </w:rPr>
        <w:t>specificare i lavori</w:t>
      </w:r>
      <w:r>
        <w:rPr>
          <w:rFonts w:ascii="Titillium" w:hAnsi="Titillium" w:cs="Calibri"/>
          <w:bCs/>
          <w:iCs/>
          <w:sz w:val="18"/>
          <w:szCs w:val="18"/>
        </w:rPr>
        <w:t xml:space="preserve">], </w:t>
      </w:r>
      <w:r w:rsidRPr="00555E24">
        <w:rPr>
          <w:rFonts w:ascii="Titillium" w:hAnsi="Titillium" w:cs="Calibri"/>
          <w:bCs/>
          <w:i/>
          <w:sz w:val="18"/>
          <w:szCs w:val="18"/>
        </w:rPr>
        <w:t>[</w:t>
      </w:r>
      <w:r w:rsidRPr="00555E24">
        <w:rPr>
          <w:rFonts w:ascii="Titillium" w:hAnsi="Titillium" w:cs="Calibri"/>
          <w:b/>
          <w:i/>
          <w:sz w:val="18"/>
          <w:szCs w:val="18"/>
        </w:rPr>
        <w:t xml:space="preserve">in caso di servizi per i quali è vigente un </w:t>
      </w:r>
      <w:r w:rsidR="00CC4BEC" w:rsidRPr="00555E24">
        <w:rPr>
          <w:rFonts w:ascii="Titillium" w:hAnsi="Titillium" w:cs="Calibri"/>
          <w:b/>
          <w:i/>
          <w:sz w:val="18"/>
          <w:szCs w:val="18"/>
        </w:rPr>
        <w:t>uno o più decreti sui CAM</w:t>
      </w:r>
      <w:r w:rsidRPr="00555E24">
        <w:rPr>
          <w:rFonts w:ascii="Titillium" w:hAnsi="Titillium" w:cs="Calibri"/>
          <w:bCs/>
          <w:i/>
          <w:sz w:val="18"/>
          <w:szCs w:val="18"/>
        </w:rPr>
        <w:t>]</w:t>
      </w:r>
      <w:r>
        <w:rPr>
          <w:rFonts w:ascii="Titillium" w:hAnsi="Titillium" w:cs="Calibri"/>
          <w:bCs/>
          <w:iCs/>
          <w:sz w:val="18"/>
          <w:szCs w:val="18"/>
        </w:rPr>
        <w:t xml:space="preserve"> conforme alle specifiche tecniche e alle clausole contrattuali contenute nei criteri ambientali minimi di cui al </w:t>
      </w:r>
      <w:r w:rsidRPr="00AF0FF7">
        <w:rPr>
          <w:rFonts w:ascii="Titillium" w:hAnsi="Titillium" w:cs="Calibri"/>
          <w:bCs/>
          <w:iCs/>
          <w:sz w:val="18"/>
          <w:szCs w:val="18"/>
        </w:rPr>
        <w:t>…</w:t>
      </w:r>
      <w:r w:rsidRPr="00C90794">
        <w:rPr>
          <w:rFonts w:ascii="Titillium" w:hAnsi="Titillium" w:cs="Calibri"/>
          <w:bCs/>
          <w:iCs/>
          <w:color w:val="5B9BD5" w:themeColor="accent1"/>
          <w:sz w:val="18"/>
          <w:szCs w:val="18"/>
        </w:rPr>
        <w:t xml:space="preserve"> </w:t>
      </w:r>
      <w:r w:rsidRPr="00741D9E">
        <w:rPr>
          <w:rFonts w:ascii="Titillium" w:hAnsi="Titillium" w:cs="Calibri"/>
          <w:bCs/>
          <w:iCs/>
          <w:color w:val="000000" w:themeColor="text1"/>
          <w:sz w:val="18"/>
          <w:szCs w:val="18"/>
        </w:rPr>
        <w:t>[</w:t>
      </w:r>
      <w:r w:rsidRPr="00534170">
        <w:rPr>
          <w:rFonts w:ascii="Titillium" w:hAnsi="Titillium" w:cs="Calibri"/>
          <w:bCs/>
          <w:i/>
          <w:iCs/>
          <w:color w:val="000000" w:themeColor="text1"/>
          <w:sz w:val="18"/>
          <w:szCs w:val="18"/>
        </w:rPr>
        <w:t xml:space="preserve">indicare il decreto </w:t>
      </w:r>
      <w:r w:rsidR="0025550F">
        <w:rPr>
          <w:rFonts w:ascii="Titillium" w:hAnsi="Titillium" w:cs="Calibri"/>
          <w:bCs/>
          <w:i/>
          <w:iCs/>
          <w:color w:val="000000" w:themeColor="text1"/>
          <w:sz w:val="18"/>
          <w:szCs w:val="18"/>
        </w:rPr>
        <w:t xml:space="preserve">o i decreti </w:t>
      </w:r>
      <w:r w:rsidRPr="00534170">
        <w:rPr>
          <w:rFonts w:ascii="Titillium" w:hAnsi="Titillium" w:cs="Calibri"/>
          <w:bCs/>
          <w:i/>
          <w:iCs/>
          <w:color w:val="000000" w:themeColor="text1"/>
          <w:sz w:val="18"/>
          <w:szCs w:val="18"/>
        </w:rPr>
        <w:t>di riferimento emanato</w:t>
      </w:r>
      <w:r w:rsidR="0025550F">
        <w:rPr>
          <w:rFonts w:ascii="Titillium" w:hAnsi="Titillium" w:cs="Calibri"/>
          <w:bCs/>
          <w:i/>
          <w:iCs/>
          <w:color w:val="000000" w:themeColor="text1"/>
          <w:sz w:val="18"/>
          <w:szCs w:val="18"/>
        </w:rPr>
        <w:t>/i</w:t>
      </w:r>
      <w:r w:rsidRPr="00534170">
        <w:rPr>
          <w:rFonts w:ascii="Titillium" w:hAnsi="Titillium" w:cs="Calibri"/>
          <w:bCs/>
          <w:i/>
          <w:iCs/>
          <w:color w:val="000000" w:themeColor="text1"/>
          <w:sz w:val="18"/>
          <w:szCs w:val="18"/>
        </w:rPr>
        <w:t xml:space="preserve"> dal Ministero dell'ambiente e della sicurezza energetica</w:t>
      </w:r>
      <w:r w:rsidR="00115B08" w:rsidRPr="00534170">
        <w:rPr>
          <w:rFonts w:ascii="Titillium" w:hAnsi="Titillium" w:cs="Calibri"/>
          <w:bCs/>
          <w:i/>
          <w:iCs/>
          <w:color w:val="000000" w:themeColor="text1"/>
          <w:sz w:val="18"/>
          <w:szCs w:val="18"/>
        </w:rPr>
        <w:t xml:space="preserve"> </w:t>
      </w:r>
      <w:r w:rsidRPr="00F90695">
        <w:rPr>
          <w:rFonts w:ascii="Titillium" w:hAnsi="Titillium" w:cs="Calibri"/>
          <w:bCs/>
          <w:i/>
          <w:iCs/>
          <w:color w:val="000000" w:themeColor="text1"/>
          <w:sz w:val="18"/>
          <w:szCs w:val="18"/>
        </w:rPr>
        <w:t>per la parte</w:t>
      </w:r>
      <w:r w:rsidR="00D90A22" w:rsidRPr="00F90695">
        <w:rPr>
          <w:rFonts w:ascii="Titillium" w:hAnsi="Titillium" w:cs="Calibri"/>
          <w:bCs/>
          <w:i/>
          <w:iCs/>
          <w:color w:val="000000" w:themeColor="text1"/>
          <w:sz w:val="18"/>
          <w:szCs w:val="18"/>
        </w:rPr>
        <w:t xml:space="preserve"> specificamente</w:t>
      </w:r>
      <w:r w:rsidRPr="00534170">
        <w:rPr>
          <w:rFonts w:ascii="Titillium" w:hAnsi="Titillium" w:cs="Calibri"/>
          <w:bCs/>
          <w:i/>
          <w:iCs/>
          <w:color w:val="000000" w:themeColor="text1"/>
          <w:sz w:val="18"/>
          <w:szCs w:val="18"/>
        </w:rPr>
        <w:t xml:space="preserve"> applicabile</w:t>
      </w:r>
      <w:r w:rsidR="00D90A22" w:rsidRPr="00534170">
        <w:rPr>
          <w:rFonts w:ascii="Titillium" w:hAnsi="Titillium" w:cs="Calibri"/>
          <w:bCs/>
          <w:i/>
          <w:iCs/>
          <w:color w:val="000000" w:themeColor="text1"/>
          <w:sz w:val="18"/>
          <w:szCs w:val="18"/>
        </w:rPr>
        <w:t xml:space="preserve"> al servizio in questione</w:t>
      </w:r>
      <w:r w:rsidRPr="00534170">
        <w:rPr>
          <w:rFonts w:ascii="Titillium" w:hAnsi="Titillium" w:cs="Calibri"/>
          <w:bCs/>
          <w:iCs/>
          <w:color w:val="000000" w:themeColor="text1"/>
          <w:sz w:val="18"/>
          <w:szCs w:val="18"/>
        </w:rPr>
        <w:t>]</w:t>
      </w:r>
      <w:r w:rsidR="00D61BD7" w:rsidRPr="00534170">
        <w:rPr>
          <w:rFonts w:ascii="Titillium" w:hAnsi="Titillium" w:cs="Calibri"/>
          <w:bCs/>
          <w:iCs/>
          <w:color w:val="000000" w:themeColor="text1"/>
          <w:sz w:val="18"/>
          <w:szCs w:val="18"/>
        </w:rPr>
        <w:t xml:space="preserve"> </w:t>
      </w:r>
      <w:r w:rsidR="000C5C75" w:rsidRPr="00534170">
        <w:rPr>
          <w:rFonts w:ascii="Titillium" w:hAnsi="Titillium" w:cs="Calibri"/>
          <w:bCs/>
          <w:iCs/>
          <w:color w:val="000000" w:themeColor="text1"/>
          <w:sz w:val="18"/>
          <w:szCs w:val="18"/>
        </w:rPr>
        <w:t xml:space="preserve">e </w:t>
      </w:r>
      <w:r w:rsidR="00CC59F9" w:rsidRPr="00F90695">
        <w:rPr>
          <w:rFonts w:ascii="Titillium" w:hAnsi="Titillium" w:cs="Calibri"/>
          <w:bCs/>
          <w:iCs/>
          <w:color w:val="000000" w:themeColor="text1"/>
          <w:sz w:val="18"/>
          <w:szCs w:val="18"/>
        </w:rPr>
        <w:t>richiamat</w:t>
      </w:r>
      <w:r w:rsidR="000C5C75" w:rsidRPr="00F90695">
        <w:rPr>
          <w:rFonts w:ascii="Titillium" w:hAnsi="Titillium" w:cs="Calibri"/>
          <w:bCs/>
          <w:iCs/>
          <w:color w:val="000000" w:themeColor="text1"/>
          <w:sz w:val="18"/>
          <w:szCs w:val="18"/>
        </w:rPr>
        <w:t>i espressamente nella documentazione tecnica</w:t>
      </w:r>
      <w:r w:rsidR="00695EB5">
        <w:rPr>
          <w:rFonts w:ascii="Titillium" w:hAnsi="Titillium" w:cs="Calibri"/>
          <w:bCs/>
          <w:iCs/>
          <w:color w:val="000000" w:themeColor="text1"/>
          <w:sz w:val="18"/>
          <w:szCs w:val="18"/>
        </w:rPr>
        <w:t xml:space="preserve"> ..</w:t>
      </w:r>
      <w:r w:rsidR="00115B08" w:rsidRPr="00F90695">
        <w:rPr>
          <w:rFonts w:ascii="Titillium" w:hAnsi="Titillium" w:cs="Calibri"/>
          <w:bCs/>
          <w:iCs/>
          <w:color w:val="000000" w:themeColor="text1"/>
          <w:sz w:val="18"/>
          <w:szCs w:val="18"/>
        </w:rPr>
        <w:t>.</w:t>
      </w:r>
      <w:r w:rsidR="000C5C75" w:rsidRPr="00F90695">
        <w:rPr>
          <w:rFonts w:ascii="Titillium" w:hAnsi="Titillium" w:cs="Calibri"/>
          <w:bCs/>
          <w:iCs/>
          <w:color w:val="000000" w:themeColor="text1"/>
          <w:sz w:val="18"/>
          <w:szCs w:val="18"/>
        </w:rPr>
        <w:t xml:space="preserve"> </w:t>
      </w:r>
      <w:r w:rsidR="00D61BD7" w:rsidRPr="00555E24">
        <w:rPr>
          <w:rFonts w:ascii="Titillium" w:hAnsi="Titillium" w:cs="Calibri"/>
          <w:bCs/>
          <w:i/>
          <w:color w:val="000000" w:themeColor="text1"/>
          <w:sz w:val="18"/>
          <w:szCs w:val="18"/>
        </w:rPr>
        <w:t>[i</w:t>
      </w:r>
      <w:r w:rsidR="00D61BD7" w:rsidRPr="00F90695">
        <w:rPr>
          <w:rFonts w:ascii="Titillium" w:hAnsi="Titillium" w:cs="Calibri"/>
          <w:bCs/>
          <w:i/>
          <w:color w:val="000000" w:themeColor="text1"/>
          <w:sz w:val="18"/>
          <w:szCs w:val="18"/>
        </w:rPr>
        <w:t>ndicare</w:t>
      </w:r>
      <w:r w:rsidR="000C5C75" w:rsidRPr="00F90695">
        <w:rPr>
          <w:rFonts w:ascii="Titillium" w:hAnsi="Titillium" w:cs="Calibri"/>
          <w:bCs/>
          <w:i/>
          <w:color w:val="000000" w:themeColor="text1"/>
          <w:sz w:val="18"/>
          <w:szCs w:val="18"/>
        </w:rPr>
        <w:t xml:space="preserve"> </w:t>
      </w:r>
      <w:r w:rsidR="00741D9E" w:rsidRPr="00F90695">
        <w:rPr>
          <w:rFonts w:ascii="Titillium" w:hAnsi="Titillium" w:cs="Calibri"/>
          <w:bCs/>
          <w:i/>
          <w:color w:val="000000" w:themeColor="text1"/>
          <w:sz w:val="18"/>
          <w:szCs w:val="18"/>
        </w:rPr>
        <w:t xml:space="preserve">analiticamente </w:t>
      </w:r>
      <w:r w:rsidR="006F5405" w:rsidRPr="00F90695">
        <w:rPr>
          <w:rFonts w:ascii="Titillium" w:hAnsi="Titillium" w:cs="Calibri"/>
          <w:bCs/>
          <w:i/>
          <w:color w:val="000000" w:themeColor="text1"/>
          <w:sz w:val="18"/>
          <w:szCs w:val="18"/>
        </w:rPr>
        <w:t xml:space="preserve">le parti </w:t>
      </w:r>
      <w:r w:rsidR="00D90A22" w:rsidRPr="00F90695">
        <w:rPr>
          <w:rFonts w:ascii="Titillium" w:hAnsi="Titillium" w:cs="Calibri"/>
          <w:bCs/>
          <w:i/>
          <w:color w:val="000000" w:themeColor="text1"/>
          <w:sz w:val="18"/>
          <w:szCs w:val="18"/>
        </w:rPr>
        <w:t>d</w:t>
      </w:r>
      <w:r w:rsidR="000C5C75" w:rsidRPr="00F90695">
        <w:rPr>
          <w:rFonts w:ascii="Titillium" w:hAnsi="Titillium" w:cs="Calibri"/>
          <w:bCs/>
          <w:i/>
          <w:color w:val="000000" w:themeColor="text1"/>
          <w:sz w:val="18"/>
          <w:szCs w:val="18"/>
        </w:rPr>
        <w:t>el capitolato</w:t>
      </w:r>
      <w:r w:rsidR="007A3AE3" w:rsidRPr="00F90695">
        <w:rPr>
          <w:rFonts w:ascii="Titillium" w:hAnsi="Titillium" w:cs="Calibri"/>
          <w:bCs/>
          <w:i/>
          <w:color w:val="000000" w:themeColor="text1"/>
          <w:sz w:val="18"/>
          <w:szCs w:val="18"/>
        </w:rPr>
        <w:t xml:space="preserve"> speciale </w:t>
      </w:r>
      <w:r w:rsidR="000C5C75" w:rsidRPr="00F90695">
        <w:rPr>
          <w:rFonts w:ascii="Titillium" w:hAnsi="Titillium" w:cs="Calibri"/>
          <w:bCs/>
          <w:i/>
          <w:color w:val="000000" w:themeColor="text1"/>
          <w:sz w:val="18"/>
          <w:szCs w:val="18"/>
        </w:rPr>
        <w:t>relativi ai CAM di riferimento</w:t>
      </w:r>
      <w:r w:rsidR="00D90A22" w:rsidRPr="00F90695">
        <w:rPr>
          <w:rFonts w:ascii="Titillium" w:hAnsi="Titillium" w:cs="Calibri"/>
          <w:bCs/>
          <w:i/>
          <w:color w:val="000000" w:themeColor="text1"/>
          <w:sz w:val="18"/>
          <w:szCs w:val="18"/>
        </w:rPr>
        <w:t xml:space="preserve"> ove </w:t>
      </w:r>
      <w:r w:rsidR="0025550F" w:rsidRPr="00F90695">
        <w:rPr>
          <w:rFonts w:ascii="Titillium" w:hAnsi="Titillium" w:cs="Calibri"/>
          <w:bCs/>
          <w:i/>
          <w:color w:val="000000" w:themeColor="text1"/>
          <w:sz w:val="18"/>
          <w:szCs w:val="18"/>
        </w:rPr>
        <w:t>sono puntualmente</w:t>
      </w:r>
      <w:r w:rsidR="00D90A22" w:rsidRPr="00F90695">
        <w:rPr>
          <w:rFonts w:ascii="Titillium" w:hAnsi="Titillium" w:cs="Calibri"/>
          <w:bCs/>
          <w:i/>
          <w:color w:val="000000" w:themeColor="text1"/>
          <w:sz w:val="18"/>
          <w:szCs w:val="18"/>
        </w:rPr>
        <w:t xml:space="preserve"> </w:t>
      </w:r>
      <w:r w:rsidR="00741D9E" w:rsidRPr="00F90695">
        <w:rPr>
          <w:rFonts w:ascii="Titillium" w:hAnsi="Titillium" w:cs="Calibri"/>
          <w:bCs/>
          <w:i/>
          <w:color w:val="000000" w:themeColor="text1"/>
          <w:sz w:val="18"/>
          <w:szCs w:val="18"/>
        </w:rPr>
        <w:t xml:space="preserve">previste </w:t>
      </w:r>
      <w:r w:rsidR="00D90A22" w:rsidRPr="00F90695">
        <w:rPr>
          <w:rFonts w:ascii="Titillium" w:hAnsi="Titillium" w:cs="Calibri"/>
          <w:bCs/>
          <w:i/>
          <w:color w:val="000000" w:themeColor="text1"/>
          <w:sz w:val="18"/>
          <w:szCs w:val="18"/>
        </w:rPr>
        <w:t xml:space="preserve">le specifiche tecniche e le clausole contrattuali applicabili al servizio </w:t>
      </w:r>
      <w:r w:rsidR="00741D9E" w:rsidRPr="00F90695">
        <w:rPr>
          <w:rFonts w:ascii="Titillium" w:hAnsi="Titillium" w:cs="Calibri"/>
          <w:bCs/>
          <w:i/>
          <w:color w:val="000000" w:themeColor="text1"/>
          <w:sz w:val="18"/>
          <w:szCs w:val="18"/>
        </w:rPr>
        <w:t xml:space="preserve">da </w:t>
      </w:r>
      <w:r w:rsidR="006A04A3" w:rsidRPr="00F90695">
        <w:rPr>
          <w:rFonts w:ascii="Titillium" w:hAnsi="Titillium" w:cs="Calibri"/>
          <w:bCs/>
          <w:i/>
          <w:color w:val="000000" w:themeColor="text1"/>
          <w:sz w:val="18"/>
          <w:szCs w:val="18"/>
        </w:rPr>
        <w:t>affidare</w:t>
      </w:r>
      <w:r w:rsidR="006A04A3" w:rsidRPr="00534170">
        <w:rPr>
          <w:rFonts w:ascii="Titillium" w:hAnsi="Titillium" w:cs="Calibri"/>
          <w:b/>
          <w:i/>
          <w:color w:val="000000" w:themeColor="text1"/>
          <w:sz w:val="18"/>
          <w:szCs w:val="18"/>
        </w:rPr>
        <w:t>]</w:t>
      </w:r>
      <w:r w:rsidRPr="00534170">
        <w:rPr>
          <w:rFonts w:ascii="Titillium" w:hAnsi="Titillium" w:cs="Calibri"/>
          <w:b/>
          <w:iCs/>
          <w:color w:val="000000" w:themeColor="text1"/>
          <w:sz w:val="18"/>
          <w:szCs w:val="18"/>
        </w:rPr>
        <w:t>.</w:t>
      </w:r>
      <w:r w:rsidR="003D272F" w:rsidRPr="00741D9E">
        <w:rPr>
          <w:rFonts w:ascii="Titillium" w:hAnsi="Titillium" w:cs="Calibri"/>
          <w:b/>
          <w:iCs/>
          <w:color w:val="000000" w:themeColor="text1"/>
          <w:sz w:val="18"/>
          <w:szCs w:val="18"/>
        </w:rPr>
        <w:t xml:space="preserve"> </w:t>
      </w:r>
    </w:p>
    <w:tbl>
      <w:tblPr>
        <w:tblW w:w="9214" w:type="dxa"/>
        <w:tblInd w:w="-5" w:type="dxa"/>
        <w:tblLayout w:type="fixed"/>
        <w:tblLook w:val="04A0" w:firstRow="1" w:lastRow="0" w:firstColumn="1" w:lastColumn="0" w:noHBand="0" w:noVBand="1"/>
      </w:tblPr>
      <w:tblGrid>
        <w:gridCol w:w="9214"/>
      </w:tblGrid>
      <w:tr w:rsidR="006842EE" w14:paraId="3ACEF667" w14:textId="77777777" w:rsidTr="00862788">
        <w:tc>
          <w:tcPr>
            <w:tcW w:w="9214" w:type="dxa"/>
            <w:tcBorders>
              <w:top w:val="single" w:sz="4" w:space="0" w:color="000000"/>
              <w:left w:val="single" w:sz="4" w:space="0" w:color="000000"/>
              <w:bottom w:val="single" w:sz="4" w:space="0" w:color="000000"/>
              <w:right w:val="single" w:sz="4" w:space="0" w:color="000000"/>
            </w:tcBorders>
          </w:tcPr>
          <w:p w14:paraId="7A63FF7E" w14:textId="5C7A7709" w:rsidR="006842EE" w:rsidRDefault="008F2625">
            <w:pPr>
              <w:widowControl w:val="0"/>
              <w:spacing w:before="60" w:after="60"/>
            </w:pPr>
            <w:r>
              <w:rPr>
                <w:rFonts w:ascii="Titillium" w:hAnsi="Titillium" w:cs="Calibri"/>
                <w:sz w:val="18"/>
                <w:szCs w:val="18"/>
              </w:rPr>
              <w:t xml:space="preserve">Di seguito si riporta il link dove è possibile consultare i CAM adottati dal Ministero dell'ambiente e della sicurezza energetica: </w:t>
            </w:r>
            <w:hyperlink r:id="rId13" w:history="1">
              <w:r w:rsidR="00115B08" w:rsidRPr="009C1D17">
                <w:rPr>
                  <w:rStyle w:val="Collegamentoipertestuale"/>
                  <w:rFonts w:ascii="Titillium" w:hAnsi="Titillium" w:cs="Calibri"/>
                  <w:sz w:val="18"/>
                  <w:szCs w:val="18"/>
                </w:rPr>
                <w:t xml:space="preserve">https://gpp.mase.gov.it/CAM-vigenti </w:t>
              </w:r>
            </w:hyperlink>
          </w:p>
          <w:p w14:paraId="46B221FE" w14:textId="48470F5C" w:rsidR="00F54446" w:rsidRPr="00240C78" w:rsidRDefault="00741D9E" w:rsidP="00671023">
            <w:pPr>
              <w:widowControl w:val="0"/>
              <w:spacing w:before="60" w:after="60"/>
              <w:rPr>
                <w:rFonts w:ascii="Titillium" w:hAnsi="Titillium"/>
                <w:i/>
                <w:iCs/>
                <w:sz w:val="18"/>
                <w:szCs w:val="18"/>
              </w:rPr>
            </w:pPr>
            <w:r w:rsidRPr="00240C78">
              <w:rPr>
                <w:rFonts w:ascii="Titillium" w:hAnsi="Titillium"/>
                <w:i/>
                <w:iCs/>
                <w:sz w:val="18"/>
                <w:szCs w:val="18"/>
              </w:rPr>
              <w:t>N.B.</w:t>
            </w:r>
            <w:r w:rsidR="00821039" w:rsidRPr="00240C78">
              <w:rPr>
                <w:rFonts w:ascii="Titillium" w:hAnsi="Titillium"/>
                <w:i/>
                <w:iCs/>
                <w:sz w:val="18"/>
                <w:szCs w:val="18"/>
              </w:rPr>
              <w:t xml:space="preserve"> Si ricorda che l'articolo 57 comma 2 del decreto legislativo 31 marzo 2023, n. 36, prevede l’obbligo di applicazione, per l’intero valore dell’importo della gara, delle “specifiche tecniche” e delle “clausole contrattuali”, contenute nei criteri ambientali minimi (CAM), aggiungendo, altresì, che degli stessi si debba tener conto anche ai fini della definizione dei “criteri di aggiudicazione dell’appalto” di cui all’</w:t>
            </w:r>
            <w:r w:rsidR="00C75931" w:rsidRPr="00240C78">
              <w:rPr>
                <w:rFonts w:ascii="Titillium" w:hAnsi="Titillium"/>
                <w:i/>
                <w:iCs/>
                <w:sz w:val="18"/>
                <w:szCs w:val="18"/>
              </w:rPr>
              <w:t>articolo</w:t>
            </w:r>
            <w:r w:rsidR="00821039" w:rsidRPr="00240C78">
              <w:rPr>
                <w:rFonts w:ascii="Titillium" w:hAnsi="Titillium"/>
                <w:i/>
                <w:iCs/>
                <w:sz w:val="18"/>
                <w:szCs w:val="18"/>
              </w:rPr>
              <w:t xml:space="preserve"> 108, commi 4 e 5, del Codice</w:t>
            </w:r>
            <w:r w:rsidR="005B17EC" w:rsidRPr="00240C78">
              <w:rPr>
                <w:rFonts w:ascii="Titillium" w:hAnsi="Titillium"/>
                <w:i/>
                <w:iCs/>
                <w:sz w:val="18"/>
                <w:szCs w:val="18"/>
              </w:rPr>
              <w:t>, divenendo elemento sostanziale della valutazione nelle gare aggiudicate con OEPV.</w:t>
            </w:r>
            <w:r w:rsidR="00B531C0" w:rsidRPr="00240C78">
              <w:rPr>
                <w:rFonts w:ascii="Titillium" w:hAnsi="Titillium"/>
                <w:i/>
                <w:iCs/>
                <w:sz w:val="18"/>
                <w:szCs w:val="18"/>
              </w:rPr>
              <w:t xml:space="preserve"> Si raccomanda, pertanto, la puntuale indicazione nella documentazione tecnica a base di gara delle suddette specifiche e clausole riferibili agli specifici CAM </w:t>
            </w:r>
            <w:r w:rsidR="006F5405" w:rsidRPr="00240C78">
              <w:rPr>
                <w:rFonts w:ascii="Titillium" w:hAnsi="Titillium"/>
                <w:i/>
                <w:iCs/>
                <w:sz w:val="18"/>
                <w:szCs w:val="18"/>
              </w:rPr>
              <w:t xml:space="preserve">applicabili </w:t>
            </w:r>
            <w:r w:rsidR="00326F18" w:rsidRPr="00240C78">
              <w:rPr>
                <w:rFonts w:ascii="Titillium" w:hAnsi="Titillium"/>
                <w:i/>
                <w:iCs/>
                <w:sz w:val="18"/>
                <w:szCs w:val="18"/>
              </w:rPr>
              <w:t>al servizio oggetto di affidamento</w:t>
            </w:r>
            <w:r w:rsidR="005629CF" w:rsidRPr="00240C78">
              <w:rPr>
                <w:rFonts w:ascii="Titillium" w:hAnsi="Titillium"/>
                <w:i/>
                <w:iCs/>
                <w:sz w:val="18"/>
                <w:szCs w:val="18"/>
              </w:rPr>
              <w:t>.</w:t>
            </w:r>
            <w:r w:rsidR="00A80FC0" w:rsidRPr="00240C78">
              <w:rPr>
                <w:rFonts w:ascii="Titillium" w:hAnsi="Titillium"/>
                <w:i/>
                <w:iCs/>
                <w:sz w:val="18"/>
                <w:szCs w:val="18"/>
              </w:rPr>
              <w:t xml:space="preserve"> </w:t>
            </w:r>
            <w:r w:rsidR="005B331D" w:rsidRPr="00240C78">
              <w:rPr>
                <w:rFonts w:ascii="Titillium" w:hAnsi="Titillium"/>
                <w:i/>
                <w:iCs/>
                <w:sz w:val="18"/>
                <w:szCs w:val="18"/>
              </w:rPr>
              <w:t xml:space="preserve">Avuto particolare riguardo </w:t>
            </w:r>
            <w:r w:rsidR="005629CF" w:rsidRPr="00240C78">
              <w:rPr>
                <w:rFonts w:ascii="Titillium" w:hAnsi="Titillium"/>
                <w:i/>
                <w:iCs/>
                <w:sz w:val="18"/>
                <w:szCs w:val="18"/>
              </w:rPr>
              <w:t xml:space="preserve">al settore dell’edilizia pubblica si </w:t>
            </w:r>
            <w:r w:rsidR="005B331D" w:rsidRPr="00240C78">
              <w:rPr>
                <w:rFonts w:ascii="Titillium" w:hAnsi="Titillium"/>
                <w:i/>
                <w:iCs/>
                <w:sz w:val="18"/>
                <w:szCs w:val="18"/>
              </w:rPr>
              <w:t>ri</w:t>
            </w:r>
            <w:r w:rsidR="00A80FC0" w:rsidRPr="00240C78">
              <w:rPr>
                <w:rFonts w:ascii="Titillium" w:hAnsi="Titillium"/>
                <w:i/>
                <w:iCs/>
                <w:sz w:val="18"/>
                <w:szCs w:val="18"/>
              </w:rPr>
              <w:t>nvia a</w:t>
            </w:r>
            <w:r w:rsidR="00671023" w:rsidRPr="00240C78">
              <w:rPr>
                <w:rFonts w:ascii="Titillium" w:hAnsi="Titillium"/>
                <w:i/>
                <w:iCs/>
                <w:sz w:val="18"/>
                <w:szCs w:val="18"/>
              </w:rPr>
              <w:t xml:space="preserve"> quanto previsto nel</w:t>
            </w:r>
            <w:r w:rsidR="00A80FC0" w:rsidRPr="00240C78">
              <w:rPr>
                <w:rFonts w:ascii="Titillium" w:hAnsi="Titillium"/>
                <w:i/>
                <w:iCs/>
                <w:sz w:val="18"/>
                <w:szCs w:val="18"/>
              </w:rPr>
              <w:t xml:space="preserve"> nuovo decreto CAM Edilizia 2025</w:t>
            </w:r>
            <w:r w:rsidR="005B331D" w:rsidRPr="00240C78">
              <w:rPr>
                <w:rFonts w:ascii="Titillium" w:hAnsi="Titillium"/>
                <w:i/>
                <w:iCs/>
                <w:sz w:val="18"/>
                <w:szCs w:val="18"/>
              </w:rPr>
              <w:t xml:space="preserve"> ed alle specifiche disposizioni ivi contenute, soprattutto in tema di valorizzazione, mediante </w:t>
            </w:r>
            <w:r w:rsidR="00A80FC0" w:rsidRPr="00240C78">
              <w:rPr>
                <w:rFonts w:ascii="Titillium" w:hAnsi="Titillium"/>
                <w:i/>
                <w:iCs/>
                <w:sz w:val="18"/>
                <w:szCs w:val="18"/>
              </w:rPr>
              <w:t>punteggi premiali,</w:t>
            </w:r>
            <w:r w:rsidR="005629CF" w:rsidRPr="00240C78">
              <w:rPr>
                <w:rFonts w:ascii="Titillium" w:hAnsi="Titillium"/>
                <w:i/>
                <w:iCs/>
                <w:sz w:val="18"/>
                <w:szCs w:val="18"/>
              </w:rPr>
              <w:t xml:space="preserve"> </w:t>
            </w:r>
            <w:r w:rsidR="005B331D" w:rsidRPr="00240C78">
              <w:rPr>
                <w:rFonts w:ascii="Titillium" w:hAnsi="Titillium"/>
                <w:i/>
                <w:iCs/>
                <w:sz w:val="18"/>
                <w:szCs w:val="18"/>
              </w:rPr>
              <w:t xml:space="preserve">di </w:t>
            </w:r>
            <w:r w:rsidR="005629CF" w:rsidRPr="00240C78">
              <w:rPr>
                <w:rFonts w:ascii="Titillium" w:hAnsi="Titillium"/>
                <w:i/>
                <w:iCs/>
                <w:sz w:val="18"/>
                <w:szCs w:val="18"/>
              </w:rPr>
              <w:t>progetti che vanno oltre il mero rispetto dei singoli requisiti CAM</w:t>
            </w:r>
            <w:r w:rsidR="005B331D" w:rsidRPr="00240C78">
              <w:rPr>
                <w:rFonts w:ascii="Titillium" w:hAnsi="Titillium"/>
                <w:i/>
                <w:iCs/>
                <w:sz w:val="18"/>
                <w:szCs w:val="18"/>
              </w:rPr>
              <w:t xml:space="preserve"> e del possesso della </w:t>
            </w:r>
            <w:r w:rsidR="00302581" w:rsidRPr="00240C78">
              <w:rPr>
                <w:rFonts w:ascii="Titillium" w:hAnsi="Titillium"/>
                <w:i/>
                <w:iCs/>
                <w:sz w:val="18"/>
                <w:szCs w:val="18"/>
              </w:rPr>
              <w:t xml:space="preserve">certificazione “Esperto CAM”. </w:t>
            </w:r>
            <w:r w:rsidR="00B531C0" w:rsidRPr="00240C78">
              <w:rPr>
                <w:rFonts w:ascii="Titillium" w:hAnsi="Titillium"/>
                <w:i/>
                <w:iCs/>
                <w:sz w:val="18"/>
                <w:szCs w:val="18"/>
              </w:rPr>
              <w:t xml:space="preserve">  </w:t>
            </w:r>
            <w:r w:rsidR="00D90A22" w:rsidRPr="00240C78">
              <w:rPr>
                <w:i/>
                <w:iCs/>
              </w:rPr>
              <w:t> </w:t>
            </w:r>
          </w:p>
        </w:tc>
      </w:tr>
    </w:tbl>
    <w:p w14:paraId="6978BC6A" w14:textId="77777777" w:rsidR="00240C78" w:rsidRDefault="00240C78" w:rsidP="000C3C82">
      <w:pPr>
        <w:widowControl w:val="0"/>
        <w:spacing w:before="60" w:after="60"/>
        <w:rPr>
          <w:rFonts w:ascii="Titillium" w:hAnsi="Titillium" w:cs="Calibri"/>
          <w:b/>
          <w:bCs/>
          <w:i/>
          <w:iCs/>
          <w:color w:val="000000" w:themeColor="text1"/>
          <w:sz w:val="18"/>
          <w:szCs w:val="18"/>
        </w:rPr>
      </w:pPr>
    </w:p>
    <w:p w14:paraId="490B75E6" w14:textId="5588502D" w:rsidR="006842EE" w:rsidRDefault="00A4005D" w:rsidP="000C3C82">
      <w:pPr>
        <w:widowControl w:val="0"/>
        <w:spacing w:before="60" w:after="60"/>
        <w:rPr>
          <w:rFonts w:ascii="Titillium" w:hAnsi="Titillium" w:cs="Calibri"/>
          <w:color w:val="0070C0"/>
          <w:sz w:val="18"/>
          <w:szCs w:val="18"/>
        </w:rPr>
      </w:pPr>
      <w:r w:rsidRPr="00C60EA2">
        <w:rPr>
          <w:rFonts w:ascii="Titillium" w:hAnsi="Titillium" w:cs="Calibri"/>
          <w:b/>
          <w:bCs/>
          <w:i/>
          <w:iCs/>
          <w:color w:val="000000" w:themeColor="text1"/>
          <w:sz w:val="18"/>
          <w:szCs w:val="18"/>
        </w:rPr>
        <w:t>[</w:t>
      </w:r>
      <w:r w:rsidR="00601E24" w:rsidRPr="00C60EA2">
        <w:rPr>
          <w:rFonts w:ascii="Titillium" w:hAnsi="Titillium" w:cs="Calibri"/>
          <w:b/>
          <w:bCs/>
          <w:i/>
          <w:iCs/>
          <w:color w:val="000000" w:themeColor="text1"/>
          <w:sz w:val="18"/>
          <w:szCs w:val="18"/>
        </w:rPr>
        <w:t>P</w:t>
      </w:r>
      <w:r w:rsidR="00601E24" w:rsidRPr="00821039">
        <w:rPr>
          <w:rFonts w:ascii="Titillium" w:hAnsi="Titillium" w:cs="Calibri"/>
          <w:b/>
          <w:bCs/>
          <w:i/>
          <w:iCs/>
          <w:color w:val="000000" w:themeColor="text1"/>
          <w:sz w:val="18"/>
          <w:szCs w:val="18"/>
        </w:rPr>
        <w:t>er</w:t>
      </w:r>
      <w:r w:rsidR="00601E24" w:rsidRPr="00821039">
        <w:rPr>
          <w:rFonts w:ascii="Titillium" w:hAnsi="Titillium" w:cs="Calibri"/>
          <w:i/>
          <w:iCs/>
          <w:color w:val="000000" w:themeColor="text1"/>
          <w:sz w:val="18"/>
          <w:szCs w:val="18"/>
        </w:rPr>
        <w:t xml:space="preserve"> </w:t>
      </w:r>
      <w:r w:rsidRPr="00821039">
        <w:rPr>
          <w:rFonts w:ascii="Titillium" w:hAnsi="Titillium" w:cs="Calibri"/>
          <w:b/>
          <w:bCs/>
          <w:i/>
          <w:iCs/>
          <w:color w:val="000000" w:themeColor="text1"/>
          <w:sz w:val="18"/>
          <w:szCs w:val="18"/>
        </w:rPr>
        <w:t>le procedure di affidamento della progettazione con stima del costo presunto dei lavori di importo superiore a 2 milioni di euro,</w:t>
      </w:r>
      <w:r w:rsidRPr="00821039">
        <w:rPr>
          <w:rFonts w:ascii="Titillium" w:hAnsi="Titillium" w:cs="Calibri"/>
          <w:i/>
          <w:iCs/>
          <w:color w:val="000000" w:themeColor="text1"/>
          <w:sz w:val="18"/>
          <w:szCs w:val="18"/>
        </w:rPr>
        <w:t xml:space="preserve"> </w:t>
      </w:r>
      <w:r w:rsidRPr="00821039">
        <w:rPr>
          <w:rFonts w:ascii="Titillium" w:hAnsi="Titillium" w:cs="Calibri"/>
          <w:b/>
          <w:bCs/>
          <w:i/>
          <w:iCs/>
          <w:color w:val="000000" w:themeColor="text1"/>
          <w:sz w:val="18"/>
          <w:szCs w:val="18"/>
        </w:rPr>
        <w:t>ovvero alla soglia dell’</w:t>
      </w:r>
      <w:r w:rsidR="00D61BD7" w:rsidRPr="00821039">
        <w:rPr>
          <w:rFonts w:ascii="Titillium" w:hAnsi="Titillium" w:cs="Calibri"/>
          <w:b/>
          <w:bCs/>
          <w:i/>
          <w:iCs/>
          <w:color w:val="000000" w:themeColor="text1"/>
          <w:sz w:val="18"/>
          <w:szCs w:val="18"/>
        </w:rPr>
        <w:t>articolo</w:t>
      </w:r>
      <w:r w:rsidRPr="00821039">
        <w:rPr>
          <w:rFonts w:ascii="Titillium" w:hAnsi="Titillium" w:cs="Calibri"/>
          <w:b/>
          <w:bCs/>
          <w:i/>
          <w:iCs/>
          <w:color w:val="000000" w:themeColor="text1"/>
          <w:sz w:val="18"/>
          <w:szCs w:val="18"/>
        </w:rPr>
        <w:t xml:space="preserve"> 14, comma 1, lettera a) </w:t>
      </w:r>
      <w:r w:rsidR="00D61BD7" w:rsidRPr="00821039">
        <w:rPr>
          <w:rFonts w:ascii="Titillium" w:hAnsi="Titillium" w:cs="Calibri"/>
          <w:b/>
          <w:bCs/>
          <w:i/>
          <w:iCs/>
          <w:color w:val="000000" w:themeColor="text1"/>
          <w:sz w:val="18"/>
          <w:szCs w:val="18"/>
        </w:rPr>
        <w:t xml:space="preserve">del Codice </w:t>
      </w:r>
      <w:r w:rsidRPr="00821039">
        <w:rPr>
          <w:rFonts w:ascii="Titillium" w:hAnsi="Titillium" w:cs="Calibri"/>
          <w:b/>
          <w:bCs/>
          <w:i/>
          <w:iCs/>
          <w:color w:val="000000" w:themeColor="text1"/>
          <w:sz w:val="18"/>
          <w:szCs w:val="18"/>
        </w:rPr>
        <w:t>in caso di interventi su edifici di cui all’</w:t>
      </w:r>
      <w:r w:rsidR="00D61BD7" w:rsidRPr="00821039">
        <w:rPr>
          <w:rFonts w:ascii="Titillium" w:hAnsi="Titillium" w:cs="Calibri"/>
          <w:b/>
          <w:bCs/>
          <w:i/>
          <w:iCs/>
          <w:color w:val="000000" w:themeColor="text1"/>
          <w:sz w:val="18"/>
          <w:szCs w:val="18"/>
        </w:rPr>
        <w:t>articolo</w:t>
      </w:r>
      <w:r w:rsidRPr="00821039">
        <w:rPr>
          <w:rFonts w:ascii="Titillium" w:hAnsi="Titillium" w:cs="Calibri"/>
          <w:b/>
          <w:bCs/>
          <w:i/>
          <w:iCs/>
          <w:color w:val="000000" w:themeColor="text1"/>
          <w:sz w:val="18"/>
          <w:szCs w:val="18"/>
        </w:rPr>
        <w:t xml:space="preserve"> 10, comma 1, del codice dei beni culturali, </w:t>
      </w:r>
      <w:r w:rsidR="000C3C82" w:rsidRPr="00821039">
        <w:rPr>
          <w:rFonts w:ascii="Titillium" w:hAnsi="Titillium" w:cs="Calibri"/>
          <w:b/>
          <w:bCs/>
          <w:i/>
          <w:iCs/>
          <w:color w:val="000000" w:themeColor="text1"/>
          <w:sz w:val="18"/>
          <w:szCs w:val="18"/>
        </w:rPr>
        <w:t>eccettuati gli interventi di ordinaria e straordinaria manutenzione</w:t>
      </w:r>
      <w:r w:rsidR="00821039">
        <w:rPr>
          <w:rFonts w:ascii="Titillium" w:hAnsi="Titillium" w:cs="Calibri"/>
          <w:b/>
          <w:bCs/>
          <w:i/>
          <w:iCs/>
          <w:color w:val="000000" w:themeColor="text1"/>
          <w:sz w:val="18"/>
          <w:szCs w:val="18"/>
        </w:rPr>
        <w:t xml:space="preserve"> (</w:t>
      </w:r>
      <w:r w:rsidR="000C3C82" w:rsidRPr="00821039">
        <w:rPr>
          <w:rFonts w:ascii="Titillium" w:hAnsi="Titillium" w:cs="Calibri"/>
          <w:b/>
          <w:bCs/>
          <w:i/>
          <w:iCs/>
          <w:color w:val="000000" w:themeColor="text1"/>
          <w:sz w:val="18"/>
          <w:szCs w:val="18"/>
        </w:rPr>
        <w:t xml:space="preserve"> a meno che essi non riguardino opere precedentemente eseguite con l’adozione d</w:t>
      </w:r>
      <w:r w:rsidR="00E828AC">
        <w:rPr>
          <w:rFonts w:ascii="Titillium" w:hAnsi="Titillium" w:cs="Calibri"/>
          <w:b/>
          <w:bCs/>
          <w:i/>
          <w:iCs/>
          <w:color w:val="000000" w:themeColor="text1"/>
          <w:sz w:val="18"/>
          <w:szCs w:val="18"/>
        </w:rPr>
        <w:t>i</w:t>
      </w:r>
      <w:r w:rsidR="000C3C82" w:rsidRPr="00821039">
        <w:rPr>
          <w:rFonts w:ascii="Titillium" w:hAnsi="Titillium" w:cs="Calibri"/>
          <w:b/>
          <w:bCs/>
          <w:i/>
          <w:iCs/>
          <w:color w:val="000000" w:themeColor="text1"/>
          <w:sz w:val="18"/>
          <w:szCs w:val="18"/>
        </w:rPr>
        <w:t xml:space="preserve"> metodi e strumenti di gestione informativa digitale</w:t>
      </w:r>
      <w:r w:rsidR="00E828AC">
        <w:rPr>
          <w:rFonts w:ascii="Titillium" w:hAnsi="Titillium" w:cs="Calibri"/>
          <w:b/>
          <w:bCs/>
          <w:i/>
          <w:iCs/>
          <w:color w:val="000000" w:themeColor="text1"/>
          <w:sz w:val="18"/>
          <w:szCs w:val="18"/>
        </w:rPr>
        <w:t xml:space="preserve"> delle costruzioni</w:t>
      </w:r>
      <w:r w:rsidR="00F90695">
        <w:rPr>
          <w:rFonts w:ascii="Titillium" w:hAnsi="Titillium" w:cs="Calibri"/>
          <w:b/>
          <w:bCs/>
          <w:i/>
          <w:iCs/>
          <w:color w:val="000000" w:themeColor="text1"/>
          <w:sz w:val="18"/>
          <w:szCs w:val="18"/>
        </w:rPr>
        <w:t>)</w:t>
      </w:r>
      <w:r w:rsidR="00601E24" w:rsidRPr="00821039">
        <w:rPr>
          <w:rFonts w:ascii="Titillium" w:hAnsi="Titillium" w:cs="Calibri"/>
          <w:b/>
          <w:bCs/>
          <w:i/>
          <w:iCs/>
          <w:color w:val="000000" w:themeColor="text1"/>
          <w:sz w:val="18"/>
          <w:szCs w:val="18"/>
        </w:rPr>
        <w:t xml:space="preserve"> </w:t>
      </w:r>
      <w:r w:rsidR="000C3C82" w:rsidRPr="00821039">
        <w:rPr>
          <w:rFonts w:ascii="Titillium" w:hAnsi="Titillium" w:cs="Calibri"/>
          <w:b/>
          <w:bCs/>
          <w:i/>
          <w:iCs/>
          <w:color w:val="000000" w:themeColor="text1"/>
          <w:sz w:val="18"/>
          <w:szCs w:val="18"/>
        </w:rPr>
        <w:t>e</w:t>
      </w:r>
      <w:r w:rsidR="00C60EA2">
        <w:rPr>
          <w:rFonts w:ascii="Titillium" w:hAnsi="Titillium" w:cs="Calibri"/>
          <w:b/>
          <w:bCs/>
          <w:i/>
          <w:iCs/>
          <w:color w:val="000000" w:themeColor="text1"/>
          <w:sz w:val="18"/>
          <w:szCs w:val="18"/>
        </w:rPr>
        <w:t xml:space="preserve">d anche  </w:t>
      </w:r>
      <w:r w:rsidR="000C3C82" w:rsidRPr="00821039">
        <w:rPr>
          <w:rFonts w:ascii="Titillium" w:hAnsi="Titillium" w:cs="Calibri"/>
          <w:b/>
          <w:bCs/>
          <w:i/>
          <w:iCs/>
          <w:color w:val="000000" w:themeColor="text1"/>
          <w:sz w:val="18"/>
          <w:szCs w:val="18"/>
        </w:rPr>
        <w:t xml:space="preserve"> </w:t>
      </w:r>
      <w:r w:rsidR="00FE686D" w:rsidRPr="00821039">
        <w:rPr>
          <w:rFonts w:ascii="Titillium" w:hAnsi="Titillium" w:cs="Calibri"/>
          <w:b/>
          <w:bCs/>
          <w:i/>
          <w:iCs/>
          <w:color w:val="000000" w:themeColor="text1"/>
          <w:sz w:val="18"/>
          <w:szCs w:val="18"/>
        </w:rPr>
        <w:t>per le</w:t>
      </w:r>
      <w:r w:rsidR="00C60EA2">
        <w:rPr>
          <w:rFonts w:ascii="Titillium" w:hAnsi="Titillium" w:cs="Calibri"/>
          <w:b/>
          <w:bCs/>
          <w:i/>
          <w:iCs/>
          <w:color w:val="000000" w:themeColor="text1"/>
          <w:sz w:val="18"/>
          <w:szCs w:val="18"/>
        </w:rPr>
        <w:t xml:space="preserve"> restanti</w:t>
      </w:r>
      <w:r w:rsidR="00FE686D" w:rsidRPr="00821039">
        <w:rPr>
          <w:rFonts w:ascii="Titillium" w:hAnsi="Titillium" w:cs="Calibri"/>
          <w:b/>
          <w:bCs/>
          <w:i/>
          <w:iCs/>
          <w:color w:val="000000" w:themeColor="text1"/>
          <w:sz w:val="18"/>
          <w:szCs w:val="18"/>
        </w:rPr>
        <w:t xml:space="preserve"> procedure di affidamento della progettazione</w:t>
      </w:r>
      <w:r w:rsidR="00601E24" w:rsidRPr="00821039">
        <w:rPr>
          <w:rFonts w:ascii="Titillium" w:hAnsi="Titillium" w:cs="Calibri"/>
          <w:color w:val="000000" w:themeColor="text1"/>
          <w:sz w:val="18"/>
          <w:szCs w:val="18"/>
        </w:rPr>
        <w:t xml:space="preserve"> </w:t>
      </w:r>
      <w:r w:rsidR="00601E24" w:rsidRPr="00821039">
        <w:rPr>
          <w:rFonts w:ascii="Titillium" w:hAnsi="Titillium" w:cs="Calibri"/>
          <w:b/>
          <w:bCs/>
          <w:i/>
          <w:iCs/>
          <w:color w:val="000000" w:themeColor="text1"/>
          <w:sz w:val="18"/>
          <w:szCs w:val="18"/>
        </w:rPr>
        <w:t xml:space="preserve">nel caso in cui si </w:t>
      </w:r>
      <w:r w:rsidR="00E828AC">
        <w:rPr>
          <w:rFonts w:ascii="Titillium" w:hAnsi="Titillium" w:cs="Calibri"/>
          <w:b/>
          <w:bCs/>
          <w:i/>
          <w:iCs/>
          <w:color w:val="000000" w:themeColor="text1"/>
          <w:sz w:val="18"/>
          <w:szCs w:val="18"/>
        </w:rPr>
        <w:t xml:space="preserve">preveda </w:t>
      </w:r>
      <w:r w:rsidR="000C3C82" w:rsidRPr="00821039">
        <w:rPr>
          <w:rFonts w:ascii="Titillium" w:hAnsi="Titillium" w:cs="Calibri"/>
          <w:b/>
          <w:bCs/>
          <w:i/>
          <w:iCs/>
          <w:color w:val="000000" w:themeColor="text1"/>
          <w:sz w:val="18"/>
          <w:szCs w:val="18"/>
        </w:rPr>
        <w:t xml:space="preserve"> </w:t>
      </w:r>
      <w:r w:rsidR="00601E24" w:rsidRPr="00821039">
        <w:rPr>
          <w:rFonts w:ascii="Titillium" w:hAnsi="Titillium" w:cs="Calibri"/>
          <w:b/>
          <w:bCs/>
          <w:i/>
          <w:iCs/>
          <w:color w:val="000000" w:themeColor="text1"/>
          <w:sz w:val="18"/>
          <w:szCs w:val="18"/>
        </w:rPr>
        <w:t>l</w:t>
      </w:r>
      <w:r w:rsidR="00075257">
        <w:rPr>
          <w:rFonts w:ascii="Titillium" w:hAnsi="Titillium" w:cs="Calibri"/>
          <w:b/>
          <w:bCs/>
          <w:i/>
          <w:iCs/>
          <w:color w:val="000000" w:themeColor="text1"/>
          <w:sz w:val="18"/>
          <w:szCs w:val="18"/>
        </w:rPr>
        <w:t xml:space="preserve">a necessaria </w:t>
      </w:r>
      <w:r w:rsidR="00821039">
        <w:rPr>
          <w:rFonts w:ascii="Titillium" w:hAnsi="Titillium" w:cs="Calibri"/>
          <w:b/>
          <w:bCs/>
          <w:i/>
          <w:iCs/>
          <w:color w:val="000000" w:themeColor="text1"/>
          <w:sz w:val="18"/>
          <w:szCs w:val="18"/>
        </w:rPr>
        <w:t xml:space="preserve"> adozione d</w:t>
      </w:r>
      <w:r w:rsidR="00E828AC">
        <w:rPr>
          <w:rFonts w:ascii="Titillium" w:hAnsi="Titillium" w:cs="Calibri"/>
          <w:b/>
          <w:bCs/>
          <w:i/>
          <w:iCs/>
          <w:color w:val="000000" w:themeColor="text1"/>
          <w:sz w:val="18"/>
          <w:szCs w:val="18"/>
        </w:rPr>
        <w:t xml:space="preserve">i </w:t>
      </w:r>
      <w:r w:rsidR="00821039" w:rsidRPr="00821039">
        <w:rPr>
          <w:rFonts w:ascii="Titillium" w:hAnsi="Titillium" w:cs="Calibri"/>
          <w:b/>
          <w:bCs/>
          <w:i/>
          <w:iCs/>
          <w:color w:val="000000" w:themeColor="text1"/>
          <w:sz w:val="18"/>
          <w:szCs w:val="18"/>
        </w:rPr>
        <w:t>metodi e strumenti di gestione informativa digitale</w:t>
      </w:r>
      <w:r w:rsidR="00E828AC">
        <w:rPr>
          <w:rFonts w:ascii="Titillium" w:hAnsi="Titillium" w:cs="Calibri"/>
          <w:b/>
          <w:bCs/>
          <w:i/>
          <w:iCs/>
          <w:color w:val="000000" w:themeColor="text1"/>
          <w:sz w:val="18"/>
          <w:szCs w:val="18"/>
        </w:rPr>
        <w:t xml:space="preserve"> delle costruzioni</w:t>
      </w:r>
      <w:r w:rsidR="00601E24" w:rsidRPr="00821039">
        <w:rPr>
          <w:rFonts w:ascii="Titillium" w:hAnsi="Titillium" w:cs="Calibri"/>
          <w:b/>
          <w:bCs/>
          <w:i/>
          <w:iCs/>
          <w:color w:val="000000" w:themeColor="text1"/>
          <w:sz w:val="18"/>
          <w:szCs w:val="18"/>
        </w:rPr>
        <w:t>]</w:t>
      </w:r>
      <w:r w:rsidRPr="00821039">
        <w:rPr>
          <w:rFonts w:ascii="Titillium" w:hAnsi="Titillium" w:cs="Calibri"/>
          <w:color w:val="000000" w:themeColor="text1"/>
          <w:sz w:val="18"/>
          <w:szCs w:val="18"/>
        </w:rPr>
        <w:t xml:space="preserve">: </w:t>
      </w:r>
      <w:r w:rsidR="00240C78">
        <w:rPr>
          <w:rFonts w:ascii="Titillium" w:hAnsi="Titillium" w:cs="Calibri"/>
          <w:color w:val="000000" w:themeColor="text1"/>
          <w:sz w:val="18"/>
          <w:szCs w:val="18"/>
        </w:rPr>
        <w:t xml:space="preserve"> </w:t>
      </w:r>
      <w:r w:rsidRPr="00347AD3">
        <w:rPr>
          <w:rFonts w:ascii="Titillium" w:hAnsi="Titillium" w:cs="Calibri"/>
          <w:color w:val="000000" w:themeColor="text1"/>
          <w:sz w:val="18"/>
          <w:szCs w:val="18"/>
        </w:rPr>
        <w:t>I servizi oggetto della presente procedura dovranno essere svolti mediante utilizzo di metodi e strumenti di gestione informativa digitale delle costruzioni</w:t>
      </w:r>
      <w:r w:rsidR="00347AD3">
        <w:rPr>
          <w:rFonts w:ascii="Titillium" w:hAnsi="Titillium" w:cs="Calibri"/>
          <w:color w:val="000000" w:themeColor="text1"/>
          <w:sz w:val="18"/>
          <w:szCs w:val="18"/>
        </w:rPr>
        <w:t>.</w:t>
      </w:r>
    </w:p>
    <w:p w14:paraId="734BF72D" w14:textId="77777777" w:rsidR="00D61BD7" w:rsidRPr="00A4005D" w:rsidRDefault="00D61BD7" w:rsidP="000C3C82">
      <w:pPr>
        <w:widowControl w:val="0"/>
        <w:spacing w:before="60" w:after="60"/>
        <w:rPr>
          <w:rFonts w:ascii="Titillium" w:hAnsi="Titillium" w:cs="Calibri"/>
          <w:color w:val="0070C0"/>
          <w:sz w:val="18"/>
          <w:szCs w:val="18"/>
        </w:rPr>
      </w:pPr>
    </w:p>
    <w:tbl>
      <w:tblPr>
        <w:tblStyle w:val="Grigliatabella"/>
        <w:tblW w:w="9214" w:type="dxa"/>
        <w:tblLayout w:type="fixed"/>
        <w:tblLook w:val="04A0" w:firstRow="1" w:lastRow="0" w:firstColumn="1" w:lastColumn="0" w:noHBand="0" w:noVBand="1"/>
      </w:tblPr>
      <w:tblGrid>
        <w:gridCol w:w="9214"/>
      </w:tblGrid>
      <w:tr w:rsidR="006842EE" w:rsidRPr="00DD67E4" w14:paraId="2F651B27" w14:textId="77777777">
        <w:tc>
          <w:tcPr>
            <w:tcW w:w="9214" w:type="dxa"/>
          </w:tcPr>
          <w:p w14:paraId="3866FB29" w14:textId="4EE1BA6E" w:rsidR="000257E1" w:rsidRPr="00F90695" w:rsidRDefault="00F3797B">
            <w:pPr>
              <w:widowControl w:val="0"/>
              <w:spacing w:before="60" w:after="60"/>
              <w:rPr>
                <w:rFonts w:ascii="Titillium" w:hAnsi="Titillium" w:cs="Calibri"/>
                <w:bCs/>
                <w:i/>
                <w:iCs/>
                <w:color w:val="000000" w:themeColor="text1"/>
                <w:sz w:val="18"/>
                <w:szCs w:val="18"/>
              </w:rPr>
            </w:pPr>
            <w:r w:rsidRPr="00234FBB">
              <w:rPr>
                <w:rFonts w:ascii="Titillium" w:hAnsi="Titillium" w:cs="Calibri"/>
                <w:bCs/>
                <w:i/>
                <w:iCs/>
                <w:color w:val="000000" w:themeColor="text1"/>
                <w:sz w:val="18"/>
                <w:szCs w:val="18"/>
              </w:rPr>
              <w:t xml:space="preserve">N.B. </w:t>
            </w:r>
            <w:r w:rsidRPr="00F90695">
              <w:rPr>
                <w:rFonts w:ascii="Titillium" w:hAnsi="Titillium" w:cs="Calibri"/>
                <w:bCs/>
                <w:i/>
                <w:iCs/>
                <w:color w:val="000000" w:themeColor="text1"/>
                <w:sz w:val="18"/>
                <w:szCs w:val="18"/>
              </w:rPr>
              <w:t xml:space="preserve">Ai </w:t>
            </w:r>
            <w:r w:rsidR="000257E1" w:rsidRPr="00F90695">
              <w:rPr>
                <w:rFonts w:ascii="Titillium" w:hAnsi="Titillium" w:cs="Calibri"/>
                <w:bCs/>
                <w:i/>
                <w:iCs/>
                <w:color w:val="000000" w:themeColor="text1"/>
                <w:sz w:val="18"/>
                <w:szCs w:val="18"/>
              </w:rPr>
              <w:t>sensi di quanto previsto dall’</w:t>
            </w:r>
            <w:r w:rsidR="00D61BD7" w:rsidRPr="00F90695">
              <w:rPr>
                <w:rFonts w:ascii="Titillium" w:hAnsi="Titillium" w:cs="Calibri"/>
                <w:bCs/>
                <w:i/>
                <w:iCs/>
                <w:color w:val="000000" w:themeColor="text1"/>
                <w:sz w:val="18"/>
                <w:szCs w:val="18"/>
              </w:rPr>
              <w:t>articolo</w:t>
            </w:r>
            <w:r w:rsidR="000257E1" w:rsidRPr="00F90695">
              <w:rPr>
                <w:rFonts w:ascii="Titillium" w:hAnsi="Titillium" w:cs="Calibri"/>
                <w:bCs/>
                <w:i/>
                <w:iCs/>
                <w:color w:val="000000" w:themeColor="text1"/>
                <w:sz w:val="18"/>
                <w:szCs w:val="18"/>
              </w:rPr>
              <w:t xml:space="preserve"> 225 bis comma 2</w:t>
            </w:r>
            <w:r w:rsidR="00D61BD7" w:rsidRPr="00F90695">
              <w:rPr>
                <w:rFonts w:ascii="Titillium" w:hAnsi="Titillium" w:cs="Calibri"/>
                <w:bCs/>
                <w:i/>
                <w:iCs/>
                <w:color w:val="000000" w:themeColor="text1"/>
                <w:sz w:val="18"/>
                <w:szCs w:val="18"/>
              </w:rPr>
              <w:t xml:space="preserve"> del Codice</w:t>
            </w:r>
            <w:r w:rsidR="000257E1" w:rsidRPr="00F90695">
              <w:rPr>
                <w:rFonts w:ascii="Titillium" w:hAnsi="Titillium" w:cs="Calibri"/>
                <w:bCs/>
                <w:i/>
                <w:iCs/>
                <w:color w:val="000000" w:themeColor="text1"/>
                <w:sz w:val="18"/>
                <w:szCs w:val="18"/>
              </w:rPr>
              <w:t xml:space="preserve"> le disposizioni di cui al</w:t>
            </w:r>
            <w:r w:rsidRPr="00F90695">
              <w:rPr>
                <w:rFonts w:ascii="Titillium" w:hAnsi="Titillium" w:cs="Calibri"/>
                <w:bCs/>
                <w:i/>
                <w:iCs/>
                <w:color w:val="000000" w:themeColor="text1"/>
                <w:sz w:val="18"/>
                <w:szCs w:val="18"/>
              </w:rPr>
              <w:t>l’</w:t>
            </w:r>
            <w:r w:rsidR="00D61BD7" w:rsidRPr="00F90695">
              <w:rPr>
                <w:rFonts w:ascii="Titillium" w:hAnsi="Titillium" w:cs="Calibri"/>
                <w:bCs/>
                <w:i/>
                <w:iCs/>
                <w:color w:val="000000" w:themeColor="text1"/>
                <w:sz w:val="18"/>
                <w:szCs w:val="18"/>
              </w:rPr>
              <w:t>articolo</w:t>
            </w:r>
            <w:r w:rsidRPr="00F90695">
              <w:rPr>
                <w:rFonts w:ascii="Titillium" w:hAnsi="Titillium" w:cs="Calibri"/>
                <w:bCs/>
                <w:i/>
                <w:iCs/>
                <w:color w:val="000000" w:themeColor="text1"/>
                <w:sz w:val="18"/>
                <w:szCs w:val="18"/>
              </w:rPr>
              <w:t xml:space="preserve"> 43 </w:t>
            </w:r>
            <w:r w:rsidR="00234FBB" w:rsidRPr="00F90695">
              <w:rPr>
                <w:rFonts w:ascii="Titillium" w:hAnsi="Titillium" w:cs="Calibri"/>
                <w:bCs/>
                <w:i/>
                <w:iCs/>
                <w:color w:val="000000" w:themeColor="text1"/>
                <w:sz w:val="18"/>
                <w:szCs w:val="18"/>
              </w:rPr>
              <w:t>concernenti l’</w:t>
            </w:r>
            <w:r w:rsidRPr="00F90695">
              <w:rPr>
                <w:rFonts w:ascii="Titillium" w:hAnsi="Titillium" w:cs="Calibri"/>
                <w:bCs/>
                <w:i/>
                <w:iCs/>
                <w:color w:val="000000" w:themeColor="text1"/>
                <w:sz w:val="18"/>
                <w:szCs w:val="18"/>
              </w:rPr>
              <w:t xml:space="preserve">adozione dei metodi e strumenti di gestione informativa digitale delle costruzioni non si applicano ai procedimenti di programmazione superiori alle soglie di cui all'articolo 14 già avviati alla data di entrata in vigore del correttivo  per i quali è stato redatto il documento di fattibilità delle alternative progettuali ai sensi dell'articolo 2, comma 5, dell'allegato I.7.del </w:t>
            </w:r>
            <w:r w:rsidR="00D61BD7" w:rsidRPr="00F90695">
              <w:rPr>
                <w:rFonts w:ascii="Titillium" w:hAnsi="Titillium" w:cs="Calibri"/>
                <w:bCs/>
                <w:i/>
                <w:iCs/>
                <w:color w:val="000000" w:themeColor="text1"/>
                <w:sz w:val="18"/>
                <w:szCs w:val="18"/>
              </w:rPr>
              <w:t>Codice</w:t>
            </w:r>
            <w:r w:rsidR="00C47D4A" w:rsidRPr="00F90695">
              <w:rPr>
                <w:rFonts w:ascii="Titillium" w:hAnsi="Titillium" w:cs="Calibri"/>
                <w:bCs/>
                <w:i/>
                <w:iCs/>
                <w:color w:val="000000" w:themeColor="text1"/>
                <w:sz w:val="18"/>
                <w:szCs w:val="18"/>
              </w:rPr>
              <w:t>.</w:t>
            </w:r>
            <w:r w:rsidR="000257E1" w:rsidRPr="00F90695">
              <w:rPr>
                <w:rFonts w:ascii="Titillium" w:hAnsi="Titillium" w:cs="Calibri"/>
                <w:bCs/>
                <w:i/>
                <w:iCs/>
                <w:color w:val="000000" w:themeColor="text1"/>
                <w:sz w:val="18"/>
                <w:szCs w:val="18"/>
              </w:rPr>
              <w:t xml:space="preserve">   </w:t>
            </w:r>
          </w:p>
          <w:p w14:paraId="1299BFF0" w14:textId="14797CC7" w:rsidR="00CD6082" w:rsidRPr="0025550F" w:rsidRDefault="002C39A3" w:rsidP="0010265C">
            <w:pPr>
              <w:widowControl w:val="0"/>
              <w:spacing w:before="60" w:after="60"/>
              <w:rPr>
                <w:rFonts w:ascii="Titillium" w:hAnsi="Titillium" w:cs="Calibri"/>
                <w:bCs/>
                <w:i/>
                <w:iCs/>
                <w:color w:val="000000" w:themeColor="text1"/>
                <w:sz w:val="18"/>
                <w:szCs w:val="18"/>
              </w:rPr>
            </w:pPr>
            <w:r w:rsidRPr="001D07F1">
              <w:rPr>
                <w:rFonts w:ascii="Titillium" w:hAnsi="Titillium" w:cs="Calibri"/>
                <w:bCs/>
                <w:i/>
                <w:iCs/>
                <w:color w:val="000000" w:themeColor="text1"/>
                <w:sz w:val="18"/>
                <w:szCs w:val="18"/>
              </w:rPr>
              <w:t>Fuori dei casi di adozione “obbligatoria” di cui al comma 1, a</w:t>
            </w:r>
            <w:r w:rsidR="000C3C82" w:rsidRPr="001D07F1">
              <w:rPr>
                <w:rFonts w:ascii="Titillium" w:hAnsi="Titillium" w:cs="Calibri"/>
                <w:bCs/>
                <w:i/>
                <w:iCs/>
                <w:color w:val="000000" w:themeColor="text1"/>
                <w:sz w:val="18"/>
                <w:szCs w:val="18"/>
              </w:rPr>
              <w:t>i</w:t>
            </w:r>
            <w:r w:rsidR="000C3C82" w:rsidRPr="00E828AC">
              <w:rPr>
                <w:rFonts w:ascii="Titillium" w:hAnsi="Titillium" w:cs="Calibri"/>
                <w:bCs/>
                <w:i/>
                <w:iCs/>
                <w:color w:val="000000" w:themeColor="text1"/>
                <w:sz w:val="18"/>
                <w:szCs w:val="18"/>
              </w:rPr>
              <w:t xml:space="preserve"> sensi di quanto previsto dal</w:t>
            </w:r>
            <w:r w:rsidR="00045624" w:rsidRPr="00E828AC">
              <w:rPr>
                <w:rFonts w:ascii="Titillium" w:hAnsi="Titillium" w:cs="Calibri"/>
                <w:bCs/>
                <w:i/>
                <w:iCs/>
                <w:color w:val="000000" w:themeColor="text1"/>
                <w:sz w:val="18"/>
                <w:szCs w:val="18"/>
              </w:rPr>
              <w:t xml:space="preserve"> comma 2 dell’</w:t>
            </w:r>
            <w:r w:rsidR="00D61BD7" w:rsidRPr="00E828AC">
              <w:rPr>
                <w:rFonts w:ascii="Titillium" w:hAnsi="Titillium" w:cs="Calibri"/>
                <w:bCs/>
                <w:i/>
                <w:iCs/>
                <w:color w:val="000000" w:themeColor="text1"/>
                <w:sz w:val="18"/>
                <w:szCs w:val="18"/>
              </w:rPr>
              <w:t>articolo</w:t>
            </w:r>
            <w:r w:rsidR="00045624" w:rsidRPr="00E828AC">
              <w:rPr>
                <w:rFonts w:ascii="Titillium" w:hAnsi="Titillium" w:cs="Calibri"/>
                <w:bCs/>
                <w:i/>
                <w:iCs/>
                <w:color w:val="000000" w:themeColor="text1"/>
                <w:sz w:val="18"/>
                <w:szCs w:val="18"/>
              </w:rPr>
              <w:t xml:space="preserve"> 43 </w:t>
            </w:r>
            <w:r w:rsidR="00D61BD7" w:rsidRPr="00E828AC">
              <w:rPr>
                <w:rFonts w:ascii="Titillium" w:hAnsi="Titillium" w:cs="Calibri"/>
                <w:bCs/>
                <w:i/>
                <w:iCs/>
                <w:color w:val="000000" w:themeColor="text1"/>
                <w:sz w:val="18"/>
                <w:szCs w:val="18"/>
              </w:rPr>
              <w:t>del Codice,</w:t>
            </w:r>
            <w:r w:rsidR="00045624" w:rsidRPr="00E828AC">
              <w:rPr>
                <w:rFonts w:ascii="Titillium" w:hAnsi="Titillium" w:cs="Calibri"/>
                <w:bCs/>
                <w:i/>
                <w:iCs/>
                <w:color w:val="000000" w:themeColor="text1"/>
                <w:sz w:val="18"/>
                <w:szCs w:val="18"/>
              </w:rPr>
              <w:t xml:space="preserve"> </w:t>
            </w:r>
            <w:r w:rsidR="00045624" w:rsidRPr="00A8166A">
              <w:rPr>
                <w:rFonts w:ascii="Titillium" w:hAnsi="Titillium" w:cs="Calibri"/>
                <w:bCs/>
                <w:i/>
                <w:iCs/>
                <w:color w:val="000000" w:themeColor="text1"/>
                <w:sz w:val="18"/>
                <w:szCs w:val="18"/>
              </w:rPr>
              <w:t>l’</w:t>
            </w:r>
            <w:r>
              <w:rPr>
                <w:rFonts w:ascii="Titillium" w:hAnsi="Titillium" w:cs="Calibri"/>
                <w:bCs/>
                <w:i/>
                <w:iCs/>
                <w:color w:val="000000" w:themeColor="text1"/>
                <w:sz w:val="18"/>
                <w:szCs w:val="18"/>
              </w:rPr>
              <w:t xml:space="preserve">eventuale </w:t>
            </w:r>
            <w:r w:rsidR="00045624" w:rsidRPr="00A8166A">
              <w:rPr>
                <w:rFonts w:ascii="Titillium" w:hAnsi="Titillium" w:cs="Calibri"/>
                <w:bCs/>
                <w:i/>
                <w:iCs/>
                <w:color w:val="000000" w:themeColor="text1"/>
                <w:sz w:val="18"/>
                <w:szCs w:val="18"/>
              </w:rPr>
              <w:t xml:space="preserve">adozione </w:t>
            </w:r>
            <w:r w:rsidR="00045624" w:rsidRPr="00E828AC">
              <w:rPr>
                <w:rFonts w:ascii="Titillium" w:hAnsi="Titillium" w:cs="Calibri"/>
                <w:bCs/>
                <w:i/>
                <w:iCs/>
                <w:color w:val="000000" w:themeColor="text1"/>
                <w:sz w:val="18"/>
                <w:szCs w:val="18"/>
              </w:rPr>
              <w:t>dei metodi e strumenti di gestione</w:t>
            </w:r>
            <w:r w:rsidR="00075257">
              <w:rPr>
                <w:rFonts w:ascii="Titillium" w:hAnsi="Titillium" w:cs="Calibri"/>
                <w:bCs/>
                <w:i/>
                <w:iCs/>
                <w:color w:val="000000" w:themeColor="text1"/>
                <w:sz w:val="18"/>
                <w:szCs w:val="18"/>
              </w:rPr>
              <w:t xml:space="preserve"> informativa</w:t>
            </w:r>
            <w:r w:rsidR="00045624" w:rsidRPr="00E828AC">
              <w:rPr>
                <w:rFonts w:ascii="Titillium" w:hAnsi="Titillium" w:cs="Calibri"/>
                <w:bCs/>
                <w:i/>
                <w:iCs/>
                <w:color w:val="000000" w:themeColor="text1"/>
                <w:sz w:val="18"/>
                <w:szCs w:val="18"/>
              </w:rPr>
              <w:t xml:space="preserve"> digitale delle costruzioni, da prevedersi nella documentazione di gara</w:t>
            </w:r>
            <w:r w:rsidR="001D07F1">
              <w:rPr>
                <w:rFonts w:ascii="Titillium" w:hAnsi="Titillium" w:cs="Calibri"/>
                <w:bCs/>
                <w:i/>
                <w:iCs/>
                <w:color w:val="000000" w:themeColor="text1"/>
                <w:sz w:val="18"/>
                <w:szCs w:val="18"/>
              </w:rPr>
              <w:t>,</w:t>
            </w:r>
            <w:r w:rsidR="000C3C82" w:rsidRPr="00E828AC">
              <w:rPr>
                <w:rFonts w:ascii="Titillium" w:hAnsi="Titillium" w:cs="Calibri"/>
                <w:bCs/>
                <w:i/>
                <w:iCs/>
                <w:color w:val="000000" w:themeColor="text1"/>
                <w:sz w:val="18"/>
                <w:szCs w:val="18"/>
              </w:rPr>
              <w:t xml:space="preserve"> è subordinata</w:t>
            </w:r>
            <w:r w:rsidR="00045624" w:rsidRPr="00E828AC">
              <w:rPr>
                <w:rFonts w:ascii="Titillium" w:hAnsi="Titillium" w:cs="Calibri"/>
                <w:bCs/>
                <w:i/>
                <w:iCs/>
                <w:color w:val="000000" w:themeColor="text1"/>
                <w:sz w:val="18"/>
                <w:szCs w:val="18"/>
              </w:rPr>
              <w:t xml:space="preserve"> alla preventiva adozione da parte della stazione appaltante delle misure stabilite nell’Allegato 1.9</w:t>
            </w:r>
            <w:r w:rsidR="00234FBB" w:rsidRPr="00E828AC">
              <w:rPr>
                <w:rFonts w:ascii="Titillium" w:hAnsi="Titillium" w:cs="Calibri"/>
                <w:bCs/>
                <w:i/>
                <w:iCs/>
                <w:color w:val="000000" w:themeColor="text1"/>
                <w:sz w:val="18"/>
                <w:szCs w:val="18"/>
              </w:rPr>
              <w:t>, al quale si rimanda per lo specifico dettaglio</w:t>
            </w:r>
            <w:r w:rsidR="00045624" w:rsidRPr="00E828AC">
              <w:rPr>
                <w:rFonts w:ascii="Titillium" w:hAnsi="Titillium" w:cs="Calibri"/>
                <w:bCs/>
                <w:i/>
                <w:iCs/>
                <w:color w:val="000000" w:themeColor="text1"/>
                <w:sz w:val="18"/>
                <w:szCs w:val="18"/>
              </w:rPr>
              <w:t xml:space="preserve">.  </w:t>
            </w:r>
          </w:p>
        </w:tc>
      </w:tr>
    </w:tbl>
    <w:p w14:paraId="349B3DAC" w14:textId="639BD639" w:rsidR="006842EE" w:rsidRDefault="008F2625">
      <w:pPr>
        <w:pStyle w:val="Testocommento"/>
        <w:spacing w:before="60" w:after="60"/>
        <w:rPr>
          <w:rFonts w:ascii="Titillium" w:hAnsi="Titillium" w:cs="Calibri"/>
          <w:bCs/>
          <w:iCs/>
          <w:sz w:val="18"/>
          <w:szCs w:val="18"/>
          <w:lang w:val="it-IT" w:eastAsia="it-IT"/>
        </w:rPr>
      </w:pPr>
      <w:r>
        <w:rPr>
          <w:rFonts w:ascii="Titillium" w:hAnsi="Titillium" w:cs="Calibri"/>
          <w:bCs/>
          <w:iCs/>
          <w:sz w:val="18"/>
          <w:szCs w:val="18"/>
          <w:lang w:val="it-IT" w:eastAsia="it-IT"/>
        </w:rPr>
        <w:t xml:space="preserve">La presente procedura aperta è interamente svolta tramite </w:t>
      </w:r>
      <w:r w:rsidRPr="00234FBB">
        <w:rPr>
          <w:rFonts w:ascii="Titillium" w:hAnsi="Titillium" w:cs="Calibri"/>
          <w:bCs/>
          <w:iCs/>
          <w:color w:val="000000" w:themeColor="text1"/>
          <w:sz w:val="18"/>
          <w:szCs w:val="18"/>
          <w:lang w:val="it-IT" w:eastAsia="it-IT"/>
        </w:rPr>
        <w:t xml:space="preserve">la </w:t>
      </w:r>
      <w:r w:rsidR="00115B08" w:rsidRPr="00234FBB">
        <w:rPr>
          <w:rFonts w:ascii="Titillium" w:hAnsi="Titillium" w:cs="Calibri"/>
          <w:bCs/>
          <w:iCs/>
          <w:color w:val="000000" w:themeColor="text1"/>
          <w:sz w:val="18"/>
          <w:szCs w:val="18"/>
          <w:lang w:val="it-IT" w:eastAsia="it-IT"/>
        </w:rPr>
        <w:t xml:space="preserve">PAD </w:t>
      </w:r>
      <w:r>
        <w:rPr>
          <w:rFonts w:ascii="Titillium" w:hAnsi="Titillium" w:cs="Calibri"/>
          <w:bCs/>
          <w:iCs/>
          <w:sz w:val="18"/>
          <w:szCs w:val="18"/>
          <w:lang w:val="it-IT" w:eastAsia="it-IT"/>
        </w:rPr>
        <w:t xml:space="preserve">accessibile all’indirizzo www … </w:t>
      </w:r>
      <w:r>
        <w:rPr>
          <w:rFonts w:ascii="Titillium" w:hAnsi="Titillium" w:cs="Calibri"/>
          <w:bCs/>
          <w:i/>
          <w:iCs/>
          <w:sz w:val="18"/>
          <w:szCs w:val="18"/>
          <w:lang w:val="it-IT" w:eastAsia="it-IT"/>
        </w:rPr>
        <w:t>[</w:t>
      </w:r>
      <w:bookmarkStart w:id="135" w:name="_Hlk197422387"/>
      <w:r w:rsidR="005B1E52">
        <w:rPr>
          <w:rFonts w:ascii="Titillium" w:hAnsi="Titillium" w:cs="Calibri"/>
          <w:bCs/>
          <w:i/>
          <w:iCs/>
          <w:sz w:val="18"/>
          <w:szCs w:val="18"/>
          <w:lang w:val="it-IT" w:eastAsia="it-IT"/>
        </w:rPr>
        <w:t>indicare]</w:t>
      </w:r>
      <w:r>
        <w:rPr>
          <w:rFonts w:ascii="Titillium" w:hAnsi="Titillium" w:cs="Calibri"/>
          <w:bCs/>
          <w:i/>
          <w:iCs/>
          <w:sz w:val="18"/>
          <w:szCs w:val="18"/>
          <w:lang w:val="it-IT" w:eastAsia="it-IT"/>
        </w:rPr>
        <w:t xml:space="preserve"> </w:t>
      </w:r>
    </w:p>
    <w:bookmarkEnd w:id="135"/>
    <w:p w14:paraId="4299B46B" w14:textId="761F7619" w:rsidR="006842EE" w:rsidRPr="0058509C" w:rsidRDefault="008F2625">
      <w:pPr>
        <w:pStyle w:val="Testocommento"/>
        <w:spacing w:before="60" w:after="60"/>
        <w:rPr>
          <w:rFonts w:ascii="Titillium" w:hAnsi="Titillium" w:cs="Calibri"/>
          <w:bCs/>
          <w:iCs/>
          <w:color w:val="0070C0"/>
          <w:sz w:val="18"/>
          <w:szCs w:val="18"/>
          <w:lang w:val="it-IT" w:eastAsia="it-IT"/>
        </w:rPr>
      </w:pPr>
      <w:r>
        <w:rPr>
          <w:rFonts w:ascii="Titillium" w:hAnsi="Titillium" w:cs="Calibri"/>
          <w:bCs/>
          <w:iCs/>
          <w:sz w:val="18"/>
          <w:szCs w:val="18"/>
          <w:lang w:val="it-IT" w:eastAsia="it-IT"/>
        </w:rPr>
        <w:t>L’affidamento avviene mediante procedura aperta con applicazione del criterio dell’offerta economicamente più vantaggiosa individuata sulla base del miglior rapporto qualità prezzo</w:t>
      </w:r>
      <w:r w:rsidR="00514713">
        <w:rPr>
          <w:rFonts w:ascii="Titillium" w:hAnsi="Titillium" w:cs="Calibri"/>
          <w:bCs/>
          <w:iCs/>
          <w:color w:val="0070C0"/>
          <w:sz w:val="18"/>
          <w:szCs w:val="18"/>
          <w:lang w:val="it-IT" w:eastAsia="it-IT"/>
        </w:rPr>
        <w:t>.</w:t>
      </w:r>
      <w:r w:rsidR="0058509C" w:rsidRPr="0058509C">
        <w:rPr>
          <w:rFonts w:ascii="Titillium" w:hAnsi="Titillium" w:cs="Calibri"/>
          <w:bCs/>
          <w:iCs/>
          <w:color w:val="0070C0"/>
          <w:sz w:val="18"/>
          <w:szCs w:val="18"/>
          <w:lang w:val="it-IT" w:eastAsia="it-IT"/>
        </w:rPr>
        <w:t xml:space="preserve"> </w:t>
      </w:r>
    </w:p>
    <w:p w14:paraId="1038D1E6" w14:textId="2A48F780" w:rsidR="00706189" w:rsidRDefault="008F2625" w:rsidP="00F661D1">
      <w:pPr>
        <w:pStyle w:val="Testocommento"/>
        <w:spacing w:before="60" w:after="60"/>
        <w:rPr>
          <w:rFonts w:ascii="Titillium" w:hAnsi="Titillium" w:cs="Calibri"/>
          <w:bCs/>
          <w:i/>
          <w:sz w:val="18"/>
          <w:szCs w:val="18"/>
          <w:lang w:val="it-IT" w:eastAsia="it-IT"/>
        </w:rPr>
      </w:pPr>
      <w:r>
        <w:rPr>
          <w:rFonts w:ascii="Titillium" w:hAnsi="Titillium" w:cs="Calibri"/>
          <w:bCs/>
          <w:iCs/>
          <w:sz w:val="18"/>
          <w:szCs w:val="18"/>
          <w:lang w:val="it-IT" w:eastAsia="it-IT"/>
        </w:rPr>
        <w:t xml:space="preserve">La durata del procedimento </w:t>
      </w:r>
      <w:r w:rsidR="00115B08">
        <w:rPr>
          <w:rFonts w:ascii="Titillium" w:hAnsi="Titillium" w:cs="Calibri"/>
          <w:bCs/>
          <w:iCs/>
          <w:sz w:val="18"/>
          <w:szCs w:val="18"/>
          <w:lang w:val="it-IT" w:eastAsia="it-IT"/>
        </w:rPr>
        <w:t xml:space="preserve">è </w:t>
      </w:r>
      <w:r>
        <w:rPr>
          <w:rFonts w:ascii="Titillium" w:hAnsi="Titillium" w:cs="Calibri"/>
          <w:bCs/>
          <w:iCs/>
          <w:sz w:val="18"/>
          <w:szCs w:val="18"/>
          <w:lang w:val="it-IT" w:eastAsia="it-IT"/>
        </w:rPr>
        <w:t xml:space="preserve">prevista pari a … mesi dalla pubblicazione del </w:t>
      </w:r>
      <w:r w:rsidRPr="003A3530">
        <w:rPr>
          <w:rFonts w:ascii="Titillium" w:hAnsi="Titillium" w:cs="Calibri"/>
          <w:bCs/>
          <w:iCs/>
          <w:sz w:val="18"/>
          <w:szCs w:val="18"/>
          <w:lang w:val="it-IT" w:eastAsia="it-IT"/>
        </w:rPr>
        <w:t xml:space="preserve">bando </w:t>
      </w:r>
      <w:r>
        <w:rPr>
          <w:rFonts w:ascii="Titillium" w:hAnsi="Titillium" w:cs="Calibri"/>
          <w:bCs/>
          <w:i/>
          <w:sz w:val="18"/>
          <w:szCs w:val="18"/>
          <w:lang w:val="it-IT" w:eastAsia="it-IT"/>
        </w:rPr>
        <w:t>[il termine massimo è di 9 mesi, salvo il verificarsi delle ipotesi di proroga previste all’articolo 1, commi 4 e 5, dell’</w:t>
      </w:r>
      <w:r w:rsidR="005B1E52">
        <w:rPr>
          <w:rFonts w:ascii="Titillium" w:hAnsi="Titillium" w:cs="Calibri"/>
          <w:bCs/>
          <w:i/>
          <w:sz w:val="18"/>
          <w:szCs w:val="18"/>
          <w:lang w:val="it-IT" w:eastAsia="it-IT"/>
        </w:rPr>
        <w:t>A</w:t>
      </w:r>
      <w:r>
        <w:rPr>
          <w:rFonts w:ascii="Titillium" w:hAnsi="Titillium" w:cs="Calibri"/>
          <w:bCs/>
          <w:i/>
          <w:sz w:val="18"/>
          <w:szCs w:val="18"/>
          <w:lang w:val="it-IT" w:eastAsia="it-IT"/>
        </w:rPr>
        <w:t xml:space="preserve">llegato </w:t>
      </w:r>
      <w:r w:rsidR="00AC289F">
        <w:rPr>
          <w:rFonts w:ascii="Titillium" w:hAnsi="Titillium" w:cs="Calibri"/>
          <w:bCs/>
          <w:i/>
          <w:sz w:val="18"/>
          <w:szCs w:val="18"/>
          <w:lang w:val="it-IT" w:eastAsia="it-IT"/>
        </w:rPr>
        <w:t>1</w:t>
      </w:r>
      <w:r w:rsidR="001043AD" w:rsidRPr="003A3530">
        <w:rPr>
          <w:rFonts w:ascii="Titillium" w:hAnsi="Titillium" w:cs="Calibri"/>
          <w:bCs/>
          <w:i/>
          <w:sz w:val="18"/>
          <w:szCs w:val="18"/>
          <w:lang w:val="it-IT" w:eastAsia="it-IT"/>
        </w:rPr>
        <w:t>.</w:t>
      </w:r>
      <w:r>
        <w:rPr>
          <w:rFonts w:ascii="Titillium" w:hAnsi="Titillium" w:cs="Calibri"/>
          <w:bCs/>
          <w:i/>
          <w:sz w:val="18"/>
          <w:szCs w:val="18"/>
          <w:lang w:val="it-IT" w:eastAsia="it-IT"/>
        </w:rPr>
        <w:t>3</w:t>
      </w:r>
      <w:r w:rsidR="00C60EA2">
        <w:rPr>
          <w:rFonts w:ascii="Titillium" w:hAnsi="Titillium" w:cs="Calibri"/>
          <w:bCs/>
          <w:i/>
          <w:sz w:val="18"/>
          <w:szCs w:val="18"/>
          <w:lang w:val="it-IT" w:eastAsia="it-IT"/>
        </w:rPr>
        <w:t xml:space="preserve"> del Codice]</w:t>
      </w:r>
      <w:r w:rsidR="00706189">
        <w:rPr>
          <w:rFonts w:ascii="Titillium" w:hAnsi="Titillium" w:cs="Calibri"/>
          <w:bCs/>
          <w:i/>
          <w:sz w:val="18"/>
          <w:szCs w:val="18"/>
          <w:lang w:val="it-IT" w:eastAsia="it-IT"/>
        </w:rPr>
        <w:t>.</w:t>
      </w:r>
    </w:p>
    <w:tbl>
      <w:tblPr>
        <w:tblStyle w:val="Grigliatabella"/>
        <w:tblW w:w="0" w:type="auto"/>
        <w:tblLook w:val="04A0" w:firstRow="1" w:lastRow="0" w:firstColumn="1" w:lastColumn="0" w:noHBand="0" w:noVBand="1"/>
      </w:tblPr>
      <w:tblGrid>
        <w:gridCol w:w="9214"/>
      </w:tblGrid>
      <w:tr w:rsidR="00706189" w14:paraId="58D2F186" w14:textId="77777777" w:rsidTr="00706189">
        <w:tc>
          <w:tcPr>
            <w:tcW w:w="9214" w:type="dxa"/>
          </w:tcPr>
          <w:p w14:paraId="66B214C0" w14:textId="72BD60D5" w:rsidR="00706189" w:rsidRPr="000B513B" w:rsidRDefault="001A0E96">
            <w:pPr>
              <w:pStyle w:val="Testocommento"/>
              <w:spacing w:before="60" w:after="60"/>
              <w:rPr>
                <w:rFonts w:ascii="Titillium" w:hAnsi="Titillium" w:cs="Calibri"/>
                <w:bCs/>
                <w:i/>
                <w:strike/>
                <w:sz w:val="18"/>
                <w:szCs w:val="18"/>
                <w:lang w:val="it-IT" w:eastAsia="it-IT"/>
              </w:rPr>
            </w:pPr>
            <w:r w:rsidRPr="000B513B">
              <w:rPr>
                <w:rFonts w:ascii="Titillium" w:hAnsi="Titillium" w:cs="Calibri"/>
                <w:bCs/>
                <w:i/>
                <w:sz w:val="18"/>
                <w:szCs w:val="18"/>
                <w:lang w:val="it-IT" w:eastAsia="it-IT"/>
              </w:rPr>
              <w:t>N.B. Si ricorda</w:t>
            </w:r>
            <w:r w:rsidR="003A3530">
              <w:rPr>
                <w:rFonts w:ascii="Titillium" w:hAnsi="Titillium" w:cs="Calibri"/>
                <w:bCs/>
                <w:i/>
                <w:sz w:val="18"/>
                <w:szCs w:val="18"/>
                <w:lang w:val="it-IT" w:eastAsia="it-IT"/>
              </w:rPr>
              <w:t>, altresì,</w:t>
            </w:r>
            <w:r w:rsidRPr="000B513B">
              <w:rPr>
                <w:rFonts w:ascii="Titillium" w:hAnsi="Titillium" w:cs="Calibri"/>
                <w:bCs/>
                <w:i/>
                <w:sz w:val="18"/>
                <w:szCs w:val="18"/>
                <w:lang w:val="it-IT" w:eastAsia="it-IT"/>
              </w:rPr>
              <w:t xml:space="preserve"> che i termini massimi di conclusione del procedimento di cui all’</w:t>
            </w:r>
            <w:r w:rsidR="00C63C5B" w:rsidRPr="000B513B">
              <w:rPr>
                <w:rFonts w:ascii="Titillium" w:hAnsi="Titillium" w:cs="Calibri"/>
                <w:bCs/>
                <w:i/>
                <w:sz w:val="18"/>
                <w:szCs w:val="18"/>
                <w:lang w:val="it-IT" w:eastAsia="it-IT"/>
              </w:rPr>
              <w:t>articolo</w:t>
            </w:r>
            <w:r w:rsidRPr="000B513B">
              <w:rPr>
                <w:rFonts w:ascii="Titillium" w:hAnsi="Titillium" w:cs="Calibri"/>
                <w:bCs/>
                <w:i/>
                <w:sz w:val="18"/>
                <w:szCs w:val="18"/>
                <w:lang w:val="it-IT" w:eastAsia="it-IT"/>
              </w:rPr>
              <w:t xml:space="preserve"> 1, comma 1, dell’Allegato 1.3 </w:t>
            </w:r>
            <w:r w:rsidR="005B1E52">
              <w:rPr>
                <w:rFonts w:ascii="Titillium" w:hAnsi="Titillium" w:cs="Calibri"/>
                <w:bCs/>
                <w:i/>
                <w:sz w:val="18"/>
                <w:szCs w:val="18"/>
                <w:lang w:val="it-IT" w:eastAsia="it-IT"/>
              </w:rPr>
              <w:t xml:space="preserve">del Codice </w:t>
            </w:r>
            <w:r w:rsidRPr="000B513B">
              <w:rPr>
                <w:rFonts w:ascii="Titillium" w:hAnsi="Titillium" w:cs="Calibri"/>
                <w:bCs/>
                <w:i/>
                <w:sz w:val="18"/>
                <w:szCs w:val="18"/>
                <w:lang w:val="it-IT" w:eastAsia="it-IT"/>
              </w:rPr>
              <w:t>devono essere raccordati con i termini previsti dall’</w:t>
            </w:r>
            <w:r w:rsidR="00C63C5B" w:rsidRPr="000B513B">
              <w:rPr>
                <w:rFonts w:ascii="Titillium" w:hAnsi="Titillium" w:cs="Calibri"/>
                <w:bCs/>
                <w:i/>
                <w:sz w:val="18"/>
                <w:szCs w:val="18"/>
                <w:lang w:val="it-IT" w:eastAsia="it-IT"/>
              </w:rPr>
              <w:t>articolo</w:t>
            </w:r>
            <w:r w:rsidRPr="000B513B">
              <w:rPr>
                <w:rFonts w:ascii="Titillium" w:hAnsi="Titillium" w:cs="Calibri"/>
                <w:bCs/>
                <w:i/>
                <w:sz w:val="18"/>
                <w:szCs w:val="18"/>
                <w:lang w:val="it-IT" w:eastAsia="it-IT"/>
              </w:rPr>
              <w:t xml:space="preserve"> 11, comma 2, lett. b-ter e comma 4 bis dell’Allegato II.4, ai fini dell’efficienza decisionale rilevante sia in sede di qualificazione della stazione appaltante che di successivo monitoraggio. </w:t>
            </w:r>
          </w:p>
        </w:tc>
      </w:tr>
    </w:tbl>
    <w:p w14:paraId="43C01B82" w14:textId="77777777" w:rsidR="009D4ABC" w:rsidRDefault="009D4ABC">
      <w:pPr>
        <w:pStyle w:val="Testocommento"/>
        <w:spacing w:before="60" w:after="60"/>
        <w:rPr>
          <w:rFonts w:ascii="Titillium" w:hAnsi="Titillium" w:cs="Calibri"/>
          <w:bCs/>
          <w:i/>
          <w:sz w:val="18"/>
          <w:szCs w:val="18"/>
          <w:lang w:eastAsia="it-IT"/>
        </w:rPr>
      </w:pPr>
    </w:p>
    <w:p w14:paraId="4F657E8C" w14:textId="1030991A" w:rsidR="006842EE" w:rsidRDefault="008F2625">
      <w:pPr>
        <w:tabs>
          <w:tab w:val="left" w:pos="360"/>
        </w:tabs>
        <w:spacing w:before="60" w:after="60"/>
        <w:rPr>
          <w:i/>
        </w:rPr>
      </w:pPr>
      <w:r>
        <w:rPr>
          <w:rFonts w:ascii="Titillium" w:hAnsi="Titillium" w:cs="Calibri"/>
          <w:bCs/>
          <w:iCs/>
          <w:sz w:val="18"/>
          <w:szCs w:val="18"/>
        </w:rPr>
        <w:t>Il luogo di …</w:t>
      </w:r>
      <w:r>
        <w:rPr>
          <w:rFonts w:ascii="Titillium" w:hAnsi="Titillium" w:cs="Calibri"/>
          <w:bCs/>
          <w:i/>
          <w:iCs/>
          <w:sz w:val="18"/>
          <w:szCs w:val="18"/>
        </w:rPr>
        <w:t xml:space="preserve"> </w:t>
      </w:r>
      <w:r>
        <w:rPr>
          <w:rFonts w:ascii="Titillium" w:hAnsi="Titillium" w:cs="Calibri"/>
          <w:bCs/>
          <w:iCs/>
          <w:sz w:val="18"/>
          <w:szCs w:val="18"/>
        </w:rPr>
        <w:t xml:space="preserve">svolgimento del servizio è ... </w:t>
      </w:r>
      <w:r w:rsidRPr="00B250BE">
        <w:rPr>
          <w:rFonts w:ascii="Titillium" w:hAnsi="Titillium" w:cs="Calibri"/>
          <w:bCs/>
          <w:iCs/>
          <w:sz w:val="18"/>
          <w:szCs w:val="18"/>
        </w:rPr>
        <w:t>codice NUTS</w:t>
      </w:r>
      <w:r>
        <w:rPr>
          <w:rFonts w:ascii="Titillium" w:hAnsi="Titillium" w:cs="Calibri"/>
          <w:bCs/>
          <w:i/>
          <w:sz w:val="18"/>
          <w:szCs w:val="18"/>
        </w:rPr>
        <w:t xml:space="preserve"> ...</w:t>
      </w:r>
      <w:r w:rsidR="00B250BE" w:rsidRPr="00B250BE">
        <w:t xml:space="preserve"> </w:t>
      </w:r>
      <w:r w:rsidR="00B250BE" w:rsidRPr="00B250BE">
        <w:rPr>
          <w:rFonts w:ascii="Titillium" w:hAnsi="Titillium" w:cs="Calibri"/>
          <w:bCs/>
          <w:i/>
          <w:sz w:val="18"/>
          <w:szCs w:val="18"/>
        </w:rPr>
        <w:t>[indicare il codice NUTS di livello 3 o il diverso livello in ragione del luogo di svolgimento del servizio]</w:t>
      </w:r>
    </w:p>
    <w:p w14:paraId="03B499A7" w14:textId="77777777" w:rsidR="006842EE" w:rsidRDefault="008F2625">
      <w:pPr>
        <w:tabs>
          <w:tab w:val="left" w:pos="360"/>
        </w:tabs>
        <w:spacing w:before="60" w:after="60"/>
      </w:pPr>
      <w:r>
        <w:rPr>
          <w:rFonts w:ascii="Titillium" w:hAnsi="Titillium" w:cs="Calibri"/>
          <w:bCs/>
          <w:iCs/>
          <w:sz w:val="18"/>
          <w:szCs w:val="18"/>
        </w:rPr>
        <w:t xml:space="preserve">CIG … CUI … CUP … </w:t>
      </w:r>
      <w:r>
        <w:rPr>
          <w:rFonts w:ascii="Titillium" w:hAnsi="Titillium" w:cs="Calibri"/>
          <w:bCs/>
          <w:i/>
          <w:iCs/>
          <w:sz w:val="18"/>
          <w:szCs w:val="18"/>
        </w:rPr>
        <w:t>[indicare solo se obbligatorio]</w:t>
      </w:r>
    </w:p>
    <w:p w14:paraId="42775883" w14:textId="77777777" w:rsidR="006842EE" w:rsidRDefault="008F2625">
      <w:pPr>
        <w:spacing w:before="60" w:after="60"/>
        <w:rPr>
          <w:rFonts w:ascii="Titillium" w:hAnsi="Titillium" w:cs="Calibri"/>
          <w:b/>
          <w:bCs/>
          <w:i/>
          <w:iCs/>
          <w:sz w:val="18"/>
          <w:szCs w:val="18"/>
        </w:rPr>
      </w:pPr>
      <w:r>
        <w:rPr>
          <w:rFonts w:ascii="Titillium" w:hAnsi="Titillium" w:cs="Calibri"/>
          <w:b/>
          <w:bCs/>
          <w:i/>
          <w:iCs/>
          <w:sz w:val="18"/>
          <w:szCs w:val="18"/>
        </w:rPr>
        <w:t>[In caso di suddivisione in lotti]</w:t>
      </w:r>
    </w:p>
    <w:p w14:paraId="778B5FF2" w14:textId="77777777" w:rsidR="006842EE" w:rsidRDefault="008F2625">
      <w:pPr>
        <w:spacing w:before="60" w:after="60"/>
      </w:pPr>
      <w:r>
        <w:rPr>
          <w:rFonts w:ascii="Titillium" w:hAnsi="Titillium" w:cs="Calibri"/>
          <w:bCs/>
          <w:iCs/>
          <w:sz w:val="18"/>
          <w:szCs w:val="18"/>
        </w:rPr>
        <w:t xml:space="preserve">lotto 1 CIG … CUI … CUP … </w:t>
      </w:r>
      <w:r>
        <w:rPr>
          <w:rFonts w:ascii="Titillium" w:hAnsi="Titillium" w:cs="Calibri"/>
          <w:bCs/>
          <w:i/>
          <w:iCs/>
          <w:sz w:val="18"/>
          <w:szCs w:val="18"/>
        </w:rPr>
        <w:t>[indicare solo se obbligatorio]</w:t>
      </w:r>
    </w:p>
    <w:p w14:paraId="38ECB642" w14:textId="77777777" w:rsidR="006842EE" w:rsidRDefault="008F2625">
      <w:pPr>
        <w:spacing w:before="60" w:after="60"/>
      </w:pPr>
      <w:r>
        <w:rPr>
          <w:rFonts w:ascii="Titillium" w:hAnsi="Titillium" w:cs="Calibri"/>
          <w:bCs/>
          <w:iCs/>
          <w:sz w:val="18"/>
          <w:szCs w:val="18"/>
        </w:rPr>
        <w:t xml:space="preserve">lotto 2 CIG … CUI … CUP … </w:t>
      </w:r>
      <w:r>
        <w:rPr>
          <w:rFonts w:ascii="Titillium" w:hAnsi="Titillium" w:cs="Calibri"/>
          <w:bCs/>
          <w:i/>
          <w:iCs/>
          <w:sz w:val="18"/>
          <w:szCs w:val="18"/>
        </w:rPr>
        <w:t>[indicare solo se obbligatorio]</w:t>
      </w:r>
    </w:p>
    <w:p w14:paraId="6C18D8D1" w14:textId="4CBE04C8" w:rsidR="006842EE" w:rsidRDefault="008F2625">
      <w:pPr>
        <w:spacing w:before="60" w:after="60"/>
        <w:rPr>
          <w:rFonts w:ascii="Titillium" w:hAnsi="Titillium" w:cs="Calibri"/>
          <w:bCs/>
          <w:i/>
          <w:iCs/>
          <w:sz w:val="18"/>
          <w:szCs w:val="18"/>
        </w:rPr>
      </w:pPr>
      <w:r>
        <w:rPr>
          <w:rFonts w:ascii="Titillium" w:hAnsi="Titillium" w:cs="Calibri"/>
          <w:bCs/>
          <w:iCs/>
          <w:sz w:val="18"/>
          <w:szCs w:val="18"/>
        </w:rPr>
        <w:t>Il Responsabile unico del progetto</w:t>
      </w:r>
      <w:r w:rsidR="00226093">
        <w:rPr>
          <w:rFonts w:ascii="Titillium" w:hAnsi="Titillium" w:cs="Calibri"/>
          <w:bCs/>
          <w:iCs/>
          <w:sz w:val="18"/>
          <w:szCs w:val="18"/>
        </w:rPr>
        <w:t xml:space="preserve"> </w:t>
      </w:r>
      <w:r w:rsidR="00226093" w:rsidRPr="00AC289F">
        <w:rPr>
          <w:rFonts w:ascii="Titillium" w:hAnsi="Titillium" w:cs="Calibri"/>
          <w:bCs/>
          <w:iCs/>
          <w:color w:val="000000" w:themeColor="text1"/>
          <w:sz w:val="18"/>
          <w:szCs w:val="18"/>
        </w:rPr>
        <w:t xml:space="preserve">ai sensi dell’articolo 15, </w:t>
      </w:r>
      <w:r w:rsidR="00DE0A2A" w:rsidRPr="00AC289F">
        <w:rPr>
          <w:rFonts w:ascii="Titillium" w:hAnsi="Titillium" w:cs="Calibri"/>
          <w:bCs/>
          <w:iCs/>
          <w:color w:val="000000" w:themeColor="text1"/>
          <w:sz w:val="18"/>
          <w:szCs w:val="18"/>
        </w:rPr>
        <w:t>comma</w:t>
      </w:r>
      <w:r w:rsidR="00226093" w:rsidRPr="00AC289F">
        <w:rPr>
          <w:rFonts w:ascii="Titillium" w:hAnsi="Titillium" w:cs="Calibri"/>
          <w:bCs/>
          <w:iCs/>
          <w:color w:val="000000" w:themeColor="text1"/>
          <w:sz w:val="18"/>
          <w:szCs w:val="18"/>
        </w:rPr>
        <w:t xml:space="preserve"> 1, del Codice </w:t>
      </w:r>
      <w:r>
        <w:rPr>
          <w:rFonts w:ascii="Titillium" w:hAnsi="Titillium" w:cs="Calibri"/>
          <w:bCs/>
          <w:iCs/>
          <w:sz w:val="18"/>
          <w:szCs w:val="18"/>
        </w:rPr>
        <w:t xml:space="preserve">è </w:t>
      </w:r>
      <w:r>
        <w:rPr>
          <w:rFonts w:ascii="Titillium" w:hAnsi="Titillium" w:cs="Calibri"/>
          <w:bCs/>
          <w:i/>
          <w:iCs/>
          <w:sz w:val="18"/>
          <w:szCs w:val="18"/>
        </w:rPr>
        <w:t>… [indicare nome, cognome e indirizzo e-mail</w:t>
      </w:r>
      <w:r w:rsidR="00514713">
        <w:rPr>
          <w:rFonts w:ascii="Titillium" w:hAnsi="Titillium" w:cs="Calibri"/>
          <w:bCs/>
          <w:i/>
          <w:iCs/>
          <w:sz w:val="18"/>
          <w:szCs w:val="18"/>
        </w:rPr>
        <w:t xml:space="preserve"> - </w:t>
      </w:r>
      <w:r w:rsidR="00514713" w:rsidRPr="00AC289F">
        <w:rPr>
          <w:rFonts w:ascii="Titillium" w:hAnsi="Titillium" w:cs="Calibri"/>
          <w:bCs/>
          <w:i/>
          <w:iCs/>
          <w:color w:val="000000" w:themeColor="text1"/>
          <w:sz w:val="18"/>
          <w:szCs w:val="18"/>
        </w:rPr>
        <w:t>PEC</w:t>
      </w:r>
      <w:r w:rsidRPr="00AC289F">
        <w:rPr>
          <w:rFonts w:ascii="Titillium" w:hAnsi="Titillium" w:cs="Calibri"/>
          <w:bCs/>
          <w:i/>
          <w:iCs/>
          <w:color w:val="000000" w:themeColor="text1"/>
          <w:sz w:val="18"/>
          <w:szCs w:val="18"/>
        </w:rPr>
        <w:t>].</w:t>
      </w:r>
    </w:p>
    <w:p w14:paraId="1042B7C6" w14:textId="09EDABE0" w:rsidR="006842EE" w:rsidRDefault="008F2625">
      <w:pPr>
        <w:spacing w:before="60" w:after="60"/>
        <w:rPr>
          <w:rFonts w:ascii="Titillium" w:hAnsi="Titillium" w:cs="Calibri"/>
          <w:bCs/>
          <w:i/>
          <w:iCs/>
          <w:color w:val="000000" w:themeColor="text1"/>
          <w:sz w:val="18"/>
          <w:szCs w:val="18"/>
        </w:rPr>
      </w:pPr>
      <w:r>
        <w:rPr>
          <w:rFonts w:ascii="Titillium" w:hAnsi="Titillium" w:cs="Calibri"/>
          <w:bCs/>
          <w:sz w:val="18"/>
          <w:szCs w:val="18"/>
        </w:rPr>
        <w:t xml:space="preserve">Il Responsabile del procedimento per la fase di </w:t>
      </w:r>
      <w:r w:rsidRPr="00AC289F">
        <w:rPr>
          <w:rFonts w:ascii="Titillium" w:hAnsi="Titillium" w:cs="Calibri"/>
          <w:bCs/>
          <w:color w:val="000000" w:themeColor="text1"/>
          <w:sz w:val="18"/>
          <w:szCs w:val="18"/>
        </w:rPr>
        <w:t xml:space="preserve">affidamento </w:t>
      </w:r>
      <w:r w:rsidR="00226093" w:rsidRPr="00AC289F">
        <w:rPr>
          <w:rFonts w:ascii="Titillium" w:hAnsi="Titillium" w:cs="Calibri"/>
          <w:bCs/>
          <w:color w:val="000000" w:themeColor="text1"/>
          <w:sz w:val="18"/>
          <w:szCs w:val="18"/>
        </w:rPr>
        <w:t xml:space="preserve">ai sensi dell’articolo 15, </w:t>
      </w:r>
      <w:r w:rsidR="00DE0A2A" w:rsidRPr="00AC289F">
        <w:rPr>
          <w:rFonts w:ascii="Titillium" w:hAnsi="Titillium" w:cs="Calibri"/>
          <w:bCs/>
          <w:color w:val="000000" w:themeColor="text1"/>
          <w:sz w:val="18"/>
          <w:szCs w:val="18"/>
        </w:rPr>
        <w:t>comma</w:t>
      </w:r>
      <w:r w:rsidR="00556F3D">
        <w:rPr>
          <w:rFonts w:ascii="Titillium" w:hAnsi="Titillium" w:cs="Calibri"/>
          <w:bCs/>
          <w:color w:val="000000" w:themeColor="text1"/>
          <w:sz w:val="18"/>
          <w:szCs w:val="18"/>
        </w:rPr>
        <w:t xml:space="preserve"> 4 </w:t>
      </w:r>
      <w:r w:rsidR="00226093" w:rsidRPr="00AC289F">
        <w:rPr>
          <w:rFonts w:ascii="Titillium" w:hAnsi="Titillium" w:cs="Calibri"/>
          <w:bCs/>
          <w:color w:val="000000" w:themeColor="text1"/>
          <w:sz w:val="18"/>
          <w:szCs w:val="18"/>
        </w:rPr>
        <w:t xml:space="preserve">del Codice </w:t>
      </w:r>
      <w:r>
        <w:rPr>
          <w:rFonts w:ascii="Titillium" w:hAnsi="Titillium" w:cs="Calibri"/>
          <w:bCs/>
          <w:sz w:val="18"/>
          <w:szCs w:val="18"/>
        </w:rPr>
        <w:t>è ….</w:t>
      </w:r>
      <w:r>
        <w:rPr>
          <w:rFonts w:ascii="Titillium" w:hAnsi="Titillium" w:cs="Calibri"/>
          <w:bCs/>
          <w:iCs/>
          <w:sz w:val="18"/>
          <w:szCs w:val="18"/>
        </w:rPr>
        <w:t xml:space="preserve"> </w:t>
      </w:r>
      <w:r>
        <w:rPr>
          <w:rFonts w:ascii="Titillium" w:hAnsi="Titillium" w:cs="Calibri"/>
          <w:bCs/>
          <w:i/>
          <w:iCs/>
          <w:sz w:val="18"/>
          <w:szCs w:val="18"/>
        </w:rPr>
        <w:t>[se previsto, indicare nome, cognome e indirizzo e-mail</w:t>
      </w:r>
      <w:r w:rsidR="00514713">
        <w:rPr>
          <w:rFonts w:ascii="Titillium" w:hAnsi="Titillium" w:cs="Calibri"/>
          <w:bCs/>
          <w:i/>
          <w:iCs/>
          <w:sz w:val="18"/>
          <w:szCs w:val="18"/>
        </w:rPr>
        <w:t xml:space="preserve"> - </w:t>
      </w:r>
      <w:r w:rsidR="00514713" w:rsidRPr="00AC289F">
        <w:rPr>
          <w:rFonts w:ascii="Titillium" w:hAnsi="Titillium" w:cs="Calibri"/>
          <w:bCs/>
          <w:i/>
          <w:iCs/>
          <w:color w:val="000000" w:themeColor="text1"/>
          <w:sz w:val="18"/>
          <w:szCs w:val="18"/>
        </w:rPr>
        <w:t>PEC</w:t>
      </w:r>
      <w:r w:rsidRPr="00AC289F">
        <w:rPr>
          <w:rFonts w:ascii="Titillium" w:hAnsi="Titillium" w:cs="Calibri"/>
          <w:bCs/>
          <w:i/>
          <w:iCs/>
          <w:color w:val="000000" w:themeColor="text1"/>
          <w:sz w:val="18"/>
          <w:szCs w:val="18"/>
        </w:rPr>
        <w:t>].</w:t>
      </w:r>
    </w:p>
    <w:p w14:paraId="09F3CA1C" w14:textId="26AE1C92" w:rsidR="00047C3E" w:rsidRPr="00593063" w:rsidRDefault="00047C3E" w:rsidP="00556F3D">
      <w:pPr>
        <w:spacing w:before="60" w:after="60"/>
        <w:rPr>
          <w:rFonts w:ascii="Titillium" w:hAnsi="Titillium" w:cs="Calibri"/>
          <w:bCs/>
          <w:color w:val="000000" w:themeColor="text1"/>
          <w:sz w:val="18"/>
          <w:szCs w:val="18"/>
        </w:rPr>
      </w:pPr>
      <w:r w:rsidRPr="00671023">
        <w:rPr>
          <w:rFonts w:ascii="Titillium" w:hAnsi="Titillium" w:cs="Calibri"/>
          <w:b/>
          <w:i/>
          <w:iCs/>
          <w:color w:val="000000" w:themeColor="text1"/>
          <w:sz w:val="18"/>
          <w:szCs w:val="18"/>
        </w:rPr>
        <w:t>[In caso di procedura di gara delegata ad una Centrale di Committenza o ad altra Stazione Appaltante Qualificata]</w:t>
      </w:r>
      <w:r w:rsidRPr="00671023">
        <w:rPr>
          <w:rFonts w:ascii="Titillium" w:hAnsi="Titillium" w:cs="Calibri"/>
          <w:bCs/>
          <w:color w:val="000000" w:themeColor="text1"/>
          <w:sz w:val="18"/>
          <w:szCs w:val="18"/>
        </w:rPr>
        <w:t xml:space="preserve"> </w:t>
      </w:r>
    </w:p>
    <w:p w14:paraId="0559DD63" w14:textId="2D3236BA" w:rsidR="00556F3D" w:rsidRPr="00593063" w:rsidRDefault="00047C3E" w:rsidP="00556F3D">
      <w:pPr>
        <w:spacing w:before="60" w:after="60"/>
        <w:rPr>
          <w:rFonts w:ascii="Titillium" w:hAnsi="Titillium" w:cs="Calibri"/>
          <w:bCs/>
          <w:i/>
          <w:iCs/>
          <w:color w:val="000000" w:themeColor="text1"/>
          <w:sz w:val="18"/>
          <w:szCs w:val="18"/>
        </w:rPr>
      </w:pPr>
      <w:r w:rsidRPr="00593063">
        <w:rPr>
          <w:rFonts w:ascii="Titillium" w:hAnsi="Titillium" w:cs="Calibri"/>
          <w:bCs/>
          <w:color w:val="000000" w:themeColor="text1"/>
          <w:sz w:val="18"/>
          <w:szCs w:val="18"/>
        </w:rPr>
        <w:t>L</w:t>
      </w:r>
      <w:r w:rsidR="001D07F1" w:rsidRPr="00593063">
        <w:rPr>
          <w:rFonts w:ascii="Titillium" w:hAnsi="Titillium" w:cs="Calibri"/>
          <w:bCs/>
          <w:color w:val="000000" w:themeColor="text1"/>
          <w:sz w:val="18"/>
          <w:szCs w:val="18"/>
        </w:rPr>
        <w:t xml:space="preserve">a Stazione Appaltante </w:t>
      </w:r>
      <w:r w:rsidR="00851967" w:rsidRPr="00593063">
        <w:rPr>
          <w:rFonts w:ascii="Titillium" w:hAnsi="Titillium" w:cs="Calibri"/>
          <w:bCs/>
          <w:color w:val="000000" w:themeColor="text1"/>
          <w:sz w:val="18"/>
          <w:szCs w:val="18"/>
        </w:rPr>
        <w:t xml:space="preserve">delegante </w:t>
      </w:r>
      <w:r w:rsidRPr="00593063">
        <w:rPr>
          <w:rFonts w:ascii="Titillium" w:hAnsi="Titillium" w:cs="Calibri"/>
          <w:bCs/>
          <w:color w:val="000000" w:themeColor="text1"/>
          <w:sz w:val="18"/>
          <w:szCs w:val="18"/>
        </w:rPr>
        <w:t xml:space="preserve">è </w:t>
      </w:r>
      <w:r w:rsidR="005B1E52" w:rsidRPr="00593063">
        <w:rPr>
          <w:rFonts w:ascii="Titillium" w:hAnsi="Titillium" w:cs="Calibri"/>
          <w:bCs/>
          <w:i/>
          <w:iCs/>
          <w:color w:val="000000" w:themeColor="text1"/>
          <w:sz w:val="18"/>
          <w:szCs w:val="18"/>
        </w:rPr>
        <w:t>… [</w:t>
      </w:r>
      <w:r w:rsidRPr="00593063">
        <w:rPr>
          <w:rFonts w:ascii="Titillium" w:hAnsi="Titillium" w:cs="Calibri"/>
          <w:bCs/>
          <w:i/>
          <w:iCs/>
          <w:color w:val="000000" w:themeColor="text1"/>
          <w:sz w:val="18"/>
          <w:szCs w:val="18"/>
        </w:rPr>
        <w:t xml:space="preserve">indicare la stazione appaltante delegante e i relativi riferimenti] </w:t>
      </w:r>
    </w:p>
    <w:p w14:paraId="638ECDF1" w14:textId="706B08A9" w:rsidR="00556F3D" w:rsidRPr="00593063" w:rsidRDefault="00047C3E" w:rsidP="00556F3D">
      <w:pPr>
        <w:spacing w:before="60" w:after="60"/>
        <w:rPr>
          <w:rFonts w:ascii="Titillium" w:hAnsi="Titillium" w:cs="Calibri"/>
          <w:bCs/>
          <w:color w:val="000000" w:themeColor="text1"/>
          <w:sz w:val="18"/>
          <w:szCs w:val="18"/>
        </w:rPr>
      </w:pPr>
      <w:r w:rsidRPr="00593063">
        <w:rPr>
          <w:rFonts w:ascii="Titillium" w:hAnsi="Titillium" w:cs="Calibri"/>
          <w:bCs/>
          <w:color w:val="000000" w:themeColor="text1"/>
          <w:sz w:val="18"/>
          <w:szCs w:val="18"/>
        </w:rPr>
        <w:t xml:space="preserve">La </w:t>
      </w:r>
      <w:r w:rsidR="00556F3D" w:rsidRPr="00593063">
        <w:rPr>
          <w:rFonts w:ascii="Titillium" w:hAnsi="Titillium" w:cs="Calibri"/>
          <w:bCs/>
          <w:color w:val="000000" w:themeColor="text1"/>
          <w:sz w:val="18"/>
          <w:szCs w:val="18"/>
        </w:rPr>
        <w:t>Centrale di Committenza</w:t>
      </w:r>
      <w:r w:rsidR="001D07F1" w:rsidRPr="00593063">
        <w:rPr>
          <w:rFonts w:ascii="Titillium" w:hAnsi="Titillium" w:cs="Calibri"/>
          <w:bCs/>
          <w:color w:val="000000" w:themeColor="text1"/>
          <w:sz w:val="18"/>
          <w:szCs w:val="18"/>
        </w:rPr>
        <w:t>/Stazione Appaltante delegata</w:t>
      </w:r>
      <w:r w:rsidR="00556F3D" w:rsidRPr="00593063">
        <w:rPr>
          <w:rFonts w:ascii="Titillium" w:hAnsi="Titillium" w:cs="Calibri"/>
          <w:bCs/>
          <w:color w:val="000000" w:themeColor="text1"/>
          <w:sz w:val="18"/>
          <w:szCs w:val="18"/>
        </w:rPr>
        <w:t xml:space="preserve"> è</w:t>
      </w:r>
      <w:r w:rsidR="005B1E52" w:rsidRPr="00593063">
        <w:rPr>
          <w:rFonts w:ascii="Titillium" w:hAnsi="Titillium" w:cs="Calibri"/>
          <w:bCs/>
          <w:color w:val="000000" w:themeColor="text1"/>
          <w:sz w:val="18"/>
          <w:szCs w:val="18"/>
        </w:rPr>
        <w:t xml:space="preserve"> </w:t>
      </w:r>
      <w:r w:rsidR="005B1E52" w:rsidRPr="00593063">
        <w:rPr>
          <w:rFonts w:ascii="Titillium" w:hAnsi="Titillium" w:cs="Calibri"/>
          <w:bCs/>
          <w:i/>
          <w:iCs/>
          <w:color w:val="000000" w:themeColor="text1"/>
          <w:sz w:val="18"/>
          <w:szCs w:val="18"/>
        </w:rPr>
        <w:t>…</w:t>
      </w:r>
      <w:r w:rsidR="00862788">
        <w:rPr>
          <w:rFonts w:ascii="Titillium" w:hAnsi="Titillium" w:cs="Calibri"/>
          <w:bCs/>
          <w:i/>
          <w:iCs/>
          <w:color w:val="000000" w:themeColor="text1"/>
          <w:sz w:val="18"/>
          <w:szCs w:val="18"/>
        </w:rPr>
        <w:t xml:space="preserve"> </w:t>
      </w:r>
      <w:r w:rsidRPr="00593063">
        <w:rPr>
          <w:rFonts w:ascii="Titillium" w:hAnsi="Titillium" w:cs="Calibri"/>
          <w:bCs/>
          <w:i/>
          <w:iCs/>
          <w:color w:val="000000" w:themeColor="text1"/>
          <w:sz w:val="18"/>
          <w:szCs w:val="18"/>
        </w:rPr>
        <w:t>[indicare la centrale di committenza o la stazione appaltante</w:t>
      </w:r>
      <w:r w:rsidR="00851967" w:rsidRPr="00593063">
        <w:rPr>
          <w:rFonts w:ascii="Titillium" w:hAnsi="Titillium" w:cs="Calibri"/>
          <w:bCs/>
          <w:i/>
          <w:iCs/>
          <w:color w:val="000000" w:themeColor="text1"/>
          <w:sz w:val="18"/>
          <w:szCs w:val="18"/>
        </w:rPr>
        <w:t xml:space="preserve"> qualificata </w:t>
      </w:r>
      <w:r w:rsidRPr="00593063">
        <w:rPr>
          <w:rFonts w:ascii="Titillium" w:hAnsi="Titillium" w:cs="Calibri"/>
          <w:bCs/>
          <w:i/>
          <w:iCs/>
          <w:color w:val="000000" w:themeColor="text1"/>
          <w:sz w:val="18"/>
          <w:szCs w:val="18"/>
        </w:rPr>
        <w:t>delegata e i relativi riferimenti]</w:t>
      </w:r>
      <w:r w:rsidR="00556F3D" w:rsidRPr="00593063">
        <w:rPr>
          <w:rFonts w:ascii="Titillium" w:hAnsi="Titillium" w:cs="Calibri"/>
          <w:bCs/>
          <w:color w:val="000000" w:themeColor="text1"/>
          <w:sz w:val="18"/>
          <w:szCs w:val="18"/>
        </w:rPr>
        <w:t>.</w:t>
      </w:r>
    </w:p>
    <w:p w14:paraId="787F927B" w14:textId="30E5BE77" w:rsidR="00556F3D" w:rsidRPr="00593063" w:rsidRDefault="00030E28" w:rsidP="00556F3D">
      <w:pPr>
        <w:spacing w:before="60" w:after="60"/>
        <w:rPr>
          <w:rFonts w:ascii="Titillium" w:hAnsi="Titillium" w:cs="Calibri"/>
          <w:bCs/>
          <w:color w:val="000000" w:themeColor="text1"/>
          <w:sz w:val="18"/>
          <w:szCs w:val="18"/>
        </w:rPr>
      </w:pPr>
      <w:r w:rsidRPr="00593063">
        <w:rPr>
          <w:rFonts w:ascii="Titillium" w:hAnsi="Titillium" w:cs="Calibri"/>
          <w:bCs/>
          <w:color w:val="000000" w:themeColor="text1"/>
          <w:sz w:val="18"/>
          <w:szCs w:val="18"/>
        </w:rPr>
        <w:t xml:space="preserve">Il </w:t>
      </w:r>
      <w:r w:rsidR="00556F3D" w:rsidRPr="00593063">
        <w:rPr>
          <w:rFonts w:ascii="Titillium" w:hAnsi="Titillium" w:cs="Calibri"/>
          <w:bCs/>
          <w:color w:val="000000" w:themeColor="text1"/>
          <w:sz w:val="18"/>
          <w:szCs w:val="18"/>
        </w:rPr>
        <w:t xml:space="preserve">Responsabile Unico del Progetto </w:t>
      </w:r>
      <w:r w:rsidR="00047C3E" w:rsidRPr="00593063">
        <w:rPr>
          <w:rFonts w:ascii="Titillium" w:hAnsi="Titillium" w:cs="Calibri"/>
          <w:bCs/>
          <w:color w:val="000000" w:themeColor="text1"/>
          <w:sz w:val="18"/>
          <w:szCs w:val="18"/>
        </w:rPr>
        <w:t xml:space="preserve">della stazione appaltante delegante </w:t>
      </w:r>
      <w:r w:rsidR="00556F3D" w:rsidRPr="00593063">
        <w:rPr>
          <w:rFonts w:ascii="Titillium" w:hAnsi="Titillium" w:cs="Calibri"/>
          <w:bCs/>
          <w:color w:val="000000" w:themeColor="text1"/>
          <w:sz w:val="18"/>
          <w:szCs w:val="18"/>
        </w:rPr>
        <w:t xml:space="preserve">ai sensi </w:t>
      </w:r>
      <w:r w:rsidR="00A41978" w:rsidRPr="00593063">
        <w:rPr>
          <w:rFonts w:ascii="Titillium" w:hAnsi="Titillium" w:cs="Calibri"/>
          <w:bCs/>
          <w:color w:val="000000" w:themeColor="text1"/>
          <w:sz w:val="18"/>
          <w:szCs w:val="18"/>
        </w:rPr>
        <w:t>dell’articolo 15</w:t>
      </w:r>
      <w:r w:rsidR="00556F3D" w:rsidRPr="00593063">
        <w:rPr>
          <w:rFonts w:ascii="Titillium" w:hAnsi="Titillium" w:cs="Calibri"/>
          <w:bCs/>
          <w:color w:val="000000" w:themeColor="text1"/>
          <w:sz w:val="18"/>
          <w:szCs w:val="18"/>
        </w:rPr>
        <w:t xml:space="preserve"> comma</w:t>
      </w:r>
      <w:r w:rsidR="00C12841" w:rsidRPr="00593063">
        <w:rPr>
          <w:rFonts w:ascii="Titillium" w:hAnsi="Titillium" w:cs="Calibri"/>
          <w:bCs/>
          <w:color w:val="000000" w:themeColor="text1"/>
          <w:sz w:val="18"/>
          <w:szCs w:val="18"/>
        </w:rPr>
        <w:t xml:space="preserve"> 1</w:t>
      </w:r>
      <w:r w:rsidR="00556F3D" w:rsidRPr="00593063">
        <w:rPr>
          <w:rFonts w:ascii="Titillium" w:hAnsi="Titillium" w:cs="Calibri"/>
          <w:bCs/>
          <w:color w:val="000000" w:themeColor="text1"/>
          <w:sz w:val="18"/>
          <w:szCs w:val="18"/>
        </w:rPr>
        <w:t xml:space="preserve"> del</w:t>
      </w:r>
      <w:r w:rsidR="00C12841" w:rsidRPr="00593063">
        <w:rPr>
          <w:rFonts w:ascii="Titillium" w:hAnsi="Titillium" w:cs="Calibri"/>
          <w:bCs/>
          <w:color w:val="000000" w:themeColor="text1"/>
          <w:sz w:val="18"/>
          <w:szCs w:val="18"/>
        </w:rPr>
        <w:t xml:space="preserve"> Codice </w:t>
      </w:r>
      <w:r w:rsidR="00556F3D" w:rsidRPr="00593063">
        <w:rPr>
          <w:rFonts w:ascii="Titillium" w:hAnsi="Titillium" w:cs="Calibri"/>
          <w:bCs/>
          <w:color w:val="000000" w:themeColor="text1"/>
          <w:sz w:val="18"/>
          <w:szCs w:val="18"/>
        </w:rPr>
        <w:t xml:space="preserve">è </w:t>
      </w:r>
      <w:r w:rsidR="00C12841" w:rsidRPr="00593063">
        <w:rPr>
          <w:rFonts w:ascii="Titillium" w:hAnsi="Titillium" w:cs="Calibri"/>
          <w:bCs/>
          <w:color w:val="000000" w:themeColor="text1"/>
          <w:sz w:val="18"/>
          <w:szCs w:val="18"/>
        </w:rPr>
        <w:t xml:space="preserve">… </w:t>
      </w:r>
      <w:r w:rsidR="00C12841" w:rsidRPr="00593063">
        <w:rPr>
          <w:rFonts w:ascii="Titillium" w:hAnsi="Titillium" w:cs="Calibri"/>
          <w:bCs/>
          <w:i/>
          <w:iCs/>
          <w:color w:val="000000" w:themeColor="text1"/>
          <w:sz w:val="18"/>
          <w:szCs w:val="18"/>
        </w:rPr>
        <w:t>[indicare nome, cognome e indirizzo e-mail - PEC</w:t>
      </w:r>
      <w:r w:rsidR="00C12841" w:rsidRPr="00593063">
        <w:rPr>
          <w:rFonts w:ascii="Titillium" w:hAnsi="Titillium" w:cs="Calibri"/>
          <w:bCs/>
          <w:color w:val="000000" w:themeColor="text1"/>
          <w:sz w:val="18"/>
          <w:szCs w:val="18"/>
        </w:rPr>
        <w:t>].</w:t>
      </w:r>
      <w:r w:rsidR="00556F3D" w:rsidRPr="00593063">
        <w:rPr>
          <w:rFonts w:ascii="Titillium" w:hAnsi="Titillium" w:cs="Calibri"/>
          <w:bCs/>
          <w:color w:val="000000" w:themeColor="text1"/>
          <w:sz w:val="18"/>
          <w:szCs w:val="18"/>
        </w:rPr>
        <w:t xml:space="preserve"> </w:t>
      </w:r>
    </w:p>
    <w:p w14:paraId="2F8A03E8" w14:textId="343FCCE9" w:rsidR="00556F3D" w:rsidRPr="00593063" w:rsidRDefault="00A41978" w:rsidP="00556F3D">
      <w:pPr>
        <w:spacing w:before="60" w:after="60"/>
        <w:rPr>
          <w:rFonts w:ascii="Titillium" w:hAnsi="Titillium" w:cs="Calibri"/>
          <w:bCs/>
          <w:i/>
          <w:iCs/>
          <w:color w:val="000000" w:themeColor="text1"/>
          <w:sz w:val="18"/>
          <w:szCs w:val="18"/>
        </w:rPr>
      </w:pPr>
      <w:r w:rsidRPr="00593063">
        <w:rPr>
          <w:rFonts w:ascii="Titillium" w:hAnsi="Titillium" w:cs="Calibri"/>
          <w:bCs/>
          <w:color w:val="000000" w:themeColor="text1"/>
          <w:sz w:val="18"/>
          <w:szCs w:val="18"/>
        </w:rPr>
        <w:t xml:space="preserve">Il </w:t>
      </w:r>
      <w:r w:rsidRPr="00D92C64">
        <w:rPr>
          <w:rFonts w:ascii="Titillium" w:hAnsi="Titillium" w:cs="Calibri"/>
          <w:bCs/>
          <w:color w:val="000000" w:themeColor="text1"/>
          <w:sz w:val="18"/>
          <w:szCs w:val="18"/>
        </w:rPr>
        <w:t>RUP</w:t>
      </w:r>
      <w:r w:rsidR="00831450">
        <w:rPr>
          <w:rFonts w:ascii="Titillium" w:hAnsi="Titillium" w:cs="Calibri"/>
          <w:bCs/>
          <w:color w:val="000000" w:themeColor="text1"/>
          <w:sz w:val="18"/>
          <w:szCs w:val="18"/>
        </w:rPr>
        <w:t xml:space="preserve"> della Centrale di Committenza/Stazione appaltante qualificata</w:t>
      </w:r>
      <w:r w:rsidR="00556F3D" w:rsidRPr="00D92C64">
        <w:rPr>
          <w:rFonts w:ascii="Titillium" w:hAnsi="Titillium" w:cs="Calibri"/>
          <w:bCs/>
          <w:color w:val="000000" w:themeColor="text1"/>
          <w:sz w:val="18"/>
          <w:szCs w:val="18"/>
        </w:rPr>
        <w:t>,</w:t>
      </w:r>
      <w:r w:rsidR="00556F3D" w:rsidRPr="00593063">
        <w:rPr>
          <w:rFonts w:ascii="Titillium" w:hAnsi="Titillium" w:cs="Calibri"/>
          <w:bCs/>
          <w:color w:val="000000" w:themeColor="text1"/>
          <w:sz w:val="18"/>
          <w:szCs w:val="18"/>
        </w:rPr>
        <w:t xml:space="preserve"> ai sensi dell’art</w:t>
      </w:r>
      <w:r w:rsidR="00593063" w:rsidRPr="00593063">
        <w:rPr>
          <w:rFonts w:ascii="Titillium" w:hAnsi="Titillium" w:cs="Calibri"/>
          <w:bCs/>
          <w:color w:val="000000" w:themeColor="text1"/>
          <w:sz w:val="18"/>
          <w:szCs w:val="18"/>
        </w:rPr>
        <w:t xml:space="preserve">icolo </w:t>
      </w:r>
      <w:r w:rsidR="00556F3D" w:rsidRPr="00D7674A">
        <w:rPr>
          <w:rFonts w:ascii="Titillium" w:hAnsi="Titillium" w:cs="Calibri"/>
          <w:bCs/>
          <w:color w:val="000000" w:themeColor="text1"/>
          <w:sz w:val="18"/>
          <w:szCs w:val="18"/>
        </w:rPr>
        <w:t xml:space="preserve">15, comma </w:t>
      </w:r>
      <w:r w:rsidR="00851967" w:rsidRPr="00D7674A">
        <w:rPr>
          <w:rFonts w:ascii="Titillium" w:hAnsi="Titillium" w:cs="Calibri"/>
          <w:bCs/>
          <w:color w:val="000000" w:themeColor="text1"/>
          <w:sz w:val="18"/>
          <w:szCs w:val="18"/>
        </w:rPr>
        <w:t xml:space="preserve">9 </w:t>
      </w:r>
      <w:r w:rsidR="00831450" w:rsidRPr="00D7674A">
        <w:rPr>
          <w:rFonts w:ascii="Titillium" w:hAnsi="Titillium" w:cs="Calibri"/>
          <w:bCs/>
          <w:color w:val="000000" w:themeColor="text1"/>
          <w:sz w:val="18"/>
          <w:szCs w:val="18"/>
        </w:rPr>
        <w:t xml:space="preserve">e </w:t>
      </w:r>
      <w:r w:rsidR="00D92C64" w:rsidRPr="00D7674A">
        <w:rPr>
          <w:rFonts w:ascii="Titillium" w:hAnsi="Titillium" w:cs="Calibri"/>
          <w:bCs/>
          <w:color w:val="000000" w:themeColor="text1"/>
          <w:sz w:val="18"/>
          <w:szCs w:val="18"/>
        </w:rPr>
        <w:t>6</w:t>
      </w:r>
      <w:r w:rsidR="00452FE2">
        <w:rPr>
          <w:rFonts w:ascii="Titillium" w:hAnsi="Titillium" w:cs="Calibri"/>
          <w:bCs/>
          <w:color w:val="000000" w:themeColor="text1"/>
          <w:sz w:val="18"/>
          <w:szCs w:val="18"/>
        </w:rPr>
        <w:t>2</w:t>
      </w:r>
      <w:r w:rsidR="00D92C64" w:rsidRPr="00D7674A">
        <w:rPr>
          <w:rFonts w:ascii="Titillium" w:hAnsi="Titillium" w:cs="Calibri"/>
          <w:bCs/>
          <w:color w:val="000000" w:themeColor="text1"/>
          <w:sz w:val="18"/>
          <w:szCs w:val="18"/>
        </w:rPr>
        <w:t xml:space="preserve"> comma 13</w:t>
      </w:r>
      <w:r w:rsidR="00D92C64">
        <w:rPr>
          <w:rFonts w:ascii="Titillium" w:hAnsi="Titillium" w:cs="Calibri"/>
          <w:bCs/>
          <w:color w:val="000000" w:themeColor="text1"/>
          <w:sz w:val="18"/>
          <w:szCs w:val="18"/>
        </w:rPr>
        <w:t xml:space="preserve"> </w:t>
      </w:r>
      <w:r w:rsidR="00851967" w:rsidRPr="00593063">
        <w:rPr>
          <w:rFonts w:ascii="Titillium" w:hAnsi="Titillium" w:cs="Calibri"/>
          <w:bCs/>
          <w:color w:val="000000" w:themeColor="text1"/>
          <w:sz w:val="18"/>
          <w:szCs w:val="18"/>
        </w:rPr>
        <w:t>del Codice</w:t>
      </w:r>
      <w:r w:rsidR="00030E28" w:rsidRPr="00593063">
        <w:rPr>
          <w:rFonts w:ascii="Titillium" w:hAnsi="Titillium" w:cs="Calibri"/>
          <w:bCs/>
          <w:color w:val="000000" w:themeColor="text1"/>
          <w:sz w:val="18"/>
          <w:szCs w:val="18"/>
        </w:rPr>
        <w:t xml:space="preserve"> è</w:t>
      </w:r>
      <w:r w:rsidR="005B1E52" w:rsidRPr="00593063">
        <w:rPr>
          <w:rFonts w:ascii="Titillium" w:hAnsi="Titillium" w:cs="Calibri"/>
          <w:bCs/>
          <w:color w:val="000000" w:themeColor="text1"/>
          <w:sz w:val="18"/>
          <w:szCs w:val="18"/>
        </w:rPr>
        <w:t xml:space="preserve"> </w:t>
      </w:r>
      <w:r w:rsidR="005B1E52" w:rsidRPr="00593063">
        <w:rPr>
          <w:rFonts w:ascii="Titillium" w:hAnsi="Titillium" w:cs="Calibri"/>
          <w:bCs/>
          <w:i/>
          <w:iCs/>
          <w:color w:val="000000" w:themeColor="text1"/>
          <w:sz w:val="18"/>
          <w:szCs w:val="18"/>
        </w:rPr>
        <w:t>…</w:t>
      </w:r>
      <w:r w:rsidR="00030E28" w:rsidRPr="00593063">
        <w:rPr>
          <w:rFonts w:ascii="Titillium" w:hAnsi="Titillium" w:cs="Calibri"/>
          <w:bCs/>
          <w:i/>
          <w:iCs/>
          <w:color w:val="000000" w:themeColor="text1"/>
          <w:sz w:val="18"/>
          <w:szCs w:val="18"/>
        </w:rPr>
        <w:t>.</w:t>
      </w:r>
      <w:r w:rsidR="00851967" w:rsidRPr="00593063">
        <w:rPr>
          <w:rFonts w:ascii="Titillium" w:hAnsi="Titillium" w:cs="Calibri"/>
          <w:bCs/>
          <w:i/>
          <w:iCs/>
          <w:color w:val="000000" w:themeColor="text1"/>
          <w:sz w:val="18"/>
          <w:szCs w:val="18"/>
        </w:rPr>
        <w:t xml:space="preserve"> [indicare nome, cognome e indirizzo e-mail - PEC]. </w:t>
      </w:r>
      <w:r w:rsidR="00556F3D" w:rsidRPr="00593063">
        <w:rPr>
          <w:rFonts w:ascii="Titillium" w:hAnsi="Titillium" w:cs="Calibri"/>
          <w:bCs/>
          <w:i/>
          <w:iCs/>
          <w:color w:val="000000" w:themeColor="text1"/>
          <w:sz w:val="18"/>
          <w:szCs w:val="18"/>
        </w:rPr>
        <w:t xml:space="preserve"> </w:t>
      </w:r>
    </w:p>
    <w:p w14:paraId="61791DA4" w14:textId="361D8B62" w:rsidR="006842EE" w:rsidRPr="00075257" w:rsidRDefault="008F2625">
      <w:pPr>
        <w:pStyle w:val="Titolo2"/>
        <w:numPr>
          <w:ilvl w:val="0"/>
          <w:numId w:val="3"/>
        </w:numPr>
        <w:spacing w:after="200"/>
        <w:ind w:left="357" w:hanging="357"/>
        <w:rPr>
          <w:rFonts w:ascii="Titillium" w:hAnsi="Titillium"/>
          <w:b w:val="0"/>
          <w:bCs w:val="0"/>
          <w:caps w:val="0"/>
          <w:color w:val="FF0000"/>
          <w:sz w:val="18"/>
          <w:szCs w:val="18"/>
        </w:rPr>
      </w:pPr>
      <w:bookmarkStart w:id="136" w:name="_Toc227921611"/>
      <w:bookmarkStart w:id="137" w:name="_Ref132303744"/>
      <w:r w:rsidRPr="00F07DA3">
        <w:rPr>
          <w:rFonts w:ascii="Titillium" w:hAnsi="Titillium"/>
          <w:caps w:val="0"/>
          <w:sz w:val="18"/>
          <w:szCs w:val="18"/>
        </w:rPr>
        <w:t>PIATTAFORMA</w:t>
      </w:r>
      <w:bookmarkEnd w:id="136"/>
      <w:r w:rsidRPr="00F07DA3">
        <w:rPr>
          <w:rFonts w:ascii="Titillium" w:hAnsi="Titillium"/>
          <w:caps w:val="0"/>
          <w:color w:val="FF0000"/>
          <w:sz w:val="18"/>
          <w:szCs w:val="18"/>
        </w:rPr>
        <w:t xml:space="preserve"> </w:t>
      </w:r>
      <w:bookmarkEnd w:id="137"/>
    </w:p>
    <w:p w14:paraId="7E72F836" w14:textId="3AAEA307" w:rsidR="006842EE" w:rsidRPr="00AC289F" w:rsidRDefault="008F2625">
      <w:pPr>
        <w:pStyle w:val="Titolo3"/>
        <w:numPr>
          <w:ilvl w:val="1"/>
          <w:numId w:val="3"/>
        </w:numPr>
        <w:ind w:left="426"/>
        <w:rPr>
          <w:rFonts w:ascii="Titillium" w:hAnsi="Titillium"/>
          <w:iCs/>
          <w:caps w:val="0"/>
          <w:strike/>
          <w:color w:val="000000" w:themeColor="text1"/>
          <w:sz w:val="18"/>
          <w:szCs w:val="18"/>
        </w:rPr>
      </w:pPr>
      <w:bookmarkStart w:id="138" w:name="_Ref132303729"/>
      <w:bookmarkStart w:id="139" w:name="_Toc227921612"/>
      <w:r w:rsidRPr="00F07DA3">
        <w:rPr>
          <w:rFonts w:ascii="Titillium" w:hAnsi="Titillium"/>
          <w:iCs/>
          <w:caps w:val="0"/>
          <w:sz w:val="18"/>
          <w:szCs w:val="18"/>
        </w:rPr>
        <w:t xml:space="preserve">LA PIATTAFORMA </w:t>
      </w:r>
      <w:r w:rsidR="00115B08" w:rsidRPr="00F07DA3">
        <w:rPr>
          <w:rFonts w:ascii="Titillium" w:hAnsi="Titillium"/>
          <w:iCs/>
          <w:caps w:val="0"/>
          <w:sz w:val="18"/>
          <w:szCs w:val="18"/>
        </w:rPr>
        <w:t xml:space="preserve"> DI APPROVIGGIONAMENTO DIGITALE </w:t>
      </w:r>
      <w:r w:rsidR="00115B08" w:rsidRPr="00AC289F">
        <w:rPr>
          <w:rFonts w:ascii="Titillium" w:hAnsi="Titillium"/>
          <w:iCs/>
          <w:caps w:val="0"/>
          <w:color w:val="000000" w:themeColor="text1"/>
          <w:sz w:val="18"/>
          <w:szCs w:val="18"/>
        </w:rPr>
        <w:t>(PA</w:t>
      </w:r>
      <w:bookmarkEnd w:id="138"/>
      <w:r w:rsidR="00E56E20">
        <w:rPr>
          <w:rFonts w:ascii="Titillium" w:hAnsi="Titillium"/>
          <w:iCs/>
          <w:caps w:val="0"/>
          <w:color w:val="000000" w:themeColor="text1"/>
          <w:sz w:val="18"/>
          <w:szCs w:val="18"/>
        </w:rPr>
        <w:t>D)</w:t>
      </w:r>
      <w:bookmarkEnd w:id="139"/>
    </w:p>
    <w:p w14:paraId="1BA93571" w14:textId="65977286" w:rsidR="006842EE" w:rsidRPr="00F07DA3" w:rsidRDefault="008F2625" w:rsidP="00BB13C7">
      <w:pPr>
        <w:pStyle w:val="Nessunaspaziatura"/>
        <w:tabs>
          <w:tab w:val="left" w:pos="567"/>
        </w:tabs>
        <w:spacing w:before="60" w:after="60"/>
        <w:rPr>
          <w:rFonts w:ascii="Titillium" w:hAnsi="Titillium" w:cs="Calibri"/>
          <w:bCs/>
          <w:iCs/>
          <w:sz w:val="18"/>
          <w:szCs w:val="18"/>
        </w:rPr>
      </w:pPr>
      <w:r w:rsidRPr="00F07DA3">
        <w:rPr>
          <w:rFonts w:ascii="Titillium" w:hAnsi="Titillium" w:cs="Calibri"/>
          <w:bCs/>
          <w:iCs/>
          <w:sz w:val="18"/>
          <w:szCs w:val="18"/>
        </w:rPr>
        <w:t>L’utilizzo della P</w:t>
      </w:r>
      <w:r w:rsidR="00115B08" w:rsidRPr="00F07DA3">
        <w:rPr>
          <w:rFonts w:ascii="Titillium" w:hAnsi="Titillium" w:cs="Calibri"/>
          <w:bCs/>
          <w:iCs/>
          <w:sz w:val="18"/>
          <w:szCs w:val="18"/>
        </w:rPr>
        <w:t xml:space="preserve">AD </w:t>
      </w:r>
      <w:r w:rsidRPr="00F07DA3">
        <w:rPr>
          <w:rFonts w:ascii="Titillium" w:hAnsi="Titillium" w:cs="Calibri"/>
          <w:bCs/>
          <w:iCs/>
          <w:sz w:val="18"/>
          <w:szCs w:val="18"/>
        </w:rPr>
        <w:t>comporta l’accettazione tacita ed incondizionata di tutti i termini, le condizioni di utilizzo e le avvertenze contenute nei documenti di gara, in particolare, del Regolamento UE n. 910/2014 (di seguito Regolamento eIDAS - electronic IDentification Authentication and Signature), del decreto legislativo n. 82/2005 recante Codice dell’amministrazione digitale (CAD) e delle Linee guida dell’AGID, nonché di quanto portato a conoscenza degli utenti tramite le comunicazioni sulla P</w:t>
      </w:r>
      <w:r w:rsidR="00BB13C7">
        <w:rPr>
          <w:rFonts w:ascii="Titillium" w:hAnsi="Titillium" w:cs="Calibri"/>
          <w:bCs/>
          <w:iCs/>
          <w:sz w:val="18"/>
          <w:szCs w:val="18"/>
        </w:rPr>
        <w:t>AD.</w:t>
      </w:r>
    </w:p>
    <w:p w14:paraId="4573F369" w14:textId="0AE2D5B4" w:rsidR="006842EE" w:rsidRPr="00F07DA3" w:rsidRDefault="008F2625" w:rsidP="00BB13C7">
      <w:pPr>
        <w:pStyle w:val="Nessunaspaziatura"/>
        <w:tabs>
          <w:tab w:val="left" w:pos="567"/>
        </w:tabs>
        <w:spacing w:before="60" w:after="60"/>
        <w:rPr>
          <w:rFonts w:ascii="Titillium" w:hAnsi="Titillium" w:cs="Calibri"/>
          <w:bCs/>
          <w:iCs/>
          <w:sz w:val="18"/>
          <w:szCs w:val="18"/>
        </w:rPr>
      </w:pPr>
      <w:r w:rsidRPr="00F07DA3">
        <w:rPr>
          <w:rFonts w:ascii="Titillium" w:hAnsi="Titillium" w:cs="Calibri"/>
          <w:bCs/>
          <w:iCs/>
          <w:sz w:val="18"/>
          <w:szCs w:val="18"/>
        </w:rPr>
        <w:t xml:space="preserve">L’utilizzo della </w:t>
      </w:r>
      <w:r w:rsidR="00115B08" w:rsidRPr="00F07DA3">
        <w:rPr>
          <w:rFonts w:ascii="Titillium" w:hAnsi="Titillium" w:cs="Calibri"/>
          <w:bCs/>
          <w:iCs/>
          <w:sz w:val="18"/>
          <w:szCs w:val="18"/>
        </w:rPr>
        <w:t xml:space="preserve">PAD </w:t>
      </w:r>
      <w:r w:rsidRPr="00F07DA3">
        <w:rPr>
          <w:rFonts w:ascii="Titillium" w:hAnsi="Titillium" w:cs="Calibri"/>
          <w:bCs/>
          <w:iCs/>
          <w:sz w:val="18"/>
          <w:szCs w:val="18"/>
        </w:rPr>
        <w:t xml:space="preserve">avviene nel rispetto dei principi di autoresponsabilità e di diligenza professionale, secondo quanto previsto dall’articolo 1176, comma 2, del Codice civile. </w:t>
      </w:r>
    </w:p>
    <w:p w14:paraId="0C4DE84D" w14:textId="77777777" w:rsidR="006842EE" w:rsidRPr="00F07DA3" w:rsidRDefault="008F2625" w:rsidP="00BB13C7">
      <w:pPr>
        <w:pStyle w:val="Default"/>
        <w:rPr>
          <w:rFonts w:ascii="Titillium" w:eastAsia="Times New Roman" w:hAnsi="Titillium" w:cs="Calibri"/>
          <w:bCs/>
          <w:iCs/>
          <w:color w:val="auto"/>
          <w:sz w:val="18"/>
          <w:szCs w:val="18"/>
        </w:rPr>
      </w:pPr>
      <w:r w:rsidRPr="00F07DA3">
        <w:rPr>
          <w:rFonts w:ascii="Titillium" w:eastAsia="Times New Roman" w:hAnsi="Titillium" w:cs="Calibri"/>
          <w:bCs/>
          <w:iCs/>
          <w:color w:val="auto"/>
          <w:sz w:val="18"/>
          <w:szCs w:val="18"/>
        </w:rPr>
        <w:t>La Stazione appaltante non assume alcuna responsabilità per perdita di documenti e dati, danneggiamento di file e documenti, ritardi nell’inserimento di dati, documenti e/o nella presentazione della domanda, malfunzionamento, danni, pregiudizi derivanti all’operatore economico, da:</w:t>
      </w:r>
    </w:p>
    <w:p w14:paraId="23D58DB1" w14:textId="39E5CC74" w:rsidR="006842EE" w:rsidRPr="00F07DA3" w:rsidRDefault="008F2625" w:rsidP="00D26F03">
      <w:pPr>
        <w:pStyle w:val="Default"/>
        <w:numPr>
          <w:ilvl w:val="1"/>
          <w:numId w:val="11"/>
        </w:numPr>
        <w:ind w:left="284" w:hanging="284"/>
        <w:rPr>
          <w:rFonts w:ascii="Titillium" w:eastAsia="Times New Roman" w:hAnsi="Titillium" w:cs="Calibri"/>
          <w:bCs/>
          <w:iCs/>
          <w:color w:val="auto"/>
          <w:sz w:val="18"/>
          <w:szCs w:val="18"/>
        </w:rPr>
      </w:pPr>
      <w:r w:rsidRPr="00F07DA3">
        <w:rPr>
          <w:rFonts w:ascii="Titillium" w:eastAsia="Times New Roman" w:hAnsi="Titillium" w:cs="Calibri"/>
          <w:bCs/>
          <w:iCs/>
          <w:color w:val="auto"/>
          <w:sz w:val="18"/>
          <w:szCs w:val="18"/>
        </w:rPr>
        <w:t xml:space="preserve">difetti di funzionamento delle apparecchiature e dei sistemi di collegamento e programmi impiegati dal singolo operatore economico per il collegamento alla </w:t>
      </w:r>
      <w:r w:rsidR="00F07DA3">
        <w:rPr>
          <w:rFonts w:ascii="Titillium" w:eastAsia="Times New Roman" w:hAnsi="Titillium" w:cs="Calibri"/>
          <w:bCs/>
          <w:iCs/>
          <w:color w:val="auto"/>
          <w:sz w:val="18"/>
          <w:szCs w:val="18"/>
        </w:rPr>
        <w:t>PAD</w:t>
      </w:r>
      <w:r w:rsidR="00AC289F">
        <w:rPr>
          <w:rFonts w:ascii="Titillium" w:eastAsia="Times New Roman" w:hAnsi="Titillium" w:cs="Calibri"/>
          <w:bCs/>
          <w:iCs/>
          <w:color w:val="auto"/>
          <w:sz w:val="18"/>
          <w:szCs w:val="18"/>
        </w:rPr>
        <w:t>;</w:t>
      </w:r>
      <w:r w:rsidR="00F07DA3">
        <w:rPr>
          <w:rFonts w:ascii="Titillium" w:eastAsia="Times New Roman" w:hAnsi="Titillium" w:cs="Calibri"/>
          <w:bCs/>
          <w:iCs/>
          <w:color w:val="auto"/>
          <w:sz w:val="18"/>
          <w:szCs w:val="18"/>
        </w:rPr>
        <w:t xml:space="preserve"> </w:t>
      </w:r>
    </w:p>
    <w:p w14:paraId="52A99039" w14:textId="2AB5D5FD" w:rsidR="006842EE" w:rsidRPr="00F07DA3" w:rsidRDefault="008F2625" w:rsidP="00D26F03">
      <w:pPr>
        <w:pStyle w:val="Default"/>
        <w:numPr>
          <w:ilvl w:val="1"/>
          <w:numId w:val="11"/>
        </w:numPr>
        <w:ind w:left="284" w:hanging="284"/>
        <w:rPr>
          <w:rFonts w:ascii="Titillium" w:eastAsia="Times New Roman" w:hAnsi="Titillium" w:cs="Calibri"/>
          <w:bCs/>
          <w:iCs/>
          <w:color w:val="auto"/>
          <w:sz w:val="18"/>
          <w:szCs w:val="18"/>
        </w:rPr>
      </w:pPr>
      <w:r w:rsidRPr="00F07DA3">
        <w:rPr>
          <w:rFonts w:ascii="Titillium" w:eastAsia="Times New Roman" w:hAnsi="Titillium" w:cs="Calibri"/>
          <w:bCs/>
          <w:iCs/>
          <w:color w:val="auto"/>
          <w:sz w:val="18"/>
          <w:szCs w:val="18"/>
        </w:rPr>
        <w:t>utilizzo della P</w:t>
      </w:r>
      <w:r w:rsidR="00F07DA3">
        <w:rPr>
          <w:rFonts w:ascii="Titillium" w:eastAsia="Times New Roman" w:hAnsi="Titillium" w:cs="Calibri"/>
          <w:bCs/>
          <w:iCs/>
          <w:color w:val="auto"/>
          <w:sz w:val="18"/>
          <w:szCs w:val="18"/>
        </w:rPr>
        <w:t xml:space="preserve">AD </w:t>
      </w:r>
      <w:r w:rsidRPr="00F07DA3">
        <w:rPr>
          <w:rFonts w:ascii="Titillium" w:eastAsia="Times New Roman" w:hAnsi="Titillium" w:cs="Calibri"/>
          <w:bCs/>
          <w:iCs/>
          <w:color w:val="auto"/>
          <w:sz w:val="18"/>
          <w:szCs w:val="18"/>
        </w:rPr>
        <w:t>da parte dell’operatore economico in maniera non conforme al Disciplinare e a quanto previsto nel documento denominato … [</w:t>
      </w:r>
      <w:r w:rsidRPr="00F07DA3">
        <w:rPr>
          <w:rFonts w:ascii="Titillium" w:eastAsia="Times New Roman" w:hAnsi="Titillium" w:cs="Calibri"/>
          <w:bCs/>
          <w:i/>
          <w:color w:val="auto"/>
          <w:sz w:val="18"/>
          <w:szCs w:val="18"/>
        </w:rPr>
        <w:t>indicare il documento nel quale sono riportate tutte le prescrizioni tecnico-informatiche, ad esempio Condizioni generali di utilizzo della P</w:t>
      </w:r>
      <w:r w:rsidR="00BB13C7">
        <w:rPr>
          <w:rFonts w:ascii="Titillium" w:eastAsia="Times New Roman" w:hAnsi="Titillium" w:cs="Calibri"/>
          <w:bCs/>
          <w:i/>
          <w:color w:val="auto"/>
          <w:sz w:val="18"/>
          <w:szCs w:val="18"/>
        </w:rPr>
        <w:t>AD</w:t>
      </w:r>
      <w:r w:rsidRPr="00F07DA3">
        <w:rPr>
          <w:rFonts w:ascii="Titillium" w:eastAsia="Times New Roman" w:hAnsi="Titillium" w:cs="Calibri"/>
          <w:bCs/>
          <w:i/>
          <w:iCs/>
          <w:color w:val="auto"/>
          <w:sz w:val="18"/>
          <w:szCs w:val="18"/>
        </w:rPr>
        <w:t>].</w:t>
      </w:r>
    </w:p>
    <w:p w14:paraId="14E1151E" w14:textId="177CBB75" w:rsidR="00F07DA3" w:rsidRPr="00AC289F" w:rsidRDefault="00F07DA3">
      <w:pPr>
        <w:pStyle w:val="Default"/>
        <w:rPr>
          <w:rFonts w:ascii="Titillium" w:eastAsia="Times New Roman" w:hAnsi="Titillium" w:cs="Calibri"/>
          <w:bCs/>
          <w:iCs/>
          <w:color w:val="000000" w:themeColor="text1"/>
          <w:sz w:val="18"/>
          <w:szCs w:val="18"/>
        </w:rPr>
      </w:pPr>
      <w:r w:rsidRPr="00AC289F">
        <w:rPr>
          <w:rFonts w:ascii="Titillium" w:eastAsia="Times New Roman" w:hAnsi="Titillium" w:cs="Calibri"/>
          <w:bCs/>
          <w:iCs/>
          <w:color w:val="000000" w:themeColor="text1"/>
          <w:sz w:val="18"/>
          <w:szCs w:val="18"/>
        </w:rPr>
        <w:t xml:space="preserve">In caso di mancato funzionamento della PAD o di malfunzionamento della stessa, non dovuti alle predette circostanze, che impediscono la corretta presentazione delle offerte, al fine di assicurare la massima partecipazione, la stazione appaltante valuta la necessità di disporre la sospensione del termine per la presentazione delle offerte per il periodo di tempo strettamente necessario a ripristinare il normale funzionamento e la proroga dello stesso per una durata proporzionale alla durata del mancato o non corretto funzionamento, tenuto conto della gravità dello stesso e del momento in cui si verifica. </w:t>
      </w:r>
      <w:r w:rsidRPr="005D54B1">
        <w:rPr>
          <w:rFonts w:ascii="Titillium" w:eastAsia="Times New Roman" w:hAnsi="Titillium" w:cs="Calibri"/>
          <w:bCs/>
          <w:iCs/>
          <w:color w:val="000000" w:themeColor="text1"/>
          <w:sz w:val="18"/>
          <w:szCs w:val="18"/>
        </w:rPr>
        <w:t>La proroga</w:t>
      </w:r>
      <w:r w:rsidR="00706189" w:rsidRPr="005D54B1">
        <w:rPr>
          <w:rFonts w:ascii="Titillium" w:eastAsia="Times New Roman" w:hAnsi="Titillium" w:cs="Calibri"/>
          <w:bCs/>
          <w:iCs/>
          <w:color w:val="000000" w:themeColor="text1"/>
          <w:sz w:val="18"/>
          <w:szCs w:val="18"/>
        </w:rPr>
        <w:t xml:space="preserve"> o la riapertura </w:t>
      </w:r>
      <w:r w:rsidRPr="005D54B1">
        <w:rPr>
          <w:rFonts w:ascii="Titillium" w:eastAsia="Times New Roman" w:hAnsi="Titillium" w:cs="Calibri"/>
          <w:bCs/>
          <w:iCs/>
          <w:color w:val="000000" w:themeColor="text1"/>
          <w:sz w:val="18"/>
          <w:szCs w:val="18"/>
        </w:rPr>
        <w:t xml:space="preserve">del termine </w:t>
      </w:r>
      <w:r w:rsidR="00706189" w:rsidRPr="005D54B1">
        <w:rPr>
          <w:rFonts w:ascii="Titillium" w:eastAsia="Times New Roman" w:hAnsi="Titillium" w:cs="Calibri"/>
          <w:bCs/>
          <w:iCs/>
          <w:color w:val="000000" w:themeColor="text1"/>
          <w:sz w:val="18"/>
          <w:szCs w:val="18"/>
        </w:rPr>
        <w:t xml:space="preserve">di scadenza delle offerte </w:t>
      </w:r>
      <w:r w:rsidRPr="005D54B1">
        <w:rPr>
          <w:rFonts w:ascii="Titillium" w:eastAsia="Times New Roman" w:hAnsi="Titillium" w:cs="Calibri"/>
          <w:bCs/>
          <w:iCs/>
          <w:color w:val="000000" w:themeColor="text1"/>
          <w:sz w:val="18"/>
          <w:szCs w:val="18"/>
        </w:rPr>
        <w:t xml:space="preserve">limitata ad </w:t>
      </w:r>
      <w:r w:rsidR="00706189" w:rsidRPr="005D54B1">
        <w:rPr>
          <w:rFonts w:ascii="Titillium" w:eastAsia="Times New Roman" w:hAnsi="Titillium" w:cs="Calibri"/>
          <w:bCs/>
          <w:iCs/>
          <w:color w:val="000000" w:themeColor="text1"/>
          <w:sz w:val="18"/>
          <w:szCs w:val="18"/>
        </w:rPr>
        <w:t xml:space="preserve">un periodo </w:t>
      </w:r>
      <w:r w:rsidR="00706189" w:rsidRPr="004C10B2">
        <w:rPr>
          <w:rFonts w:ascii="Titillium" w:eastAsia="Times New Roman" w:hAnsi="Titillium" w:cs="Calibri"/>
          <w:bCs/>
          <w:iCs/>
          <w:color w:val="000000" w:themeColor="text1"/>
          <w:sz w:val="18"/>
          <w:szCs w:val="18"/>
        </w:rPr>
        <w:t xml:space="preserve">massimo di </w:t>
      </w:r>
      <w:r w:rsidR="005B5BA6" w:rsidRPr="004C10B2">
        <w:rPr>
          <w:rFonts w:ascii="Titillium" w:eastAsia="Times New Roman" w:hAnsi="Titillium" w:cs="Calibri"/>
          <w:bCs/>
          <w:iCs/>
          <w:color w:val="000000" w:themeColor="text1"/>
          <w:sz w:val="18"/>
          <w:szCs w:val="18"/>
        </w:rPr>
        <w:t>48</w:t>
      </w:r>
      <w:r w:rsidR="00706189" w:rsidRPr="005D54B1">
        <w:rPr>
          <w:rFonts w:ascii="Titillium" w:eastAsia="Times New Roman" w:hAnsi="Titillium" w:cs="Calibri"/>
          <w:bCs/>
          <w:iCs/>
          <w:color w:val="000000" w:themeColor="text1"/>
          <w:sz w:val="18"/>
          <w:szCs w:val="18"/>
        </w:rPr>
        <w:t xml:space="preserve"> ore d</w:t>
      </w:r>
      <w:r w:rsidRPr="00AC289F">
        <w:rPr>
          <w:rFonts w:ascii="Titillium" w:eastAsia="Times New Roman" w:hAnsi="Titillium" w:cs="Calibri"/>
          <w:bCs/>
          <w:iCs/>
          <w:color w:val="000000" w:themeColor="text1"/>
          <w:sz w:val="18"/>
          <w:szCs w:val="18"/>
        </w:rPr>
        <w:t>alla data</w:t>
      </w:r>
      <w:r w:rsidR="00AC289F" w:rsidRPr="00AC289F">
        <w:rPr>
          <w:rFonts w:ascii="Titillium" w:eastAsia="Times New Roman" w:hAnsi="Titillium" w:cs="Calibri"/>
          <w:bCs/>
          <w:iCs/>
          <w:color w:val="000000" w:themeColor="text1"/>
          <w:sz w:val="18"/>
          <w:szCs w:val="18"/>
        </w:rPr>
        <w:t xml:space="preserve"> di scadenza</w:t>
      </w:r>
      <w:r w:rsidRPr="00AC289F">
        <w:rPr>
          <w:rFonts w:ascii="Titillium" w:eastAsia="Times New Roman" w:hAnsi="Titillium" w:cs="Calibri"/>
          <w:bCs/>
          <w:iCs/>
          <w:color w:val="000000" w:themeColor="text1"/>
          <w:sz w:val="18"/>
          <w:szCs w:val="18"/>
        </w:rPr>
        <w:t xml:space="preserve"> indicata nel bando è resa nota sulla PAD e sul sito internet della stazione appaltante</w:t>
      </w:r>
      <w:r w:rsidR="00473B93" w:rsidRPr="000B513B">
        <w:rPr>
          <w:rFonts w:ascii="Titillium" w:eastAsia="Times New Roman" w:hAnsi="Titillium" w:cs="Calibri"/>
          <w:bCs/>
          <w:iCs/>
          <w:color w:val="000000" w:themeColor="text1"/>
          <w:sz w:val="18"/>
          <w:szCs w:val="18"/>
        </w:rPr>
        <w:t xml:space="preserve">... </w:t>
      </w:r>
      <w:r w:rsidR="00473B93" w:rsidRPr="000B513B">
        <w:rPr>
          <w:rFonts w:ascii="Titillium" w:eastAsia="Times New Roman" w:hAnsi="Titillium" w:cs="Calibri"/>
          <w:bCs/>
          <w:i/>
          <w:color w:val="000000" w:themeColor="text1"/>
          <w:sz w:val="18"/>
          <w:szCs w:val="18"/>
        </w:rPr>
        <w:t>[indicare il link</w:t>
      </w:r>
      <w:r w:rsidR="001379E6" w:rsidRPr="000B513B">
        <w:rPr>
          <w:rFonts w:ascii="Titillium" w:eastAsia="Times New Roman" w:hAnsi="Titillium" w:cs="Calibri"/>
          <w:bCs/>
          <w:iCs/>
          <w:color w:val="000000" w:themeColor="text1"/>
          <w:sz w:val="18"/>
          <w:szCs w:val="18"/>
        </w:rPr>
        <w:t>],</w:t>
      </w:r>
      <w:r w:rsidRPr="00AC289F">
        <w:rPr>
          <w:rFonts w:ascii="Titillium" w:eastAsia="Times New Roman" w:hAnsi="Titillium" w:cs="Calibri"/>
          <w:bCs/>
          <w:iCs/>
          <w:color w:val="000000" w:themeColor="text1"/>
          <w:sz w:val="18"/>
          <w:szCs w:val="18"/>
        </w:rPr>
        <w:t xml:space="preserve"> unitamente all’indicazione della durata e dei motivi del malfunzionamento. In tali casi, non è richiesta la pubblicazione di una rettifica al bando di gara ai sensi dell’articolo 27 del codice, né la riedizione della procedura.</w:t>
      </w:r>
      <w:r w:rsidR="0086564E" w:rsidRPr="0086564E">
        <w:t xml:space="preserve"> </w:t>
      </w:r>
    </w:p>
    <w:p w14:paraId="3D898310" w14:textId="124F2FF6" w:rsidR="0086564E" w:rsidRDefault="00085620" w:rsidP="00203A01">
      <w:pPr>
        <w:pStyle w:val="Default"/>
        <w:rPr>
          <w:rFonts w:ascii="Titillium" w:eastAsia="Times New Roman" w:hAnsi="Titillium" w:cs="Calibri"/>
          <w:bCs/>
          <w:iCs/>
          <w:color w:val="000000" w:themeColor="text1"/>
          <w:sz w:val="18"/>
          <w:szCs w:val="18"/>
        </w:rPr>
      </w:pPr>
      <w:r w:rsidRPr="00F07DA3">
        <w:rPr>
          <w:rFonts w:ascii="Titillium" w:eastAsia="Times New Roman" w:hAnsi="Titillium" w:cs="Calibri"/>
          <w:bCs/>
          <w:iCs/>
          <w:color w:val="auto"/>
          <w:sz w:val="18"/>
          <w:szCs w:val="18"/>
        </w:rPr>
        <w:t>Nel c</w:t>
      </w:r>
      <w:r w:rsidR="00CB1B58" w:rsidRPr="00F07DA3">
        <w:rPr>
          <w:rFonts w:ascii="Titillium" w:eastAsia="Times New Roman" w:hAnsi="Titillium" w:cs="Calibri"/>
          <w:bCs/>
          <w:iCs/>
          <w:color w:val="auto"/>
          <w:sz w:val="18"/>
          <w:szCs w:val="18"/>
        </w:rPr>
        <w:t xml:space="preserve">aso in cui la proroga dei termini per la presentazione delle offerte </w:t>
      </w:r>
      <w:r w:rsidR="00F07DA3" w:rsidRPr="00AC289F">
        <w:rPr>
          <w:rFonts w:ascii="Titillium" w:eastAsia="Times New Roman" w:hAnsi="Titillium" w:cs="Calibri"/>
          <w:bCs/>
          <w:iCs/>
          <w:color w:val="000000" w:themeColor="text1"/>
          <w:sz w:val="18"/>
          <w:szCs w:val="18"/>
        </w:rPr>
        <w:t xml:space="preserve">abbia </w:t>
      </w:r>
      <w:r w:rsidR="00F07DA3" w:rsidRPr="005B5BA6">
        <w:rPr>
          <w:rFonts w:ascii="Titillium" w:eastAsia="Times New Roman" w:hAnsi="Titillium" w:cs="Calibri"/>
          <w:bCs/>
          <w:iCs/>
          <w:color w:val="000000" w:themeColor="text1"/>
          <w:sz w:val="18"/>
          <w:szCs w:val="18"/>
        </w:rPr>
        <w:t xml:space="preserve">una durata </w:t>
      </w:r>
      <w:r w:rsidR="007A65C0" w:rsidRPr="005B5BA6">
        <w:rPr>
          <w:rFonts w:ascii="Titillium" w:eastAsia="Times New Roman" w:hAnsi="Titillium" w:cs="Calibri"/>
          <w:bCs/>
          <w:iCs/>
          <w:color w:val="000000" w:themeColor="text1"/>
          <w:sz w:val="18"/>
          <w:szCs w:val="18"/>
        </w:rPr>
        <w:t>superiore</w:t>
      </w:r>
      <w:r w:rsidR="00203A01">
        <w:rPr>
          <w:rFonts w:ascii="Titillium" w:eastAsia="Times New Roman" w:hAnsi="Titillium" w:cs="Calibri"/>
          <w:bCs/>
          <w:iCs/>
          <w:color w:val="000000" w:themeColor="text1"/>
          <w:sz w:val="18"/>
          <w:szCs w:val="18"/>
        </w:rPr>
        <w:t xml:space="preserve"> </w:t>
      </w:r>
      <w:r w:rsidR="007A65C0" w:rsidRPr="00AC289F">
        <w:rPr>
          <w:rFonts w:ascii="Titillium" w:eastAsia="Times New Roman" w:hAnsi="Titillium" w:cs="Calibri"/>
          <w:bCs/>
          <w:iCs/>
          <w:color w:val="000000" w:themeColor="text1"/>
          <w:sz w:val="18"/>
          <w:szCs w:val="18"/>
        </w:rPr>
        <w:t>la</w:t>
      </w:r>
      <w:r w:rsidR="00CB1B58" w:rsidRPr="00AC289F">
        <w:rPr>
          <w:rFonts w:ascii="Titillium" w:eastAsia="Times New Roman" w:hAnsi="Titillium" w:cs="Calibri"/>
          <w:bCs/>
          <w:iCs/>
          <w:color w:val="000000" w:themeColor="text1"/>
          <w:sz w:val="18"/>
          <w:szCs w:val="18"/>
        </w:rPr>
        <w:t xml:space="preserve"> stazione appaltante </w:t>
      </w:r>
      <w:r w:rsidRPr="00AC289F">
        <w:rPr>
          <w:rFonts w:ascii="Titillium" w:eastAsia="Times New Roman" w:hAnsi="Titillium" w:cs="Calibri"/>
          <w:bCs/>
          <w:iCs/>
          <w:color w:val="000000" w:themeColor="text1"/>
          <w:sz w:val="18"/>
          <w:szCs w:val="18"/>
        </w:rPr>
        <w:t xml:space="preserve">rettifica </w:t>
      </w:r>
      <w:r w:rsidR="00CB1B58" w:rsidRPr="00AC289F">
        <w:rPr>
          <w:rFonts w:ascii="Titillium" w:eastAsia="Times New Roman" w:hAnsi="Titillium" w:cs="Calibri"/>
          <w:bCs/>
          <w:iCs/>
          <w:color w:val="000000" w:themeColor="text1"/>
          <w:sz w:val="18"/>
          <w:szCs w:val="18"/>
        </w:rPr>
        <w:t>il bando di gara con indicazione della</w:t>
      </w:r>
      <w:r w:rsidR="007A0A88" w:rsidRPr="00AC289F">
        <w:rPr>
          <w:rFonts w:ascii="Titillium" w:eastAsia="Times New Roman" w:hAnsi="Titillium" w:cs="Calibri"/>
          <w:bCs/>
          <w:iCs/>
          <w:color w:val="000000" w:themeColor="text1"/>
          <w:sz w:val="18"/>
          <w:szCs w:val="18"/>
        </w:rPr>
        <w:t xml:space="preserve"> nuova scadenza</w:t>
      </w:r>
      <w:r w:rsidR="0086564E">
        <w:rPr>
          <w:rFonts w:ascii="Titillium" w:eastAsia="Times New Roman" w:hAnsi="Titillium" w:cs="Calibri"/>
          <w:bCs/>
          <w:iCs/>
          <w:color w:val="000000" w:themeColor="text1"/>
          <w:sz w:val="18"/>
          <w:szCs w:val="18"/>
        </w:rPr>
        <w:t xml:space="preserve">. </w:t>
      </w:r>
    </w:p>
    <w:p w14:paraId="4E0EBB24" w14:textId="38C3A62C" w:rsidR="006842EE" w:rsidRPr="00F2160B" w:rsidRDefault="00FA5850">
      <w:pPr>
        <w:pStyle w:val="Default"/>
        <w:rPr>
          <w:rFonts w:ascii="Titillium" w:eastAsia="Times New Roman" w:hAnsi="Titillium" w:cs="Calibri"/>
          <w:bCs/>
          <w:iCs/>
          <w:color w:val="auto"/>
          <w:sz w:val="18"/>
          <w:szCs w:val="18"/>
        </w:rPr>
      </w:pPr>
      <w:r w:rsidRPr="00F2160B">
        <w:rPr>
          <w:rFonts w:ascii="Titillium" w:eastAsia="Times New Roman" w:hAnsi="Titillium" w:cs="Calibri"/>
          <w:bCs/>
          <w:iCs/>
          <w:color w:val="auto"/>
          <w:sz w:val="18"/>
          <w:szCs w:val="18"/>
        </w:rPr>
        <w:t xml:space="preserve">Nei soli casi in cui la sospensione o la proroga dei termini non siano considerati idonei a garantire la </w:t>
      </w:r>
      <w:r w:rsidRPr="0083766F">
        <w:rPr>
          <w:rFonts w:ascii="Titillium" w:eastAsia="Times New Roman" w:hAnsi="Titillium" w:cs="Calibri"/>
          <w:bCs/>
          <w:i/>
          <w:color w:val="auto"/>
          <w:sz w:val="18"/>
          <w:szCs w:val="18"/>
        </w:rPr>
        <w:t xml:space="preserve">par condicio </w:t>
      </w:r>
      <w:r w:rsidRPr="00F2160B">
        <w:rPr>
          <w:rFonts w:ascii="Titillium" w:eastAsia="Times New Roman" w:hAnsi="Titillium" w:cs="Calibri"/>
          <w:bCs/>
          <w:iCs/>
          <w:color w:val="auto"/>
          <w:sz w:val="18"/>
          <w:szCs w:val="18"/>
        </w:rPr>
        <w:t xml:space="preserve">dei partecipanti e/o la segretezza delle offerte </w:t>
      </w:r>
      <w:r w:rsidR="00085620" w:rsidRPr="00F2160B">
        <w:rPr>
          <w:rFonts w:ascii="Titillium" w:eastAsia="Times New Roman" w:hAnsi="Titillium" w:cs="Calibri"/>
          <w:bCs/>
          <w:iCs/>
          <w:color w:val="auto"/>
          <w:sz w:val="18"/>
          <w:szCs w:val="18"/>
        </w:rPr>
        <w:t xml:space="preserve">la stazione appaltante procede alla riedizione della procedura. </w:t>
      </w:r>
      <w:r w:rsidR="007A0A88" w:rsidRPr="00F2160B">
        <w:rPr>
          <w:rFonts w:ascii="Titillium" w:eastAsia="Times New Roman" w:hAnsi="Titillium" w:cs="Calibri"/>
          <w:bCs/>
          <w:iCs/>
          <w:color w:val="auto"/>
          <w:sz w:val="18"/>
          <w:szCs w:val="18"/>
        </w:rPr>
        <w:t xml:space="preserve"> </w:t>
      </w:r>
      <w:r w:rsidR="00CB1B58" w:rsidRPr="00F2160B">
        <w:rPr>
          <w:rFonts w:ascii="Titillium" w:eastAsia="Times New Roman" w:hAnsi="Titillium" w:cs="Calibri"/>
          <w:bCs/>
          <w:iCs/>
          <w:color w:val="auto"/>
          <w:sz w:val="18"/>
          <w:szCs w:val="18"/>
        </w:rPr>
        <w:t xml:space="preserve"> </w:t>
      </w:r>
      <w:r w:rsidR="009616D8" w:rsidRPr="00F2160B">
        <w:rPr>
          <w:rFonts w:ascii="Titillium" w:eastAsia="Times New Roman" w:hAnsi="Titillium" w:cs="Calibri"/>
          <w:bCs/>
          <w:iCs/>
          <w:color w:val="auto"/>
          <w:sz w:val="18"/>
          <w:szCs w:val="18"/>
        </w:rPr>
        <w:t xml:space="preserve">        </w:t>
      </w:r>
    </w:p>
    <w:p w14:paraId="262E2527" w14:textId="74661945" w:rsidR="006842EE" w:rsidRPr="00F2160B" w:rsidRDefault="008F2625">
      <w:pPr>
        <w:pStyle w:val="Default"/>
        <w:rPr>
          <w:rFonts w:ascii="Titillium" w:eastAsia="Times New Roman" w:hAnsi="Titillium" w:cs="Calibri"/>
          <w:bCs/>
          <w:iCs/>
          <w:color w:val="auto"/>
          <w:sz w:val="18"/>
          <w:szCs w:val="18"/>
        </w:rPr>
      </w:pPr>
      <w:r w:rsidRPr="00F2160B">
        <w:rPr>
          <w:rFonts w:ascii="Titillium" w:eastAsia="Times New Roman" w:hAnsi="Titillium" w:cs="Calibri"/>
          <w:bCs/>
          <w:iCs/>
          <w:color w:val="auto"/>
          <w:sz w:val="18"/>
          <w:szCs w:val="18"/>
        </w:rPr>
        <w:t xml:space="preserve">La stazione appaltante </w:t>
      </w:r>
      <w:r w:rsidR="007A65C0" w:rsidRPr="00F2160B">
        <w:rPr>
          <w:rFonts w:ascii="Titillium" w:eastAsia="Times New Roman" w:hAnsi="Titillium" w:cs="Calibri"/>
          <w:bCs/>
          <w:iCs/>
          <w:color w:val="auto"/>
          <w:sz w:val="18"/>
          <w:szCs w:val="18"/>
        </w:rPr>
        <w:t>si riserva</w:t>
      </w:r>
      <w:r w:rsidRPr="00F2160B">
        <w:rPr>
          <w:rFonts w:ascii="Titillium" w:eastAsia="Times New Roman" w:hAnsi="Titillium" w:cs="Calibri"/>
          <w:bCs/>
          <w:iCs/>
          <w:color w:val="auto"/>
          <w:sz w:val="18"/>
          <w:szCs w:val="18"/>
        </w:rPr>
        <w:t xml:space="preserve"> di agire in tal modo anche quando, esclusa la negligenza dell’operatore economico, non sia possibile accertare la causa del mancato funzionamento o del malfunzionamento.</w:t>
      </w:r>
    </w:p>
    <w:p w14:paraId="64F834E6" w14:textId="77777777" w:rsidR="00514713" w:rsidRDefault="00514713">
      <w:pPr>
        <w:pStyle w:val="Default"/>
        <w:tabs>
          <w:tab w:val="left" w:pos="567"/>
        </w:tabs>
        <w:rPr>
          <w:rFonts w:ascii="Titillium" w:eastAsia="Times New Roman" w:hAnsi="Titillium" w:cs="Calibri"/>
          <w:bCs/>
          <w:iCs/>
          <w:color w:val="auto"/>
          <w:sz w:val="18"/>
          <w:szCs w:val="18"/>
        </w:rPr>
      </w:pPr>
    </w:p>
    <w:p w14:paraId="5354112C" w14:textId="7735D517" w:rsidR="006842EE" w:rsidRPr="00F2160B" w:rsidRDefault="008F2625">
      <w:pPr>
        <w:pStyle w:val="Default"/>
        <w:tabs>
          <w:tab w:val="left" w:pos="567"/>
        </w:tabs>
        <w:rPr>
          <w:rFonts w:ascii="Titillium" w:eastAsia="Times New Roman" w:hAnsi="Titillium" w:cs="Calibri"/>
          <w:bCs/>
          <w:iCs/>
          <w:color w:val="auto"/>
          <w:sz w:val="18"/>
          <w:szCs w:val="18"/>
        </w:rPr>
      </w:pPr>
      <w:r w:rsidRPr="00F2160B">
        <w:rPr>
          <w:rFonts w:ascii="Titillium" w:eastAsia="Times New Roman" w:hAnsi="Titillium" w:cs="Calibri"/>
          <w:bCs/>
          <w:iCs/>
          <w:color w:val="auto"/>
          <w:sz w:val="18"/>
          <w:szCs w:val="18"/>
        </w:rPr>
        <w:t xml:space="preserve">Le attività e le operazioni effettuate nell'ambito della </w:t>
      </w:r>
      <w:r w:rsidRPr="00AC289F">
        <w:rPr>
          <w:rFonts w:ascii="Titillium" w:eastAsia="Times New Roman" w:hAnsi="Titillium" w:cs="Calibri"/>
          <w:bCs/>
          <w:iCs/>
          <w:color w:val="000000" w:themeColor="text1"/>
          <w:sz w:val="18"/>
          <w:szCs w:val="18"/>
        </w:rPr>
        <w:t>P</w:t>
      </w:r>
      <w:r w:rsidR="00085620" w:rsidRPr="00AC289F">
        <w:rPr>
          <w:rFonts w:ascii="Titillium" w:eastAsia="Times New Roman" w:hAnsi="Titillium" w:cs="Calibri"/>
          <w:bCs/>
          <w:iCs/>
          <w:color w:val="000000" w:themeColor="text1"/>
          <w:sz w:val="18"/>
          <w:szCs w:val="18"/>
        </w:rPr>
        <w:t>AD</w:t>
      </w:r>
      <w:r w:rsidR="00085620" w:rsidRPr="00F2160B">
        <w:rPr>
          <w:rFonts w:ascii="Titillium" w:eastAsia="Times New Roman" w:hAnsi="Titillium" w:cs="Calibri"/>
          <w:bCs/>
          <w:iCs/>
          <w:color w:val="5B9BD5" w:themeColor="accent1"/>
          <w:sz w:val="18"/>
          <w:szCs w:val="18"/>
        </w:rPr>
        <w:t xml:space="preserve"> </w:t>
      </w:r>
      <w:r w:rsidR="00AC289F" w:rsidRPr="005B5BA6">
        <w:rPr>
          <w:rFonts w:ascii="Titillium" w:eastAsia="Times New Roman" w:hAnsi="Titillium" w:cs="Calibri"/>
          <w:bCs/>
          <w:iCs/>
          <w:color w:val="auto"/>
          <w:sz w:val="18"/>
          <w:szCs w:val="18"/>
        </w:rPr>
        <w:t>s</w:t>
      </w:r>
      <w:r w:rsidRPr="005B5BA6">
        <w:rPr>
          <w:rFonts w:ascii="Titillium" w:eastAsia="Times New Roman" w:hAnsi="Titillium" w:cs="Calibri"/>
          <w:bCs/>
          <w:iCs/>
          <w:color w:val="auto"/>
          <w:sz w:val="18"/>
          <w:szCs w:val="18"/>
        </w:rPr>
        <w:t>o</w:t>
      </w:r>
      <w:r w:rsidRPr="00F2160B">
        <w:rPr>
          <w:rFonts w:ascii="Titillium" w:eastAsia="Times New Roman" w:hAnsi="Titillium" w:cs="Calibri"/>
          <w:bCs/>
          <w:iCs/>
          <w:color w:val="auto"/>
          <w:sz w:val="18"/>
          <w:szCs w:val="18"/>
        </w:rPr>
        <w:t xml:space="preserve">no registrate e attribuite all’operatore economico e si intendono compiute nell’ora e nel giorno risultanti dalle registrazioni di sistema. </w:t>
      </w:r>
    </w:p>
    <w:p w14:paraId="5B23B42D" w14:textId="673CCEAF" w:rsidR="006842EE" w:rsidRPr="00F2160B" w:rsidRDefault="008F2625">
      <w:pPr>
        <w:pStyle w:val="Default"/>
        <w:tabs>
          <w:tab w:val="left" w:pos="567"/>
        </w:tabs>
        <w:rPr>
          <w:color w:val="000000" w:themeColor="text1"/>
        </w:rPr>
      </w:pPr>
      <w:r w:rsidRPr="00F2160B">
        <w:rPr>
          <w:rFonts w:ascii="Titillium" w:eastAsia="Times New Roman" w:hAnsi="Titillium" w:cs="Calibri"/>
          <w:bCs/>
          <w:iCs/>
          <w:color w:val="000000" w:themeColor="text1"/>
          <w:sz w:val="18"/>
          <w:szCs w:val="18"/>
        </w:rPr>
        <w:t>Il sistema operativo della</w:t>
      </w:r>
      <w:r w:rsidR="00085620" w:rsidRPr="00F2160B">
        <w:rPr>
          <w:rFonts w:ascii="Titillium" w:eastAsia="Times New Roman" w:hAnsi="Titillium" w:cs="Calibri"/>
          <w:bCs/>
          <w:iCs/>
          <w:color w:val="000000" w:themeColor="text1"/>
          <w:sz w:val="18"/>
          <w:szCs w:val="18"/>
        </w:rPr>
        <w:t xml:space="preserve"> </w:t>
      </w:r>
      <w:r w:rsidR="00085620" w:rsidRPr="00AC289F">
        <w:rPr>
          <w:rFonts w:ascii="Titillium" w:eastAsia="Times New Roman" w:hAnsi="Titillium" w:cs="Calibri"/>
          <w:bCs/>
          <w:iCs/>
          <w:color w:val="000000" w:themeColor="text1"/>
          <w:sz w:val="18"/>
          <w:szCs w:val="18"/>
        </w:rPr>
        <w:t>PAD</w:t>
      </w:r>
      <w:r w:rsidR="00085620" w:rsidRPr="00F2160B">
        <w:rPr>
          <w:rFonts w:ascii="Titillium" w:eastAsia="Times New Roman" w:hAnsi="Titillium" w:cs="Calibri"/>
          <w:bCs/>
          <w:iCs/>
          <w:color w:val="5B9BD5" w:themeColor="accent1"/>
          <w:sz w:val="18"/>
          <w:szCs w:val="18"/>
        </w:rPr>
        <w:t xml:space="preserve"> </w:t>
      </w:r>
      <w:r w:rsidRPr="00F2160B">
        <w:rPr>
          <w:rFonts w:ascii="Titillium" w:eastAsia="Times New Roman" w:hAnsi="Titillium" w:cs="Calibri"/>
          <w:bCs/>
          <w:iCs/>
          <w:color w:val="000000" w:themeColor="text1"/>
          <w:sz w:val="18"/>
          <w:szCs w:val="18"/>
        </w:rPr>
        <w:t>è sincronizzato sulla scala di tempo nazionale di cui al</w:t>
      </w:r>
      <w:r w:rsidRPr="00F2160B">
        <w:rPr>
          <w:rFonts w:ascii="Calibri" w:eastAsia="Times New Roman" w:hAnsi="Calibri" w:cs="Calibri"/>
          <w:bCs/>
          <w:iCs/>
          <w:color w:val="000000" w:themeColor="text1"/>
          <w:sz w:val="18"/>
          <w:szCs w:val="18"/>
        </w:rPr>
        <w:t xml:space="preserve"> </w:t>
      </w:r>
      <w:r w:rsidRPr="00F2160B">
        <w:rPr>
          <w:rFonts w:ascii="Titillium" w:eastAsia="Times New Roman" w:hAnsi="Titillium" w:cs="Calibri"/>
          <w:bCs/>
          <w:iCs/>
          <w:color w:val="000000" w:themeColor="text1"/>
          <w:sz w:val="18"/>
          <w:szCs w:val="18"/>
        </w:rPr>
        <w:t xml:space="preserve">decreto del Ministro dell'industria, del commercio e dell'artigianato 30 novembre 1993, n. 591, tramite protocollo NTP o standard superiore. </w:t>
      </w:r>
    </w:p>
    <w:p w14:paraId="03C41178" w14:textId="6204521A" w:rsidR="006842EE" w:rsidRPr="00F2160B" w:rsidRDefault="008F2625">
      <w:pPr>
        <w:pStyle w:val="Default"/>
        <w:rPr>
          <w:rFonts w:ascii="Titillium" w:hAnsi="Titillium" w:cs="Calibri"/>
          <w:bCs/>
          <w:iCs/>
          <w:color w:val="auto"/>
          <w:sz w:val="18"/>
          <w:szCs w:val="18"/>
        </w:rPr>
      </w:pPr>
      <w:r w:rsidRPr="00F2160B">
        <w:rPr>
          <w:rFonts w:ascii="Titillium" w:hAnsi="Titillium" w:cs="Calibri"/>
          <w:b/>
          <w:bCs/>
          <w:i/>
          <w:iCs/>
          <w:color w:val="auto"/>
          <w:sz w:val="18"/>
          <w:szCs w:val="18"/>
          <w:highlight w:val="white"/>
        </w:rPr>
        <w:t>[Facoltativo]</w:t>
      </w:r>
      <w:r w:rsidRPr="00F2160B">
        <w:rPr>
          <w:rFonts w:ascii="Titillium" w:hAnsi="Titillium" w:cs="Calibri"/>
          <w:b/>
          <w:bCs/>
          <w:iCs/>
          <w:color w:val="auto"/>
          <w:sz w:val="18"/>
          <w:szCs w:val="18"/>
          <w:highlight w:val="white"/>
        </w:rPr>
        <w:t xml:space="preserve"> </w:t>
      </w:r>
      <w:r w:rsidRPr="00F2160B">
        <w:rPr>
          <w:rFonts w:ascii="Titillium" w:hAnsi="Titillium" w:cs="Calibri"/>
          <w:bCs/>
          <w:iCs/>
          <w:color w:val="auto"/>
          <w:sz w:val="18"/>
          <w:szCs w:val="18"/>
        </w:rPr>
        <w:t xml:space="preserve">L’utilizzo e il funzionamento della </w:t>
      </w:r>
      <w:r w:rsidR="0025550F" w:rsidRPr="00AC289F">
        <w:rPr>
          <w:rFonts w:ascii="Titillium" w:hAnsi="Titillium" w:cs="Calibri"/>
          <w:bCs/>
          <w:iCs/>
          <w:color w:val="000000" w:themeColor="text1"/>
          <w:sz w:val="18"/>
          <w:szCs w:val="18"/>
        </w:rPr>
        <w:t>PAD</w:t>
      </w:r>
      <w:r w:rsidR="0025550F" w:rsidRPr="00F2160B">
        <w:rPr>
          <w:rFonts w:ascii="Titillium" w:hAnsi="Titillium" w:cs="Calibri"/>
          <w:bCs/>
          <w:iCs/>
          <w:color w:val="5B9BD5" w:themeColor="accent1"/>
          <w:sz w:val="18"/>
          <w:szCs w:val="18"/>
        </w:rPr>
        <w:t xml:space="preserve"> </w:t>
      </w:r>
      <w:r w:rsidR="0025550F" w:rsidRPr="00F2160B">
        <w:rPr>
          <w:rFonts w:ascii="Titillium" w:hAnsi="Titillium" w:cs="Calibri"/>
          <w:bCs/>
          <w:iCs/>
          <w:color w:val="auto"/>
          <w:sz w:val="18"/>
          <w:szCs w:val="18"/>
        </w:rPr>
        <w:t>avvengono</w:t>
      </w:r>
      <w:r w:rsidRPr="00F2160B">
        <w:rPr>
          <w:rFonts w:ascii="Titillium" w:hAnsi="Titillium" w:cs="Calibri"/>
          <w:bCs/>
          <w:iCs/>
          <w:color w:val="auto"/>
          <w:sz w:val="18"/>
          <w:szCs w:val="18"/>
        </w:rPr>
        <w:t xml:space="preserve"> in conformità a quanto riportato nel </w:t>
      </w:r>
      <w:r w:rsidRPr="00F2160B">
        <w:rPr>
          <w:rFonts w:ascii="Titillium" w:hAnsi="Titillium" w:cs="Calibri"/>
          <w:bCs/>
          <w:color w:val="auto"/>
          <w:sz w:val="18"/>
          <w:szCs w:val="18"/>
        </w:rPr>
        <w:t>documento</w:t>
      </w:r>
      <w:r w:rsidRPr="00F2160B">
        <w:rPr>
          <w:rFonts w:ascii="Titillium" w:hAnsi="Titillium" w:cs="Calibri"/>
          <w:bCs/>
          <w:i/>
          <w:iCs/>
          <w:color w:val="auto"/>
          <w:sz w:val="18"/>
          <w:szCs w:val="18"/>
        </w:rPr>
        <w:t xml:space="preserve"> … [indicarne il nome, ad esempio Condizioni generali di utilizzo della </w:t>
      </w:r>
      <w:r w:rsidR="00085620" w:rsidRPr="00F2160B">
        <w:rPr>
          <w:rFonts w:ascii="Titillium" w:hAnsi="Titillium" w:cs="Calibri"/>
          <w:bCs/>
          <w:i/>
          <w:iCs/>
          <w:color w:val="auto"/>
          <w:sz w:val="18"/>
          <w:szCs w:val="18"/>
        </w:rPr>
        <w:t xml:space="preserve">PAD </w:t>
      </w:r>
      <w:r w:rsidRPr="00F2160B">
        <w:rPr>
          <w:rFonts w:ascii="Titillium" w:hAnsi="Titillium" w:cs="Calibri"/>
          <w:bCs/>
          <w:i/>
          <w:iCs/>
          <w:color w:val="auto"/>
          <w:sz w:val="18"/>
          <w:szCs w:val="18"/>
        </w:rPr>
        <w:t>o Regolamento tecnico]</w:t>
      </w:r>
      <w:r w:rsidRPr="00F2160B">
        <w:rPr>
          <w:rFonts w:ascii="Titillium" w:hAnsi="Titillium" w:cs="Calibri"/>
          <w:bCs/>
          <w:iCs/>
          <w:color w:val="auto"/>
          <w:sz w:val="18"/>
          <w:szCs w:val="18"/>
        </w:rPr>
        <w:t>, che costituisce parte integrante del presente disciplinare.</w:t>
      </w:r>
    </w:p>
    <w:p w14:paraId="13DEEA62" w14:textId="79F8A68C" w:rsidR="006842EE" w:rsidRPr="00F2160B" w:rsidRDefault="008F2625">
      <w:pPr>
        <w:pStyle w:val="Default"/>
        <w:rPr>
          <w:color w:val="auto"/>
        </w:rPr>
      </w:pPr>
      <w:r w:rsidRPr="00F2160B">
        <w:rPr>
          <w:rFonts w:ascii="Titillium" w:eastAsia="Times New Roman" w:hAnsi="Titillium" w:cs="Calibri"/>
          <w:bCs/>
          <w:iCs/>
          <w:color w:val="auto"/>
          <w:sz w:val="18"/>
          <w:szCs w:val="18"/>
        </w:rPr>
        <w:t>L’acquisto, l’installazione e la configurazione dell’</w:t>
      </w:r>
      <w:r w:rsidRPr="00F2160B">
        <w:rPr>
          <w:rFonts w:ascii="Titillium" w:eastAsia="Times New Roman" w:hAnsi="Titillium" w:cs="Calibri"/>
          <w:bCs/>
          <w:i/>
          <w:iCs/>
          <w:color w:val="auto"/>
          <w:sz w:val="18"/>
          <w:szCs w:val="18"/>
        </w:rPr>
        <w:t>hardware</w:t>
      </w:r>
      <w:r w:rsidRPr="00F2160B">
        <w:rPr>
          <w:rFonts w:ascii="Titillium" w:eastAsia="Times New Roman" w:hAnsi="Titillium" w:cs="Calibri"/>
          <w:bCs/>
          <w:iCs/>
          <w:color w:val="auto"/>
          <w:sz w:val="18"/>
          <w:szCs w:val="18"/>
        </w:rPr>
        <w:t xml:space="preserve">, del </w:t>
      </w:r>
      <w:r w:rsidRPr="00F2160B">
        <w:rPr>
          <w:rFonts w:ascii="Titillium" w:eastAsia="Times New Roman" w:hAnsi="Titillium" w:cs="Calibri"/>
          <w:bCs/>
          <w:i/>
          <w:iCs/>
          <w:color w:val="auto"/>
          <w:sz w:val="18"/>
          <w:szCs w:val="18"/>
        </w:rPr>
        <w:t>software</w:t>
      </w:r>
      <w:r w:rsidRPr="00F2160B">
        <w:rPr>
          <w:rFonts w:ascii="Titillium" w:eastAsia="Times New Roman" w:hAnsi="Titillium" w:cs="Calibri"/>
          <w:bCs/>
          <w:iCs/>
          <w:color w:val="auto"/>
          <w:sz w:val="18"/>
          <w:szCs w:val="18"/>
        </w:rPr>
        <w:t xml:space="preserve">, dei certificati digitali di firma, della casella di PEC o comunque di un indirizzo di servizio elettronico di recapito certificato qualificato, nonché dei collegamenti per l’accesso alla rete </w:t>
      </w:r>
      <w:r w:rsidRPr="00F2160B">
        <w:rPr>
          <w:rFonts w:ascii="Titillium" w:eastAsia="Times New Roman" w:hAnsi="Titillium" w:cs="Calibri"/>
          <w:bCs/>
          <w:i/>
          <w:iCs/>
          <w:color w:val="auto"/>
          <w:sz w:val="18"/>
          <w:szCs w:val="18"/>
        </w:rPr>
        <w:t>Internet</w:t>
      </w:r>
      <w:r w:rsidRPr="00F2160B">
        <w:rPr>
          <w:rFonts w:ascii="Titillium" w:eastAsia="Times New Roman" w:hAnsi="Titillium" w:cs="Calibri"/>
          <w:bCs/>
          <w:iCs/>
          <w:color w:val="auto"/>
          <w:sz w:val="18"/>
          <w:szCs w:val="18"/>
        </w:rPr>
        <w:t>, restano a esclusivo carico dell’operatore economi</w:t>
      </w:r>
      <w:r w:rsidR="00DE0A2A">
        <w:rPr>
          <w:rFonts w:ascii="Titillium" w:eastAsia="Times New Roman" w:hAnsi="Titillium" w:cs="Calibri"/>
          <w:bCs/>
          <w:iCs/>
          <w:color w:val="auto"/>
          <w:sz w:val="18"/>
          <w:szCs w:val="18"/>
        </w:rPr>
        <w:t>co</w:t>
      </w:r>
      <w:r w:rsidR="00534170">
        <w:rPr>
          <w:rFonts w:ascii="Titillium" w:eastAsia="Times New Roman" w:hAnsi="Titillium" w:cs="Calibri"/>
          <w:bCs/>
          <w:iCs/>
          <w:color w:val="auto"/>
          <w:sz w:val="18"/>
          <w:szCs w:val="18"/>
        </w:rPr>
        <w:t>.</w:t>
      </w:r>
    </w:p>
    <w:p w14:paraId="354F633A" w14:textId="77777777" w:rsidR="00274BC9" w:rsidRDefault="008F2625" w:rsidP="00274BC9">
      <w:pPr>
        <w:pStyle w:val="Default"/>
        <w:tabs>
          <w:tab w:val="left" w:pos="567"/>
        </w:tabs>
        <w:rPr>
          <w:color w:val="auto"/>
        </w:rPr>
      </w:pPr>
      <w:r w:rsidRPr="00F2160B">
        <w:rPr>
          <w:rFonts w:ascii="Titillium" w:eastAsia="Times New Roman" w:hAnsi="Titillium" w:cs="Calibri"/>
          <w:bCs/>
          <w:iCs/>
          <w:color w:val="auto"/>
          <w:sz w:val="18"/>
          <w:szCs w:val="18"/>
        </w:rPr>
        <w:t xml:space="preserve">La </w:t>
      </w:r>
      <w:r w:rsidRPr="00AC289F">
        <w:rPr>
          <w:rFonts w:ascii="Titillium" w:eastAsia="Times New Roman" w:hAnsi="Titillium" w:cs="Calibri"/>
          <w:bCs/>
          <w:iCs/>
          <w:color w:val="000000" w:themeColor="text1"/>
          <w:sz w:val="18"/>
          <w:szCs w:val="18"/>
        </w:rPr>
        <w:t>P</w:t>
      </w:r>
      <w:r w:rsidR="00085620" w:rsidRPr="00AC289F">
        <w:rPr>
          <w:rFonts w:ascii="Titillium" w:eastAsia="Times New Roman" w:hAnsi="Titillium" w:cs="Calibri"/>
          <w:bCs/>
          <w:iCs/>
          <w:color w:val="000000" w:themeColor="text1"/>
          <w:sz w:val="18"/>
          <w:szCs w:val="18"/>
        </w:rPr>
        <w:t xml:space="preserve">AD </w:t>
      </w:r>
      <w:r w:rsidRPr="00AC289F">
        <w:rPr>
          <w:rFonts w:ascii="Titillium" w:eastAsia="Times New Roman" w:hAnsi="Titillium" w:cs="Calibri"/>
          <w:bCs/>
          <w:iCs/>
          <w:color w:val="000000" w:themeColor="text1"/>
          <w:sz w:val="18"/>
          <w:szCs w:val="18"/>
        </w:rPr>
        <w:t xml:space="preserve">è </w:t>
      </w:r>
      <w:r w:rsidRPr="00F2160B">
        <w:rPr>
          <w:rFonts w:ascii="Titillium" w:eastAsia="Times New Roman" w:hAnsi="Titillium" w:cs="Calibri"/>
          <w:bCs/>
          <w:iCs/>
          <w:color w:val="auto"/>
          <w:sz w:val="18"/>
          <w:szCs w:val="18"/>
        </w:rPr>
        <w:t xml:space="preserve">accessibile </w:t>
      </w:r>
      <w:r w:rsidRPr="00F2160B">
        <w:rPr>
          <w:rFonts w:ascii="Titillium" w:eastAsia="Times New Roman" w:hAnsi="Titillium" w:cs="Calibri"/>
          <w:bCs/>
          <w:color w:val="auto"/>
          <w:sz w:val="18"/>
          <w:szCs w:val="18"/>
        </w:rPr>
        <w:t xml:space="preserve">in qualsiasi orario dalla data di pubblicazione del bando alla data di scadenza del termine di presentazione delle offerte … </w:t>
      </w:r>
      <w:r w:rsidRPr="00F2160B">
        <w:rPr>
          <w:rFonts w:ascii="Titillium" w:eastAsia="Times New Roman" w:hAnsi="Titillium" w:cs="Calibri"/>
          <w:bCs/>
          <w:i/>
          <w:iCs/>
          <w:color w:val="auto"/>
          <w:sz w:val="18"/>
          <w:szCs w:val="18"/>
        </w:rPr>
        <w:t>[in alternativa, in caso di limitazioni orarie, indicare quando è accessibile la P</w:t>
      </w:r>
      <w:r w:rsidR="00F2724E">
        <w:rPr>
          <w:rFonts w:ascii="Titillium" w:eastAsia="Times New Roman" w:hAnsi="Titillium" w:cs="Calibri"/>
          <w:bCs/>
          <w:i/>
          <w:iCs/>
          <w:color w:val="auto"/>
          <w:sz w:val="18"/>
          <w:szCs w:val="18"/>
        </w:rPr>
        <w:t>AD</w:t>
      </w:r>
      <w:r w:rsidRPr="00F2160B">
        <w:rPr>
          <w:rFonts w:ascii="Titillium" w:eastAsia="Times New Roman" w:hAnsi="Titillium" w:cs="Calibri"/>
          <w:bCs/>
          <w:i/>
          <w:iCs/>
          <w:color w:val="auto"/>
          <w:sz w:val="18"/>
          <w:szCs w:val="18"/>
        </w:rPr>
        <w:t>, ad esempio sempre oppure dal lunedì al venerdì dalle ore 8:00 alle ore 20:00 festivi esclusi oppure ogni giorno dalle 8:00 alle 20:00].</w:t>
      </w:r>
      <w:bookmarkStart w:id="140" w:name="_Toc7655658811111"/>
      <w:bookmarkStart w:id="141" w:name="_Toc7655652711111"/>
      <w:bookmarkStart w:id="142" w:name="_Toc7655646611111"/>
      <w:bookmarkStart w:id="143" w:name="_Toc7655640511111"/>
      <w:bookmarkStart w:id="144" w:name="_Toc763991861111111111111111111111"/>
      <w:bookmarkStart w:id="145" w:name="_Toc7655658911111"/>
      <w:bookmarkStart w:id="146" w:name="_Toc7655652811111"/>
      <w:bookmarkStart w:id="147" w:name="_Toc7655646711111"/>
      <w:bookmarkStart w:id="148" w:name="_Toc7655640611111"/>
      <w:bookmarkStart w:id="149" w:name="_Toc763991871111111111111111111111"/>
      <w:bookmarkStart w:id="150" w:name="_Toc7655659011111"/>
      <w:bookmarkStart w:id="151" w:name="_Toc7655652911111"/>
      <w:bookmarkStart w:id="152" w:name="_Toc7655646811111"/>
      <w:bookmarkStart w:id="153" w:name="_Toc7655640711111"/>
      <w:bookmarkStart w:id="154" w:name="_Toc763991881111111111111111111111"/>
      <w:bookmarkStart w:id="155" w:name="_Toc7655659111111"/>
      <w:bookmarkStart w:id="156" w:name="_Toc7655653011111"/>
      <w:bookmarkStart w:id="157" w:name="_Toc7655646911111"/>
      <w:bookmarkStart w:id="158" w:name="_Toc7655640811111"/>
      <w:bookmarkStart w:id="159" w:name="_Toc763991891111111111111111111111"/>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78EA9950" w14:textId="77777777" w:rsidR="00274BC9" w:rsidRDefault="00274BC9" w:rsidP="00274BC9">
      <w:pPr>
        <w:pStyle w:val="Default"/>
        <w:tabs>
          <w:tab w:val="left" w:pos="567"/>
        </w:tabs>
        <w:rPr>
          <w:color w:val="auto"/>
        </w:rPr>
      </w:pPr>
    </w:p>
    <w:p w14:paraId="063B6EAF" w14:textId="5492ABD7" w:rsidR="006842EE" w:rsidRPr="00400398" w:rsidRDefault="00514713" w:rsidP="00400398">
      <w:pPr>
        <w:pStyle w:val="Titolo3"/>
        <w:numPr>
          <w:ilvl w:val="1"/>
          <w:numId w:val="3"/>
        </w:numPr>
        <w:ind w:left="426"/>
        <w:rPr>
          <w:rFonts w:ascii="Titillium" w:hAnsi="Titillium"/>
          <w:iCs/>
          <w:caps w:val="0"/>
          <w:sz w:val="18"/>
          <w:szCs w:val="18"/>
        </w:rPr>
      </w:pPr>
      <w:r w:rsidRPr="00400398">
        <w:rPr>
          <w:rFonts w:ascii="Titillium" w:hAnsi="Titillium"/>
          <w:iCs/>
          <w:caps w:val="0"/>
          <w:sz w:val="18"/>
          <w:szCs w:val="18"/>
        </w:rPr>
        <w:t xml:space="preserve"> </w:t>
      </w:r>
      <w:bookmarkStart w:id="160" w:name="_Toc227921613"/>
      <w:r w:rsidR="008F2625" w:rsidRPr="00400398">
        <w:rPr>
          <w:rFonts w:ascii="Titillium" w:hAnsi="Titillium"/>
          <w:iCs/>
          <w:caps w:val="0"/>
          <w:sz w:val="18"/>
          <w:szCs w:val="18"/>
        </w:rPr>
        <w:t>D</w:t>
      </w:r>
      <w:r w:rsidRPr="00400398">
        <w:rPr>
          <w:rFonts w:ascii="Titillium" w:hAnsi="Titillium"/>
          <w:iCs/>
          <w:caps w:val="0"/>
          <w:sz w:val="18"/>
          <w:szCs w:val="18"/>
        </w:rPr>
        <w:t xml:space="preserve">OTAZIONI </w:t>
      </w:r>
      <w:r w:rsidR="008F2625" w:rsidRPr="00400398">
        <w:rPr>
          <w:rFonts w:ascii="Titillium" w:hAnsi="Titillium"/>
          <w:iCs/>
          <w:caps w:val="0"/>
          <w:sz w:val="18"/>
          <w:szCs w:val="18"/>
        </w:rPr>
        <w:t>TECNICHE</w:t>
      </w:r>
      <w:bookmarkEnd w:id="160"/>
      <w:r w:rsidR="00085620" w:rsidRPr="00400398">
        <w:rPr>
          <w:rFonts w:ascii="Titillium" w:hAnsi="Titillium"/>
          <w:iCs/>
          <w:caps w:val="0"/>
          <w:sz w:val="18"/>
          <w:szCs w:val="18"/>
        </w:rPr>
        <w:t xml:space="preserve">   </w:t>
      </w:r>
    </w:p>
    <w:p w14:paraId="0141670F" w14:textId="77777777" w:rsidR="000B513B" w:rsidRDefault="008F2625" w:rsidP="00652C81">
      <w:pPr>
        <w:tabs>
          <w:tab w:val="left" w:pos="709"/>
        </w:tabs>
        <w:spacing w:before="60" w:after="60"/>
        <w:rPr>
          <w:rFonts w:ascii="Titillium" w:hAnsi="Titillium" w:cs="Calibri"/>
          <w:bCs/>
          <w:iCs/>
          <w:color w:val="000000" w:themeColor="text1"/>
          <w:sz w:val="18"/>
          <w:szCs w:val="18"/>
        </w:rPr>
      </w:pPr>
      <w:r>
        <w:rPr>
          <w:rFonts w:ascii="Titillium" w:hAnsi="Titillium" w:cs="Calibri"/>
          <w:bCs/>
          <w:color w:val="000000"/>
          <w:sz w:val="18"/>
          <w:szCs w:val="18"/>
          <w:highlight w:val="white"/>
        </w:rPr>
        <w:t xml:space="preserve">Ai fini della partecipazione alla presente procedura, ogni operatore economico deve dotarsi, a propria cura, spesa e responsabilità della strumentazione tecnica ed informatica conforme a quella indicata nel presente disciplinare e nel documento …  </w:t>
      </w:r>
      <w:r>
        <w:rPr>
          <w:rFonts w:ascii="Titillium" w:hAnsi="Titillium" w:cs="Calibri"/>
          <w:bCs/>
          <w:i/>
          <w:iCs/>
          <w:color w:val="000000"/>
          <w:sz w:val="18"/>
          <w:szCs w:val="18"/>
          <w:highlight w:val="white"/>
        </w:rPr>
        <w:t xml:space="preserve">[indicarne il nome, ad esempio Condizioni generali di utilizzo della </w:t>
      </w:r>
      <w:r w:rsidR="00514713" w:rsidRPr="00947B7F">
        <w:rPr>
          <w:rFonts w:ascii="Titillium" w:hAnsi="Titillium" w:cs="Calibri"/>
          <w:bCs/>
          <w:i/>
          <w:iCs/>
          <w:color w:val="000000" w:themeColor="text1"/>
          <w:sz w:val="18"/>
          <w:szCs w:val="18"/>
          <w:highlight w:val="white"/>
        </w:rPr>
        <w:t>PAD</w:t>
      </w:r>
      <w:r w:rsidR="00514713">
        <w:rPr>
          <w:rFonts w:ascii="Titillium" w:hAnsi="Titillium" w:cs="Calibri"/>
          <w:bCs/>
          <w:i/>
          <w:iCs/>
          <w:color w:val="000000"/>
          <w:sz w:val="18"/>
          <w:szCs w:val="18"/>
          <w:highlight w:val="white"/>
        </w:rPr>
        <w:t xml:space="preserve"> </w:t>
      </w:r>
      <w:r>
        <w:rPr>
          <w:rFonts w:ascii="Titillium" w:hAnsi="Titillium" w:cs="Calibri"/>
          <w:bCs/>
          <w:i/>
          <w:iCs/>
          <w:color w:val="000000"/>
          <w:sz w:val="18"/>
          <w:szCs w:val="18"/>
          <w:highlight w:val="white"/>
        </w:rPr>
        <w:t>o Regolamento tecnico]</w:t>
      </w:r>
      <w:r>
        <w:rPr>
          <w:rFonts w:ascii="Titillium" w:hAnsi="Titillium" w:cs="Calibri"/>
          <w:bCs/>
          <w:iCs/>
          <w:color w:val="000000"/>
          <w:sz w:val="18"/>
          <w:szCs w:val="18"/>
          <w:highlight w:val="white"/>
        </w:rPr>
        <w:t xml:space="preserve">, che disciplina il funzionamento e l’utilizzo della </w:t>
      </w:r>
      <w:r w:rsidR="00514713" w:rsidRPr="00947B7F">
        <w:rPr>
          <w:rFonts w:ascii="Titillium" w:hAnsi="Titillium" w:cs="Calibri"/>
          <w:bCs/>
          <w:iCs/>
          <w:color w:val="000000" w:themeColor="text1"/>
          <w:sz w:val="18"/>
          <w:szCs w:val="18"/>
          <w:highlight w:val="white"/>
        </w:rPr>
        <w:t>PAD</w:t>
      </w:r>
      <w:r w:rsidR="00652C81">
        <w:rPr>
          <w:rFonts w:ascii="Titillium" w:hAnsi="Titillium" w:cs="Calibri"/>
          <w:bCs/>
          <w:iCs/>
          <w:color w:val="000000" w:themeColor="text1"/>
          <w:sz w:val="18"/>
          <w:szCs w:val="18"/>
        </w:rPr>
        <w:t>.</w:t>
      </w:r>
    </w:p>
    <w:p w14:paraId="7264854F" w14:textId="2EA4BF08" w:rsidR="00652C81" w:rsidRDefault="008F2625" w:rsidP="00652C81">
      <w:pPr>
        <w:tabs>
          <w:tab w:val="left" w:pos="709"/>
        </w:tabs>
        <w:spacing w:before="60" w:after="60"/>
        <w:rPr>
          <w:rFonts w:ascii="Titillium" w:hAnsi="Titillium" w:cs="Calibri"/>
          <w:bCs/>
          <w:color w:val="000000"/>
          <w:sz w:val="18"/>
          <w:szCs w:val="18"/>
          <w:highlight w:val="white"/>
        </w:rPr>
      </w:pPr>
      <w:r>
        <w:rPr>
          <w:rFonts w:ascii="Titillium" w:hAnsi="Titillium" w:cs="Calibri"/>
          <w:bCs/>
          <w:color w:val="000000"/>
          <w:sz w:val="18"/>
          <w:szCs w:val="18"/>
          <w:highlight w:val="white"/>
        </w:rPr>
        <w:t>In ogni caso è indispensabile:</w:t>
      </w:r>
    </w:p>
    <w:p w14:paraId="64194A58" w14:textId="2881B0E7" w:rsidR="00652C81" w:rsidRPr="00652C81" w:rsidRDefault="008F2625" w:rsidP="00D26F03">
      <w:pPr>
        <w:pStyle w:val="Paragrafoelenco"/>
        <w:numPr>
          <w:ilvl w:val="1"/>
          <w:numId w:val="12"/>
        </w:numPr>
        <w:tabs>
          <w:tab w:val="left" w:pos="709"/>
        </w:tabs>
        <w:spacing w:before="60" w:after="60"/>
        <w:ind w:left="357" w:hanging="357"/>
        <w:rPr>
          <w:rFonts w:ascii="Titillium" w:hAnsi="Titillium" w:cs="Calibri"/>
          <w:bCs/>
          <w:sz w:val="18"/>
          <w:szCs w:val="18"/>
        </w:rPr>
      </w:pPr>
      <w:r w:rsidRPr="00652C81">
        <w:rPr>
          <w:rFonts w:ascii="Titillium" w:hAnsi="Titillium" w:cs="Calibri"/>
          <w:bCs/>
          <w:sz w:val="18"/>
          <w:szCs w:val="18"/>
          <w:highlight w:val="white"/>
        </w:rPr>
        <w:t xml:space="preserve">disporre almeno di un personal computer conforme agli standard aggiornati di mercato, con connessione internet e dotato di un comune browser idoneo ad operare in modo corretto sulla </w:t>
      </w:r>
      <w:r w:rsidR="00514713" w:rsidRPr="00652C81">
        <w:rPr>
          <w:rFonts w:ascii="Titillium" w:hAnsi="Titillium" w:cs="Calibri"/>
          <w:bCs/>
          <w:color w:val="000000" w:themeColor="text1"/>
          <w:sz w:val="18"/>
          <w:szCs w:val="18"/>
          <w:highlight w:val="white"/>
        </w:rPr>
        <w:t>PAD</w:t>
      </w:r>
      <w:r w:rsidR="00652C81" w:rsidRPr="00652C81">
        <w:rPr>
          <w:rFonts w:ascii="Titillium" w:hAnsi="Titillium" w:cs="Calibri"/>
          <w:bCs/>
          <w:sz w:val="18"/>
          <w:szCs w:val="18"/>
          <w:highlight w:val="white"/>
        </w:rPr>
        <w:t>;</w:t>
      </w:r>
    </w:p>
    <w:p w14:paraId="03452FCF" w14:textId="78211389" w:rsidR="00652C81" w:rsidRPr="005F739E" w:rsidRDefault="00652C81" w:rsidP="00D26F03">
      <w:pPr>
        <w:pStyle w:val="Default"/>
        <w:numPr>
          <w:ilvl w:val="1"/>
          <w:numId w:val="12"/>
        </w:numPr>
        <w:tabs>
          <w:tab w:val="left" w:pos="360"/>
        </w:tabs>
        <w:ind w:left="357" w:hanging="357"/>
        <w:rPr>
          <w:rFonts w:ascii="Titillium" w:eastAsia="Times New Roman" w:hAnsi="Titillium" w:cs="Calibri"/>
          <w:bCs/>
          <w:sz w:val="18"/>
          <w:szCs w:val="18"/>
          <w:lang w:eastAsia="en-US"/>
        </w:rPr>
      </w:pPr>
      <w:r w:rsidRPr="00534170">
        <w:rPr>
          <w:rFonts w:ascii="Titillium" w:eastAsia="Times New Roman" w:hAnsi="Titillium" w:cs="Calibri"/>
          <w:bCs/>
          <w:sz w:val="18"/>
          <w:szCs w:val="18"/>
          <w:lang w:eastAsia="en-US"/>
        </w:rPr>
        <w:t xml:space="preserve">disporre di una identità digitale SPID (Sistema Pubblico di Identità Digitale) o di altri mezzi di identificazione elettronica (CIE e CNS) di cui all’articolo 64 del Codice dell'Amministrazione Digitale (decreto legislativo 7 marzo 2005, n. 82 e successive modificazioni), nonché di mezzi di identificazione elettronica per il riconoscimento reciproco transfrontaliero ai sensi del Regolamento eIDAS  ; in caso di operatore economico extra-UE, disporre di un’identità digitale compatibile con il framework di autenticazione stabilito dalla PAD </w:t>
      </w:r>
      <w:r w:rsidRPr="005F739E">
        <w:rPr>
          <w:rFonts w:ascii="Titillium" w:eastAsia="Times New Roman" w:hAnsi="Titillium" w:cs="Calibri"/>
          <w:bCs/>
          <w:sz w:val="18"/>
          <w:szCs w:val="18"/>
          <w:lang w:eastAsia="en-US"/>
        </w:rPr>
        <w:t xml:space="preserve">di riferimento e caratterizzata da un Level of Assurance (LoA) </w:t>
      </w:r>
      <w:r w:rsidRPr="00B31A96">
        <w:rPr>
          <w:rFonts w:ascii="Titillium" w:eastAsia="Times New Roman" w:hAnsi="Titillium" w:cs="Calibri"/>
          <w:bCs/>
          <w:sz w:val="18"/>
          <w:szCs w:val="18"/>
          <w:lang w:eastAsia="en-US"/>
        </w:rPr>
        <w:t xml:space="preserve">pari o superiore a </w:t>
      </w:r>
      <w:r w:rsidRPr="00B31A96">
        <w:rPr>
          <w:rFonts w:ascii="Titillium" w:eastAsia="Times New Roman" w:hAnsi="Titillium" w:cs="Calibri"/>
          <w:bCs/>
          <w:color w:val="000000" w:themeColor="text1"/>
          <w:sz w:val="18"/>
          <w:szCs w:val="18"/>
          <w:lang w:eastAsia="en-US"/>
        </w:rPr>
        <w:t>3,</w:t>
      </w:r>
      <w:r w:rsidRPr="00B31A96">
        <w:rPr>
          <w:rFonts w:ascii="Titillium" w:eastAsia="Times New Roman" w:hAnsi="Titillium" w:cs="Calibri"/>
          <w:bCs/>
          <w:sz w:val="18"/>
          <w:szCs w:val="18"/>
          <w:lang w:eastAsia="en-US"/>
        </w:rPr>
        <w:t xml:space="preserve"> in conformità allo standard ISO/IEC 29115 (e relative evoluzioni);</w:t>
      </w:r>
      <w:r w:rsidR="00BC6988" w:rsidRPr="00B31A96">
        <w:t xml:space="preserve"> </w:t>
      </w:r>
      <w:r w:rsidR="00BC6988" w:rsidRPr="00B31A96">
        <w:rPr>
          <w:rFonts w:ascii="Titillium" w:eastAsia="Times New Roman" w:hAnsi="Titillium" w:cs="Calibri"/>
          <w:bCs/>
          <w:sz w:val="18"/>
          <w:szCs w:val="18"/>
          <w:lang w:eastAsia="en-US"/>
        </w:rPr>
        <w:t>https://www.anticorruzione.it</w:t>
      </w:r>
      <w:r w:rsidR="00BC6988" w:rsidRPr="00BC6988">
        <w:rPr>
          <w:rFonts w:ascii="Titillium" w:eastAsia="Times New Roman" w:hAnsi="Titillium" w:cs="Calibri"/>
          <w:bCs/>
          <w:sz w:val="18"/>
          <w:szCs w:val="18"/>
          <w:lang w:eastAsia="en-US"/>
        </w:rPr>
        <w:t>/en/-/piattaforma-contratti-pubblici</w:t>
      </w:r>
    </w:p>
    <w:p w14:paraId="5473CF21" w14:textId="3492EAC4" w:rsidR="006842EE" w:rsidRPr="00652C81" w:rsidRDefault="008F2625" w:rsidP="00D26F03">
      <w:pPr>
        <w:pStyle w:val="Default"/>
        <w:numPr>
          <w:ilvl w:val="1"/>
          <w:numId w:val="12"/>
        </w:numPr>
        <w:tabs>
          <w:tab w:val="left" w:pos="360"/>
        </w:tabs>
        <w:ind w:left="426"/>
        <w:rPr>
          <w:rFonts w:ascii="Titillium" w:eastAsia="Times New Roman" w:hAnsi="Titillium" w:cs="Calibri"/>
          <w:bCs/>
          <w:sz w:val="18"/>
          <w:szCs w:val="18"/>
          <w:highlight w:val="white"/>
          <w:lang w:eastAsia="en-US"/>
        </w:rPr>
      </w:pPr>
      <w:r w:rsidRPr="00652C81">
        <w:rPr>
          <w:rFonts w:ascii="Titillium" w:eastAsia="Times New Roman" w:hAnsi="Titillium" w:cs="Calibri"/>
          <w:bCs/>
          <w:sz w:val="18"/>
          <w:szCs w:val="18"/>
          <w:highlight w:val="white"/>
          <w:lang w:eastAsia="en-US"/>
        </w:rPr>
        <w:t>avere un domicilio digitale presente negli indici di cui agli articoli 6-bis e 6-ter del decreto legislativo 7 marzo 2005, n. 82 o, per l’operatore economico transfrontaliero, un indirizzo di servizio elettronico di recapito certificato qualificato ai sensi del Regolamento eIDAS;</w:t>
      </w:r>
    </w:p>
    <w:p w14:paraId="79DE0844" w14:textId="77777777" w:rsidR="006842EE" w:rsidRDefault="008F2625" w:rsidP="00D26F03">
      <w:pPr>
        <w:pStyle w:val="Default"/>
        <w:numPr>
          <w:ilvl w:val="1"/>
          <w:numId w:val="12"/>
        </w:numPr>
        <w:tabs>
          <w:tab w:val="left" w:pos="360"/>
        </w:tabs>
        <w:ind w:left="426"/>
        <w:rPr>
          <w:rFonts w:ascii="Titillium" w:eastAsia="Times New Roman" w:hAnsi="Titillium" w:cs="Calibri"/>
          <w:bCs/>
          <w:sz w:val="18"/>
          <w:szCs w:val="18"/>
          <w:highlight w:val="white"/>
          <w:lang w:eastAsia="en-US"/>
        </w:rPr>
      </w:pPr>
      <w:r>
        <w:rPr>
          <w:rFonts w:ascii="Titillium" w:eastAsia="Times New Roman" w:hAnsi="Titillium" w:cs="Calibri"/>
          <w:bCs/>
          <w:sz w:val="18"/>
          <w:szCs w:val="18"/>
          <w:highlight w:val="white"/>
          <w:lang w:eastAsia="en-US"/>
        </w:rPr>
        <w:t>avere da parte del legale rappresentante dell’operatore economico (o da persona munita di idonei poteri di firma) un certificato di firma digitale, in corso di validità, rilasciato da:</w:t>
      </w:r>
    </w:p>
    <w:p w14:paraId="55F00C64" w14:textId="77777777" w:rsidR="006842EE" w:rsidRDefault="008F2625" w:rsidP="00D26F03">
      <w:pPr>
        <w:pStyle w:val="Default"/>
        <w:numPr>
          <w:ilvl w:val="1"/>
          <w:numId w:val="11"/>
        </w:numPr>
        <w:tabs>
          <w:tab w:val="left" w:pos="360"/>
        </w:tabs>
        <w:ind w:left="851"/>
        <w:rPr>
          <w:rFonts w:ascii="Titillium" w:eastAsia="Times New Roman" w:hAnsi="Titillium" w:cs="Calibri"/>
          <w:bCs/>
          <w:sz w:val="18"/>
          <w:szCs w:val="18"/>
          <w:highlight w:val="white"/>
          <w:lang w:eastAsia="en-US"/>
        </w:rPr>
      </w:pPr>
      <w:r>
        <w:rPr>
          <w:rFonts w:ascii="Titillium" w:eastAsia="Times New Roman" w:hAnsi="Titillium" w:cs="Calibri"/>
          <w:bCs/>
          <w:sz w:val="18"/>
          <w:szCs w:val="18"/>
          <w:highlight w:val="white"/>
          <w:lang w:eastAsia="en-US"/>
        </w:rPr>
        <w:t xml:space="preserve">un organismo incluso nell’elenco pubblico dei certificatori tenuto dall’Agenzia per l’Italia Digitale (previsto dall’articolo 29 del decreto legislativo n. 82/05); </w:t>
      </w:r>
    </w:p>
    <w:p w14:paraId="7518438C" w14:textId="77777777" w:rsidR="006842EE" w:rsidRDefault="008F2625" w:rsidP="00D26F03">
      <w:pPr>
        <w:pStyle w:val="Default"/>
        <w:numPr>
          <w:ilvl w:val="1"/>
          <w:numId w:val="11"/>
        </w:numPr>
        <w:tabs>
          <w:tab w:val="left" w:pos="360"/>
        </w:tabs>
        <w:ind w:left="851"/>
        <w:rPr>
          <w:rFonts w:ascii="Titillium" w:eastAsia="Times New Roman" w:hAnsi="Titillium" w:cs="Calibri"/>
          <w:bCs/>
          <w:sz w:val="18"/>
          <w:szCs w:val="18"/>
          <w:highlight w:val="white"/>
          <w:lang w:eastAsia="en-US"/>
        </w:rPr>
      </w:pPr>
      <w:r>
        <w:rPr>
          <w:rFonts w:ascii="Titillium" w:eastAsia="Times New Roman" w:hAnsi="Titillium" w:cs="Calibri"/>
          <w:bCs/>
          <w:sz w:val="18"/>
          <w:szCs w:val="18"/>
          <w:highlight w:val="white"/>
          <w:lang w:eastAsia="en-US"/>
        </w:rPr>
        <w:t xml:space="preserve">un certificatore operante in base a una licenza o autorizzazione rilasciata da uno Stato membro dell’Unione europea e in possesso dei requisiti previsti dal Regolamento n. 910/14; </w:t>
      </w:r>
    </w:p>
    <w:p w14:paraId="3EE44F4A" w14:textId="77777777" w:rsidR="006842EE" w:rsidRDefault="008F2625" w:rsidP="00D26F03">
      <w:pPr>
        <w:pStyle w:val="Default"/>
        <w:numPr>
          <w:ilvl w:val="1"/>
          <w:numId w:val="11"/>
        </w:numPr>
        <w:tabs>
          <w:tab w:val="left" w:pos="360"/>
        </w:tabs>
        <w:ind w:left="851"/>
      </w:pPr>
      <w:r>
        <w:rPr>
          <w:rFonts w:ascii="Titillium" w:eastAsia="Times New Roman" w:hAnsi="Titillium" w:cs="Calibri"/>
          <w:bCs/>
          <w:sz w:val="18"/>
          <w:szCs w:val="18"/>
          <w:highlight w:val="white"/>
          <w:lang w:eastAsia="en-US"/>
        </w:rPr>
        <w:t>un certificatore stabilito in uno Stato non facente parte dell’Unione europea quando ricorre una delle seguenti condizioni</w:t>
      </w:r>
      <w:r>
        <w:rPr>
          <w:rFonts w:ascii="Titillium" w:eastAsia="Times New Roman" w:hAnsi="Titillium" w:cs="Calibri"/>
          <w:bCs/>
          <w:iCs/>
          <w:sz w:val="18"/>
          <w:szCs w:val="18"/>
          <w:highlight w:val="white"/>
        </w:rPr>
        <w:t xml:space="preserve">: </w:t>
      </w:r>
    </w:p>
    <w:p w14:paraId="57C2A66B" w14:textId="77777777" w:rsidR="006842EE" w:rsidRDefault="008F2625" w:rsidP="00D26F03">
      <w:pPr>
        <w:pStyle w:val="Default"/>
        <w:numPr>
          <w:ilvl w:val="0"/>
          <w:numId w:val="21"/>
        </w:numPr>
        <w:ind w:left="1418"/>
      </w:pPr>
      <w:r>
        <w:rPr>
          <w:rFonts w:ascii="Titillium" w:eastAsia="Times New Roman" w:hAnsi="Titillium" w:cs="Calibri"/>
          <w:bCs/>
          <w:iCs/>
          <w:sz w:val="18"/>
          <w:szCs w:val="18"/>
          <w:highlight w:val="white"/>
        </w:rPr>
        <w:t xml:space="preserve">il certificatore possiede i requisiti previsti dal Regolamento </w:t>
      </w:r>
      <w:r>
        <w:rPr>
          <w:rFonts w:ascii="Titillium" w:hAnsi="Titillium" w:cs="Calibri"/>
          <w:bCs/>
          <w:iCs/>
          <w:sz w:val="18"/>
          <w:szCs w:val="18"/>
        </w:rPr>
        <w:t xml:space="preserve">n. 910/14 </w:t>
      </w:r>
      <w:r>
        <w:rPr>
          <w:rFonts w:ascii="Titillium" w:eastAsia="Times New Roman" w:hAnsi="Titillium" w:cs="Calibri"/>
          <w:bCs/>
          <w:iCs/>
          <w:sz w:val="18"/>
          <w:szCs w:val="18"/>
          <w:highlight w:val="white"/>
        </w:rPr>
        <w:t xml:space="preserve">ed è qualificato in uno stato membro; </w:t>
      </w:r>
    </w:p>
    <w:p w14:paraId="61773D39" w14:textId="77777777" w:rsidR="006842EE" w:rsidRDefault="008F2625" w:rsidP="00D26F03">
      <w:pPr>
        <w:pStyle w:val="Default"/>
        <w:numPr>
          <w:ilvl w:val="0"/>
          <w:numId w:val="21"/>
        </w:numPr>
        <w:ind w:left="1418"/>
        <w:rPr>
          <w:rFonts w:ascii="Titillium" w:eastAsia="Times New Roman" w:hAnsi="Titillium" w:cs="Calibri"/>
          <w:bCs/>
          <w:iCs/>
          <w:sz w:val="18"/>
          <w:szCs w:val="18"/>
          <w:highlight w:val="white"/>
        </w:rPr>
      </w:pPr>
      <w:r>
        <w:rPr>
          <w:rFonts w:ascii="Titillium" w:eastAsia="Times New Roman" w:hAnsi="Titillium" w:cs="Calibri"/>
          <w:bCs/>
          <w:iCs/>
          <w:sz w:val="18"/>
          <w:szCs w:val="18"/>
          <w:highlight w:val="white"/>
        </w:rPr>
        <w:t xml:space="preserve">il certificato qualificato è garantito da un certificatore stabilito nell’Unione Europea, in possesso dei requisiti di cui al regolamento n. 9100/14; </w:t>
      </w:r>
    </w:p>
    <w:p w14:paraId="36749231" w14:textId="77777777" w:rsidR="006842EE" w:rsidRDefault="008F2625" w:rsidP="00D26F03">
      <w:pPr>
        <w:pStyle w:val="Default"/>
        <w:numPr>
          <w:ilvl w:val="0"/>
          <w:numId w:val="21"/>
        </w:numPr>
        <w:ind w:left="1418"/>
        <w:rPr>
          <w:rFonts w:ascii="Titillium" w:eastAsia="Times New Roman" w:hAnsi="Titillium" w:cs="Calibri"/>
          <w:bCs/>
          <w:iCs/>
          <w:sz w:val="18"/>
          <w:szCs w:val="18"/>
          <w:highlight w:val="white"/>
        </w:rPr>
      </w:pPr>
      <w:r>
        <w:rPr>
          <w:rFonts w:ascii="Titillium" w:eastAsia="Times New Roman" w:hAnsi="Titillium" w:cs="Calibri"/>
          <w:bCs/>
          <w:iCs/>
          <w:sz w:val="18"/>
          <w:szCs w:val="18"/>
          <w:highlight w:val="white"/>
        </w:rPr>
        <w:t xml:space="preserve">il certificato qualificato, o il certificatore, è riconosciuto in forza di un accordo bilaterale o multilaterale tra l’Unione Europea e paesi terzi o organizzazioni internazionali. </w:t>
      </w:r>
    </w:p>
    <w:p w14:paraId="31193D84" w14:textId="01A28336" w:rsidR="006842EE" w:rsidRDefault="008F2625" w:rsidP="00F80B0C">
      <w:pPr>
        <w:pStyle w:val="Titolo3"/>
        <w:numPr>
          <w:ilvl w:val="1"/>
          <w:numId w:val="3"/>
        </w:numPr>
        <w:ind w:left="426"/>
        <w:rPr>
          <w:rFonts w:ascii="Titillium" w:hAnsi="Titillium"/>
          <w:iCs/>
          <w:caps w:val="0"/>
          <w:sz w:val="18"/>
          <w:szCs w:val="18"/>
        </w:rPr>
      </w:pPr>
      <w:bookmarkStart w:id="161" w:name="_Toc227921614"/>
      <w:r>
        <w:rPr>
          <w:rFonts w:ascii="Titillium" w:hAnsi="Titillium"/>
          <w:iCs/>
          <w:caps w:val="0"/>
          <w:sz w:val="18"/>
          <w:szCs w:val="18"/>
        </w:rPr>
        <w:t>IDENTIFICAZIONE</w:t>
      </w:r>
      <w:bookmarkEnd w:id="161"/>
    </w:p>
    <w:p w14:paraId="3059B105" w14:textId="628D3300" w:rsidR="006842EE" w:rsidRDefault="008F2625">
      <w:pPr>
        <w:rPr>
          <w:rFonts w:ascii="Titillium" w:hAnsi="Titillium" w:cs="Calibri"/>
          <w:bCs/>
          <w:iCs/>
          <w:sz w:val="18"/>
          <w:szCs w:val="18"/>
        </w:rPr>
      </w:pPr>
      <w:r>
        <w:rPr>
          <w:rFonts w:ascii="Titillium" w:hAnsi="Titillium" w:cs="Calibri"/>
          <w:bCs/>
          <w:iCs/>
          <w:sz w:val="18"/>
          <w:szCs w:val="18"/>
        </w:rPr>
        <w:t xml:space="preserve">Per poter presentare offerta è necessario accedere alla </w:t>
      </w:r>
      <w:r w:rsidRPr="00652C81">
        <w:rPr>
          <w:rFonts w:ascii="Titillium" w:hAnsi="Titillium" w:cs="Calibri"/>
          <w:bCs/>
          <w:iCs/>
          <w:color w:val="000000" w:themeColor="text1"/>
          <w:sz w:val="18"/>
          <w:szCs w:val="18"/>
        </w:rPr>
        <w:t>P</w:t>
      </w:r>
      <w:r w:rsidR="00085620" w:rsidRPr="00652C81">
        <w:rPr>
          <w:rFonts w:ascii="Titillium" w:hAnsi="Titillium" w:cs="Calibri"/>
          <w:bCs/>
          <w:iCs/>
          <w:color w:val="000000" w:themeColor="text1"/>
          <w:sz w:val="18"/>
          <w:szCs w:val="18"/>
        </w:rPr>
        <w:t>AD</w:t>
      </w:r>
      <w:r w:rsidR="00652C81">
        <w:rPr>
          <w:rFonts w:ascii="Titillium" w:hAnsi="Titillium" w:cs="Calibri"/>
          <w:bCs/>
          <w:iCs/>
          <w:color w:val="000000" w:themeColor="text1"/>
          <w:sz w:val="18"/>
          <w:szCs w:val="18"/>
        </w:rPr>
        <w:t>.</w:t>
      </w:r>
    </w:p>
    <w:p w14:paraId="7BE8CBE7" w14:textId="0E4858D2" w:rsidR="006842EE" w:rsidRDefault="008F2625">
      <w:pPr>
        <w:rPr>
          <w:rFonts w:ascii="Titillium" w:hAnsi="Titillium"/>
          <w:sz w:val="18"/>
          <w:szCs w:val="18"/>
        </w:rPr>
      </w:pPr>
      <w:r>
        <w:rPr>
          <w:rFonts w:ascii="Titillium" w:hAnsi="Titillium"/>
          <w:sz w:val="18"/>
          <w:szCs w:val="18"/>
        </w:rPr>
        <w:t>L’accesso è gratuito ed è consentito a seguito dell’identificazione dell’operatore economi</w:t>
      </w:r>
      <w:r w:rsidR="00DE0A2A">
        <w:rPr>
          <w:rFonts w:ascii="Titillium" w:hAnsi="Titillium"/>
          <w:sz w:val="18"/>
          <w:szCs w:val="18"/>
        </w:rPr>
        <w:t>co</w:t>
      </w:r>
      <w:r w:rsidR="00534170">
        <w:rPr>
          <w:rFonts w:ascii="Titillium" w:hAnsi="Titillium"/>
          <w:sz w:val="18"/>
          <w:szCs w:val="18"/>
        </w:rPr>
        <w:t>.</w:t>
      </w:r>
      <w:r>
        <w:rPr>
          <w:rFonts w:ascii="Titillium" w:hAnsi="Titillium"/>
          <w:sz w:val="18"/>
          <w:szCs w:val="18"/>
        </w:rPr>
        <w:t xml:space="preserve"> </w:t>
      </w:r>
    </w:p>
    <w:p w14:paraId="0909807B" w14:textId="054F1F5B" w:rsidR="00652C81" w:rsidRDefault="00652C81">
      <w:pPr>
        <w:rPr>
          <w:rFonts w:ascii="Titillium" w:hAnsi="Titillium"/>
          <w:sz w:val="18"/>
          <w:szCs w:val="18"/>
        </w:rPr>
      </w:pPr>
      <w:r w:rsidRPr="00652C81">
        <w:rPr>
          <w:rFonts w:ascii="Titillium" w:hAnsi="Titillium"/>
          <w:sz w:val="18"/>
          <w:szCs w:val="18"/>
        </w:rPr>
        <w:t>L’identificazione avviene o mediante identità digitale SPID, carta d’identità elettronica (CIE) oppure carta nazionale dei servizi (CNS), secondo quanto previsto dal Codice dell'Amministrazione Digitale (decreto legislativo 7 marzo 2005, n. 82 e successive modificazioni), o attraverso gli altri mezzi di identificazione elettronica per il riconoscimento reciproco transfrontaliero ai sensi del Regolamento eIDAS</w:t>
      </w:r>
      <w:r w:rsidRPr="00534170">
        <w:rPr>
          <w:rFonts w:ascii="Titillium" w:hAnsi="Titillium"/>
          <w:sz w:val="18"/>
          <w:szCs w:val="18"/>
        </w:rPr>
        <w:t>. In caso di operatore economico extra-UE, l’identificazione avviene attraverso una identità digitale compatibile con il framework di autenticazione stabilito dalla PAD di riferimento e caratterizzata da un Level of Assurance (LoA) pari o superiore a 3, in conformità allo</w:t>
      </w:r>
      <w:r w:rsidR="00534170">
        <w:rPr>
          <w:rFonts w:ascii="Titillium" w:hAnsi="Titillium"/>
          <w:sz w:val="18"/>
          <w:szCs w:val="18"/>
        </w:rPr>
        <w:t xml:space="preserve"> </w:t>
      </w:r>
      <w:r w:rsidRPr="00534170">
        <w:rPr>
          <w:rFonts w:ascii="Titillium" w:hAnsi="Titillium"/>
          <w:sz w:val="18"/>
          <w:szCs w:val="18"/>
        </w:rPr>
        <w:t>standard ISO/IEC 29115 (e relative evoluzioni).</w:t>
      </w:r>
    </w:p>
    <w:p w14:paraId="3B74977B" w14:textId="39DA6482" w:rsidR="00652C81" w:rsidRDefault="00652C81">
      <w:pPr>
        <w:rPr>
          <w:rFonts w:ascii="Titillium" w:hAnsi="Titillium"/>
          <w:sz w:val="18"/>
          <w:szCs w:val="18"/>
        </w:rPr>
      </w:pPr>
      <w:r w:rsidRPr="00652C81">
        <w:rPr>
          <w:rFonts w:ascii="Titillium" w:hAnsi="Titillium"/>
          <w:sz w:val="18"/>
          <w:szCs w:val="18"/>
        </w:rPr>
        <w:t>Una volta completata la procedura di identificazione, ad ogni operatore economico identificato viene attribuito un profilo da utilizzare nella procedura di gara.</w:t>
      </w:r>
    </w:p>
    <w:p w14:paraId="17404904" w14:textId="1527BD28" w:rsidR="006842EE" w:rsidRDefault="008F2625">
      <w:pPr>
        <w:tabs>
          <w:tab w:val="left" w:pos="0"/>
        </w:tabs>
        <w:spacing w:before="60" w:after="60"/>
        <w:rPr>
          <w:i/>
        </w:rPr>
      </w:pPr>
      <w:r>
        <w:rPr>
          <w:rFonts w:ascii="Titillium" w:hAnsi="Titillium" w:cs="Calibri"/>
          <w:b/>
          <w:i/>
          <w:sz w:val="18"/>
          <w:szCs w:val="18"/>
        </w:rPr>
        <w:t>[Facoltativa]</w:t>
      </w:r>
      <w:r>
        <w:rPr>
          <w:rFonts w:ascii="Titillium" w:hAnsi="Titillium" w:cs="Calibri"/>
          <w:sz w:val="18"/>
          <w:szCs w:val="18"/>
        </w:rPr>
        <w:t xml:space="preserve"> Eventuali richieste di assistenza di tipo informatico riguardanti l’identificazione e l’accesso alla</w:t>
      </w:r>
      <w:r w:rsidR="00085620">
        <w:rPr>
          <w:rFonts w:ascii="Titillium" w:hAnsi="Titillium" w:cs="Calibri"/>
          <w:sz w:val="18"/>
          <w:szCs w:val="18"/>
        </w:rPr>
        <w:t xml:space="preserve"> </w:t>
      </w:r>
      <w:r w:rsidR="00085620" w:rsidRPr="00652C81">
        <w:rPr>
          <w:rFonts w:ascii="Titillium" w:hAnsi="Titillium" w:cs="Calibri"/>
          <w:color w:val="000000" w:themeColor="text1"/>
          <w:sz w:val="18"/>
          <w:szCs w:val="18"/>
        </w:rPr>
        <w:t>PAD</w:t>
      </w:r>
      <w:r w:rsidRPr="00514713">
        <w:rPr>
          <w:rFonts w:ascii="Titillium" w:hAnsi="Titillium" w:cs="Calibri"/>
          <w:color w:val="5B9BD5" w:themeColor="accent1"/>
          <w:sz w:val="18"/>
          <w:szCs w:val="18"/>
        </w:rPr>
        <w:t xml:space="preserve"> </w:t>
      </w:r>
      <w:r>
        <w:rPr>
          <w:rFonts w:ascii="Titillium" w:hAnsi="Titillium" w:cs="Calibri"/>
          <w:sz w:val="18"/>
          <w:szCs w:val="18"/>
        </w:rPr>
        <w:t xml:space="preserve">devono essere </w:t>
      </w:r>
      <w:r w:rsidR="005B1E52">
        <w:rPr>
          <w:rFonts w:ascii="Titillium" w:hAnsi="Titillium" w:cs="Calibri"/>
          <w:sz w:val="18"/>
          <w:szCs w:val="18"/>
        </w:rPr>
        <w:t>effettuate…</w:t>
      </w:r>
      <w:r>
        <w:rPr>
          <w:rFonts w:ascii="Titillium" w:hAnsi="Titillium" w:cs="Calibri"/>
          <w:i/>
          <w:sz w:val="18"/>
          <w:szCs w:val="18"/>
        </w:rPr>
        <w:t>[inserire le modalità per richiedere assistenza, ad esempio contattando il call center ovvero il servizio a ciò deputato al numero ... nei seguenti orari ... oppure inviando un’e-mail al seguente indirizzo …].</w:t>
      </w:r>
    </w:p>
    <w:p w14:paraId="18F2EEE2" w14:textId="77777777" w:rsidR="006842EE" w:rsidRDefault="008F2625">
      <w:pPr>
        <w:pStyle w:val="Titolo2"/>
        <w:numPr>
          <w:ilvl w:val="0"/>
          <w:numId w:val="3"/>
        </w:numPr>
        <w:spacing w:after="200"/>
        <w:ind w:left="357" w:hanging="357"/>
        <w:rPr>
          <w:rFonts w:ascii="Titillium" w:hAnsi="Titillium"/>
          <w:caps w:val="0"/>
          <w:sz w:val="18"/>
          <w:szCs w:val="18"/>
        </w:rPr>
      </w:pPr>
      <w:bookmarkStart w:id="162" w:name="_Toc482101909"/>
      <w:bookmarkStart w:id="163" w:name="_Toc227921615"/>
      <w:bookmarkEnd w:id="162"/>
      <w:r>
        <w:rPr>
          <w:rFonts w:ascii="Titillium" w:hAnsi="Titillium"/>
          <w:caps w:val="0"/>
          <w:sz w:val="18"/>
          <w:szCs w:val="18"/>
        </w:rPr>
        <w:t>DOCUMENTAZIONE DI GARA, CHIARIMENTI E COMUNICAZIONI</w:t>
      </w:r>
      <w:bookmarkEnd w:id="163"/>
    </w:p>
    <w:p w14:paraId="3AC30E8C" w14:textId="77777777" w:rsidR="006842EE" w:rsidRDefault="008F2625">
      <w:pPr>
        <w:pStyle w:val="Titolo3"/>
        <w:numPr>
          <w:ilvl w:val="1"/>
          <w:numId w:val="3"/>
        </w:numPr>
        <w:ind w:left="142" w:hanging="142"/>
        <w:rPr>
          <w:rFonts w:ascii="Titillium" w:hAnsi="Titillium"/>
          <w:iCs/>
          <w:sz w:val="18"/>
          <w:szCs w:val="18"/>
        </w:rPr>
      </w:pPr>
      <w:bookmarkStart w:id="164" w:name="_Ref138082059"/>
      <w:bookmarkStart w:id="165" w:name="_Toc227921616"/>
      <w:r>
        <w:rPr>
          <w:rFonts w:ascii="Titillium" w:hAnsi="Titillium"/>
          <w:iCs/>
          <w:sz w:val="18"/>
          <w:szCs w:val="18"/>
        </w:rPr>
        <w:t>DOCUMENTI DI GARA</w:t>
      </w:r>
      <w:bookmarkEnd w:id="164"/>
      <w:bookmarkEnd w:id="165"/>
    </w:p>
    <w:p w14:paraId="108E3BE9" w14:textId="33A4D75B" w:rsidR="006842EE" w:rsidRDefault="008F2625">
      <w:pPr>
        <w:spacing w:before="60" w:after="60"/>
        <w:rPr>
          <w:rFonts w:ascii="Titillium" w:hAnsi="Titillium" w:cs="Calibri"/>
          <w:sz w:val="18"/>
          <w:szCs w:val="18"/>
        </w:rPr>
      </w:pPr>
      <w:r>
        <w:rPr>
          <w:rFonts w:ascii="Titillium" w:hAnsi="Titillium" w:cs="Calibri"/>
          <w:sz w:val="18"/>
          <w:szCs w:val="18"/>
        </w:rPr>
        <w:t>La documentazione di gara comprende:</w:t>
      </w:r>
    </w:p>
    <w:p w14:paraId="4C5E6420" w14:textId="18AA7828" w:rsidR="000B0BA2" w:rsidRPr="00F823FE" w:rsidRDefault="005F5116" w:rsidP="00D26F03">
      <w:pPr>
        <w:pStyle w:val="Paragrafoelenco"/>
        <w:numPr>
          <w:ilvl w:val="0"/>
          <w:numId w:val="39"/>
        </w:numPr>
        <w:spacing w:before="60" w:after="60"/>
        <w:rPr>
          <w:rFonts w:ascii="Titillium" w:hAnsi="Titillium" w:cs="Calibri"/>
          <w:bCs/>
          <w:iCs/>
          <w:sz w:val="18"/>
          <w:szCs w:val="18"/>
        </w:rPr>
      </w:pPr>
      <w:bookmarkStart w:id="166" w:name="_Hlk190873246"/>
      <w:r w:rsidRPr="00F823FE">
        <w:rPr>
          <w:rFonts w:ascii="Titillium" w:hAnsi="Titillium" w:cs="Calibri"/>
          <w:bCs/>
          <w:iCs/>
          <w:sz w:val="18"/>
          <w:szCs w:val="18"/>
        </w:rPr>
        <w:t xml:space="preserve">documentazione tecnica </w:t>
      </w:r>
      <w:r w:rsidR="000B0BA2" w:rsidRPr="00F823FE">
        <w:rPr>
          <w:rFonts w:ascii="Titillium" w:hAnsi="Titillium" w:cs="Calibri"/>
          <w:bCs/>
          <w:iCs/>
          <w:sz w:val="18"/>
          <w:szCs w:val="18"/>
        </w:rPr>
        <w:t xml:space="preserve">comprendente: </w:t>
      </w:r>
    </w:p>
    <w:p w14:paraId="7DC23CD1" w14:textId="5C7B9EA4" w:rsidR="009025FB" w:rsidRPr="007A3AE3" w:rsidRDefault="005F5116" w:rsidP="00D26F03">
      <w:pPr>
        <w:pStyle w:val="Paragrafoelenco"/>
        <w:numPr>
          <w:ilvl w:val="0"/>
          <w:numId w:val="33"/>
        </w:numPr>
        <w:spacing w:before="60" w:after="60"/>
        <w:rPr>
          <w:rFonts w:ascii="Titillium" w:hAnsi="Titillium" w:cs="Calibri"/>
          <w:bCs/>
          <w:iCs/>
          <w:color w:val="000000" w:themeColor="text1"/>
          <w:sz w:val="18"/>
          <w:szCs w:val="18"/>
        </w:rPr>
      </w:pPr>
      <w:r w:rsidRPr="007A3AE3">
        <w:rPr>
          <w:rFonts w:ascii="Titillium" w:hAnsi="Titillium" w:cs="Calibri"/>
          <w:bCs/>
          <w:iCs/>
          <w:color w:val="000000" w:themeColor="text1"/>
          <w:sz w:val="18"/>
          <w:szCs w:val="18"/>
        </w:rPr>
        <w:t>DIP</w:t>
      </w:r>
      <w:r w:rsidR="00A54E15" w:rsidRPr="007A3AE3">
        <w:rPr>
          <w:rFonts w:ascii="Titillium" w:hAnsi="Titillium" w:cs="Calibri"/>
          <w:bCs/>
          <w:iCs/>
          <w:color w:val="000000" w:themeColor="text1"/>
          <w:sz w:val="18"/>
          <w:szCs w:val="18"/>
        </w:rPr>
        <w:t xml:space="preserve"> ed eventuale DOC</w:t>
      </w:r>
      <w:r w:rsidR="009025FB" w:rsidRPr="007A3AE3">
        <w:rPr>
          <w:rFonts w:ascii="Titillium" w:hAnsi="Titillium" w:cs="Calibri"/>
          <w:bCs/>
          <w:iCs/>
          <w:color w:val="000000" w:themeColor="text1"/>
          <w:sz w:val="18"/>
          <w:szCs w:val="18"/>
        </w:rPr>
        <w:t>FAP</w:t>
      </w:r>
      <w:r w:rsidR="00A54E15" w:rsidRPr="007A3AE3">
        <w:rPr>
          <w:rFonts w:ascii="Titillium" w:hAnsi="Titillium" w:cs="Calibri"/>
          <w:bCs/>
          <w:iCs/>
          <w:color w:val="000000" w:themeColor="text1"/>
          <w:sz w:val="18"/>
          <w:szCs w:val="18"/>
        </w:rPr>
        <w:t xml:space="preserve"> </w:t>
      </w:r>
      <w:r w:rsidR="009025FB" w:rsidRPr="007A3AE3">
        <w:rPr>
          <w:rFonts w:ascii="Titillium" w:hAnsi="Titillium" w:cs="Calibri"/>
          <w:bCs/>
          <w:iCs/>
          <w:color w:val="000000" w:themeColor="text1"/>
          <w:sz w:val="18"/>
          <w:szCs w:val="18"/>
        </w:rPr>
        <w:t xml:space="preserve">(in caso di affidamento di </w:t>
      </w:r>
      <w:r w:rsidR="00761E9D" w:rsidRPr="007A3AE3">
        <w:rPr>
          <w:rFonts w:ascii="Titillium" w:hAnsi="Titillium" w:cs="Calibri"/>
          <w:bCs/>
          <w:iCs/>
          <w:color w:val="000000" w:themeColor="text1"/>
          <w:sz w:val="18"/>
          <w:szCs w:val="18"/>
        </w:rPr>
        <w:t>entrambi i</w:t>
      </w:r>
      <w:r w:rsidRPr="007A3AE3">
        <w:rPr>
          <w:rFonts w:ascii="Titillium" w:hAnsi="Titillium" w:cs="Calibri"/>
          <w:bCs/>
          <w:iCs/>
          <w:color w:val="000000" w:themeColor="text1"/>
          <w:sz w:val="18"/>
          <w:szCs w:val="18"/>
        </w:rPr>
        <w:t xml:space="preserve"> livelli di progettazione</w:t>
      </w:r>
      <w:r w:rsidR="009025FB" w:rsidRPr="007A3AE3">
        <w:rPr>
          <w:rFonts w:ascii="Titillium" w:hAnsi="Titillium" w:cs="Calibri"/>
          <w:bCs/>
          <w:iCs/>
          <w:color w:val="000000" w:themeColor="text1"/>
          <w:sz w:val="18"/>
          <w:szCs w:val="18"/>
        </w:rPr>
        <w:t>)</w:t>
      </w:r>
      <w:r w:rsidRPr="007A3AE3">
        <w:rPr>
          <w:rFonts w:ascii="Titillium" w:hAnsi="Titillium" w:cs="Calibri"/>
          <w:bCs/>
          <w:iCs/>
          <w:color w:val="000000" w:themeColor="text1"/>
          <w:sz w:val="18"/>
          <w:szCs w:val="18"/>
        </w:rPr>
        <w:t xml:space="preserve"> o Progetto di fattibilità tecnica economica</w:t>
      </w:r>
      <w:r w:rsidR="009025FB" w:rsidRPr="007A3AE3">
        <w:rPr>
          <w:rFonts w:ascii="Titillium" w:hAnsi="Titillium" w:cs="Calibri"/>
          <w:bCs/>
          <w:iCs/>
          <w:color w:val="000000" w:themeColor="text1"/>
          <w:sz w:val="18"/>
          <w:szCs w:val="18"/>
        </w:rPr>
        <w:t xml:space="preserve"> (in caso di </w:t>
      </w:r>
      <w:r w:rsidRPr="007A3AE3">
        <w:rPr>
          <w:rFonts w:ascii="Titillium" w:hAnsi="Titillium" w:cs="Calibri"/>
          <w:bCs/>
          <w:iCs/>
          <w:color w:val="000000" w:themeColor="text1"/>
          <w:sz w:val="18"/>
          <w:szCs w:val="18"/>
        </w:rPr>
        <w:t>affidamento</w:t>
      </w:r>
      <w:r w:rsidR="009025FB" w:rsidRPr="007A3AE3">
        <w:rPr>
          <w:rFonts w:ascii="Titillium" w:hAnsi="Titillium" w:cs="Calibri"/>
          <w:bCs/>
          <w:iCs/>
          <w:color w:val="000000" w:themeColor="text1"/>
          <w:sz w:val="18"/>
          <w:szCs w:val="18"/>
        </w:rPr>
        <w:t xml:space="preserve"> della </w:t>
      </w:r>
      <w:r w:rsidRPr="007A3AE3">
        <w:rPr>
          <w:rFonts w:ascii="Titillium" w:hAnsi="Titillium" w:cs="Calibri"/>
          <w:bCs/>
          <w:iCs/>
          <w:color w:val="000000" w:themeColor="text1"/>
          <w:sz w:val="18"/>
          <w:szCs w:val="18"/>
        </w:rPr>
        <w:t>sola progettazione esecutiva</w:t>
      </w:r>
      <w:r w:rsidR="009025FB" w:rsidRPr="007A3AE3">
        <w:rPr>
          <w:rFonts w:ascii="Titillium" w:hAnsi="Titillium" w:cs="Calibri"/>
          <w:bCs/>
          <w:iCs/>
          <w:color w:val="000000" w:themeColor="text1"/>
          <w:sz w:val="18"/>
          <w:szCs w:val="18"/>
        </w:rPr>
        <w:t>) e relativi allegati tecnici</w:t>
      </w:r>
      <w:r w:rsidR="00F54F85">
        <w:rPr>
          <w:rFonts w:ascii="Titillium" w:hAnsi="Titillium" w:cs="Calibri"/>
          <w:bCs/>
          <w:iCs/>
          <w:color w:val="000000" w:themeColor="text1"/>
          <w:sz w:val="18"/>
          <w:szCs w:val="18"/>
        </w:rPr>
        <w:t>;</w:t>
      </w:r>
    </w:p>
    <w:p w14:paraId="09F01619" w14:textId="4A366EEB" w:rsidR="000B0BA2" w:rsidRPr="007A3AE3" w:rsidRDefault="00A54E15" w:rsidP="00D26F03">
      <w:pPr>
        <w:pStyle w:val="Paragrafoelenco"/>
        <w:numPr>
          <w:ilvl w:val="0"/>
          <w:numId w:val="33"/>
        </w:numPr>
        <w:spacing w:before="60" w:after="60"/>
        <w:rPr>
          <w:rFonts w:ascii="Titillium" w:hAnsi="Titillium" w:cs="Calibri"/>
          <w:bCs/>
          <w:iCs/>
          <w:color w:val="000000" w:themeColor="text1"/>
          <w:sz w:val="18"/>
          <w:szCs w:val="18"/>
        </w:rPr>
      </w:pPr>
      <w:r w:rsidRPr="007A3AE3">
        <w:rPr>
          <w:rFonts w:ascii="Titillium" w:hAnsi="Titillium" w:cs="Calibri"/>
          <w:bCs/>
          <w:iCs/>
          <w:color w:val="000000" w:themeColor="text1"/>
          <w:sz w:val="18"/>
          <w:szCs w:val="18"/>
        </w:rPr>
        <w:t>Capitolato speciale</w:t>
      </w:r>
      <w:r w:rsidR="00F54F85">
        <w:rPr>
          <w:rFonts w:ascii="Titillium" w:hAnsi="Titillium" w:cs="Calibri"/>
          <w:bCs/>
          <w:iCs/>
          <w:color w:val="000000" w:themeColor="text1"/>
          <w:sz w:val="18"/>
          <w:szCs w:val="18"/>
        </w:rPr>
        <w:t>;</w:t>
      </w:r>
    </w:p>
    <w:p w14:paraId="3F33595F" w14:textId="49E7743B" w:rsidR="00075257" w:rsidRDefault="00761E9D" w:rsidP="00075257">
      <w:pPr>
        <w:spacing w:before="60" w:after="60"/>
        <w:ind w:left="786"/>
        <w:rPr>
          <w:rFonts w:ascii="Titillium" w:hAnsi="Titillium" w:cs="Calibri"/>
          <w:bCs/>
          <w:color w:val="000000" w:themeColor="text1"/>
          <w:sz w:val="18"/>
          <w:szCs w:val="18"/>
        </w:rPr>
      </w:pPr>
      <w:bookmarkStart w:id="167" w:name="_Hlk197445871"/>
      <w:r w:rsidRPr="00075257">
        <w:rPr>
          <w:rFonts w:ascii="Titillium" w:hAnsi="Titillium" w:cs="Calibri"/>
          <w:b/>
          <w:bCs/>
          <w:i/>
          <w:iCs/>
          <w:color w:val="000000" w:themeColor="text1"/>
          <w:sz w:val="18"/>
          <w:szCs w:val="18"/>
        </w:rPr>
        <w:t>[</w:t>
      </w:r>
      <w:r w:rsidR="000B0BA2" w:rsidRPr="00075257">
        <w:rPr>
          <w:rFonts w:ascii="Titillium" w:hAnsi="Titillium" w:cs="Calibri"/>
          <w:b/>
          <w:bCs/>
          <w:i/>
          <w:iCs/>
          <w:color w:val="000000" w:themeColor="text1"/>
          <w:sz w:val="18"/>
          <w:szCs w:val="18"/>
        </w:rPr>
        <w:t>Per le procedure di affidamento della progettazione con stima del costo presunto dei lavori di importo superiore a 2 milioni di euro, ovvero alla soglia dell’</w:t>
      </w:r>
      <w:r w:rsidR="00D61BD7" w:rsidRPr="00075257">
        <w:rPr>
          <w:rFonts w:ascii="Titillium" w:hAnsi="Titillium" w:cs="Calibri"/>
          <w:b/>
          <w:bCs/>
          <w:i/>
          <w:iCs/>
          <w:color w:val="000000" w:themeColor="text1"/>
          <w:sz w:val="18"/>
          <w:szCs w:val="18"/>
        </w:rPr>
        <w:t>articolo</w:t>
      </w:r>
      <w:r w:rsidR="000B0BA2" w:rsidRPr="00075257">
        <w:rPr>
          <w:rFonts w:ascii="Titillium" w:hAnsi="Titillium" w:cs="Calibri"/>
          <w:b/>
          <w:bCs/>
          <w:i/>
          <w:iCs/>
          <w:color w:val="000000" w:themeColor="text1"/>
          <w:sz w:val="18"/>
          <w:szCs w:val="18"/>
        </w:rPr>
        <w:t xml:space="preserve"> 14, comma 1, lettera a) in caso di interventi su edifici di cui all’</w:t>
      </w:r>
      <w:r w:rsidR="00D61BD7" w:rsidRPr="00075257">
        <w:rPr>
          <w:rFonts w:ascii="Titillium" w:hAnsi="Titillium" w:cs="Calibri"/>
          <w:b/>
          <w:bCs/>
          <w:i/>
          <w:iCs/>
          <w:color w:val="000000" w:themeColor="text1"/>
          <w:sz w:val="18"/>
          <w:szCs w:val="18"/>
        </w:rPr>
        <w:t>articolo</w:t>
      </w:r>
      <w:r w:rsidR="000B0BA2" w:rsidRPr="00075257">
        <w:rPr>
          <w:rFonts w:ascii="Titillium" w:hAnsi="Titillium" w:cs="Calibri"/>
          <w:b/>
          <w:bCs/>
          <w:i/>
          <w:iCs/>
          <w:color w:val="000000" w:themeColor="text1"/>
          <w:sz w:val="18"/>
          <w:szCs w:val="18"/>
        </w:rPr>
        <w:t xml:space="preserve"> 10, comma 1, del codice dei beni culturali, eccettuati gli interventi di ordinaria e straordinaria manutenzione</w:t>
      </w:r>
      <w:r w:rsidR="007A3AE3" w:rsidRPr="00075257">
        <w:rPr>
          <w:rFonts w:ascii="Titillium" w:hAnsi="Titillium" w:cs="Calibri"/>
          <w:b/>
          <w:bCs/>
          <w:i/>
          <w:iCs/>
          <w:color w:val="000000" w:themeColor="text1"/>
          <w:sz w:val="18"/>
          <w:szCs w:val="18"/>
        </w:rPr>
        <w:t xml:space="preserve"> (</w:t>
      </w:r>
      <w:r w:rsidR="000B0BA2" w:rsidRPr="00075257">
        <w:rPr>
          <w:rFonts w:ascii="Titillium" w:hAnsi="Titillium" w:cs="Calibri"/>
          <w:b/>
          <w:bCs/>
          <w:i/>
          <w:iCs/>
          <w:color w:val="000000" w:themeColor="text1"/>
          <w:sz w:val="18"/>
          <w:szCs w:val="18"/>
        </w:rPr>
        <w:t>a meno che  non riguardino opere precedentemente eseguite con l’ adozione dei suddetti metodi e strumenti di gestione informativa digitale</w:t>
      </w:r>
      <w:r w:rsidR="007A3AE3" w:rsidRPr="00075257">
        <w:rPr>
          <w:rFonts w:ascii="Titillium" w:hAnsi="Titillium" w:cs="Calibri"/>
          <w:b/>
          <w:bCs/>
          <w:i/>
          <w:iCs/>
          <w:color w:val="000000" w:themeColor="text1"/>
          <w:sz w:val="18"/>
          <w:szCs w:val="18"/>
        </w:rPr>
        <w:t>)</w:t>
      </w:r>
      <w:r w:rsidR="000B0BA2" w:rsidRPr="00075257">
        <w:rPr>
          <w:rFonts w:ascii="Titillium" w:hAnsi="Titillium" w:cs="Calibri"/>
          <w:b/>
          <w:bCs/>
          <w:i/>
          <w:iCs/>
          <w:color w:val="000000" w:themeColor="text1"/>
          <w:sz w:val="18"/>
          <w:szCs w:val="18"/>
        </w:rPr>
        <w:t xml:space="preserve"> e per le restanti procedure di affidamento della progettazione nel caso in cui si </w:t>
      </w:r>
      <w:r w:rsidR="00075257" w:rsidRPr="00075257">
        <w:rPr>
          <w:rFonts w:ascii="Titillium" w:hAnsi="Titillium" w:cs="Calibri"/>
          <w:b/>
          <w:bCs/>
          <w:i/>
          <w:iCs/>
          <w:color w:val="000000" w:themeColor="text1"/>
          <w:sz w:val="18"/>
          <w:szCs w:val="18"/>
        </w:rPr>
        <w:t xml:space="preserve">preveda comunque  </w:t>
      </w:r>
      <w:r w:rsidR="007A3AE3" w:rsidRPr="00075257">
        <w:rPr>
          <w:rFonts w:ascii="Titillium" w:hAnsi="Titillium" w:cs="Calibri"/>
          <w:b/>
          <w:bCs/>
          <w:i/>
          <w:iCs/>
          <w:color w:val="000000" w:themeColor="text1"/>
          <w:sz w:val="18"/>
          <w:szCs w:val="18"/>
        </w:rPr>
        <w:t>l</w:t>
      </w:r>
      <w:r w:rsidR="00075257" w:rsidRPr="00075257">
        <w:rPr>
          <w:rFonts w:ascii="Titillium" w:hAnsi="Titillium" w:cs="Calibri"/>
          <w:b/>
          <w:bCs/>
          <w:i/>
          <w:iCs/>
          <w:color w:val="000000" w:themeColor="text1"/>
          <w:sz w:val="18"/>
          <w:szCs w:val="18"/>
        </w:rPr>
        <w:t xml:space="preserve">a necessaria </w:t>
      </w:r>
      <w:r w:rsidR="007A3AE3" w:rsidRPr="00075257">
        <w:rPr>
          <w:rFonts w:ascii="Titillium" w:hAnsi="Titillium" w:cs="Calibri"/>
          <w:b/>
          <w:bCs/>
          <w:i/>
          <w:iCs/>
          <w:color w:val="000000" w:themeColor="text1"/>
          <w:sz w:val="18"/>
          <w:szCs w:val="18"/>
        </w:rPr>
        <w:t>adozione dei suddetti metodi e strumenti di gestione informativa</w:t>
      </w:r>
      <w:r w:rsidR="00095FE7" w:rsidRPr="00075257">
        <w:rPr>
          <w:rFonts w:ascii="Titillium" w:hAnsi="Titillium" w:cs="Calibri"/>
          <w:b/>
          <w:bCs/>
          <w:i/>
          <w:iCs/>
          <w:color w:val="000000" w:themeColor="text1"/>
          <w:sz w:val="18"/>
          <w:szCs w:val="18"/>
        </w:rPr>
        <w:t xml:space="preserve"> digitale</w:t>
      </w:r>
      <w:r w:rsidR="00075257" w:rsidRPr="00075257">
        <w:rPr>
          <w:rFonts w:ascii="Titillium" w:hAnsi="Titillium" w:cs="Calibri"/>
          <w:b/>
          <w:bCs/>
          <w:i/>
          <w:iCs/>
          <w:color w:val="000000" w:themeColor="text1"/>
          <w:sz w:val="18"/>
          <w:szCs w:val="18"/>
        </w:rPr>
        <w:t xml:space="preserve"> delle costruzion</w:t>
      </w:r>
      <w:r w:rsidR="00075257">
        <w:rPr>
          <w:rFonts w:ascii="Titillium" w:hAnsi="Titillium" w:cs="Calibri"/>
          <w:b/>
          <w:bCs/>
          <w:i/>
          <w:iCs/>
          <w:color w:val="000000" w:themeColor="text1"/>
          <w:sz w:val="18"/>
          <w:szCs w:val="18"/>
        </w:rPr>
        <w:t>i</w:t>
      </w:r>
      <w:r w:rsidR="00452239" w:rsidRPr="00075257">
        <w:rPr>
          <w:rFonts w:ascii="Titillium" w:hAnsi="Titillium" w:cs="Calibri"/>
          <w:b/>
          <w:bCs/>
          <w:i/>
          <w:iCs/>
          <w:color w:val="000000" w:themeColor="text1"/>
          <w:sz w:val="18"/>
          <w:szCs w:val="18"/>
        </w:rPr>
        <w:t>]</w:t>
      </w:r>
      <w:r w:rsidR="000B0BA2" w:rsidRPr="00075257">
        <w:rPr>
          <w:rFonts w:ascii="Titillium" w:hAnsi="Titillium" w:cs="Calibri"/>
          <w:bCs/>
          <w:color w:val="000000" w:themeColor="text1"/>
          <w:sz w:val="18"/>
          <w:szCs w:val="18"/>
        </w:rPr>
        <w:t xml:space="preserve"> </w:t>
      </w:r>
      <w:bookmarkEnd w:id="167"/>
      <w:r w:rsidR="00075257" w:rsidRPr="00075257">
        <w:rPr>
          <w:rFonts w:ascii="Titillium" w:hAnsi="Titillium" w:cs="Calibri"/>
          <w:bCs/>
          <w:color w:val="000000" w:themeColor="text1"/>
          <w:sz w:val="18"/>
          <w:szCs w:val="18"/>
        </w:rPr>
        <w:t>:</w:t>
      </w:r>
    </w:p>
    <w:p w14:paraId="3B9D2459" w14:textId="2403C1ED" w:rsidR="006842EE" w:rsidRPr="00075257" w:rsidRDefault="009025FB" w:rsidP="00D26F03">
      <w:pPr>
        <w:pStyle w:val="Paragrafoelenco"/>
        <w:numPr>
          <w:ilvl w:val="0"/>
          <w:numId w:val="47"/>
        </w:numPr>
        <w:spacing w:before="60" w:after="60"/>
        <w:ind w:left="1134"/>
        <w:rPr>
          <w:rFonts w:ascii="Titillium" w:hAnsi="Titillium" w:cs="Calibri"/>
          <w:bCs/>
          <w:iCs/>
          <w:color w:val="000000" w:themeColor="text1"/>
          <w:sz w:val="18"/>
          <w:szCs w:val="18"/>
        </w:rPr>
      </w:pPr>
      <w:r w:rsidRPr="00075257">
        <w:rPr>
          <w:rFonts w:ascii="Titillium" w:hAnsi="Titillium" w:cs="Calibri"/>
          <w:bCs/>
          <w:color w:val="000000" w:themeColor="text1"/>
          <w:sz w:val="18"/>
          <w:szCs w:val="18"/>
        </w:rPr>
        <w:t>C</w:t>
      </w:r>
      <w:r w:rsidR="000B0BA2" w:rsidRPr="00075257">
        <w:rPr>
          <w:rFonts w:ascii="Titillium" w:hAnsi="Titillium" w:cs="Calibri"/>
          <w:bCs/>
          <w:color w:val="000000" w:themeColor="text1"/>
          <w:sz w:val="18"/>
          <w:szCs w:val="18"/>
        </w:rPr>
        <w:t xml:space="preserve">apitolato informativo di cui all’articolo 1, comma 8, dell’Allegato I.9 al </w:t>
      </w:r>
      <w:r w:rsidR="00761E9D" w:rsidRPr="00075257">
        <w:rPr>
          <w:rFonts w:ascii="Titillium" w:hAnsi="Titillium" w:cs="Calibri"/>
          <w:bCs/>
          <w:color w:val="000000" w:themeColor="text1"/>
          <w:sz w:val="18"/>
          <w:szCs w:val="18"/>
        </w:rPr>
        <w:t xml:space="preserve">Codice </w:t>
      </w:r>
      <w:r w:rsidR="005F5116" w:rsidRPr="00075257">
        <w:rPr>
          <w:rFonts w:ascii="Titillium" w:hAnsi="Titillium" w:cs="Calibri"/>
          <w:bCs/>
          <w:iCs/>
          <w:color w:val="000000" w:themeColor="text1"/>
          <w:sz w:val="18"/>
          <w:szCs w:val="18"/>
        </w:rPr>
        <w:t xml:space="preserve">  </w:t>
      </w:r>
    </w:p>
    <w:p w14:paraId="045D311B" w14:textId="22545287" w:rsidR="009025FB" w:rsidRPr="003E5E74" w:rsidRDefault="00C74BD2" w:rsidP="009025FB">
      <w:pPr>
        <w:spacing w:before="60" w:after="60"/>
        <w:ind w:left="426"/>
        <w:rPr>
          <w:rFonts w:ascii="Titillium" w:hAnsi="Titillium" w:cs="Calibri"/>
          <w:bCs/>
          <w:iCs/>
          <w:color w:val="000000" w:themeColor="text1"/>
          <w:sz w:val="18"/>
          <w:szCs w:val="18"/>
        </w:rPr>
      </w:pPr>
      <w:r w:rsidRPr="003E5E74">
        <w:rPr>
          <w:rFonts w:ascii="Titillium" w:hAnsi="Titillium" w:cs="Calibri"/>
          <w:b/>
          <w:iCs/>
          <w:color w:val="000000" w:themeColor="text1"/>
          <w:sz w:val="2"/>
          <w:szCs w:val="2"/>
        </w:rPr>
        <w:t>[</w:t>
      </w:r>
      <w:r>
        <w:rPr>
          <w:rFonts w:ascii="Titillium" w:hAnsi="Titillium" w:cs="Calibri"/>
          <w:b/>
          <w:iCs/>
          <w:color w:val="000000" w:themeColor="text1"/>
          <w:sz w:val="18"/>
          <w:szCs w:val="18"/>
        </w:rPr>
        <w:t>[</w:t>
      </w:r>
      <w:r w:rsidR="0025550F" w:rsidRPr="005410DC">
        <w:rPr>
          <w:rFonts w:ascii="Titillium" w:hAnsi="Titillium" w:cs="Calibri"/>
          <w:b/>
          <w:i/>
          <w:color w:val="000000" w:themeColor="text1"/>
          <w:sz w:val="18"/>
          <w:szCs w:val="18"/>
        </w:rPr>
        <w:t>Facoltativo</w:t>
      </w:r>
      <w:r w:rsidR="003E5E74" w:rsidRPr="005410DC">
        <w:rPr>
          <w:rFonts w:ascii="Titillium" w:hAnsi="Titillium" w:cs="Calibri"/>
          <w:b/>
          <w:i/>
          <w:color w:val="000000" w:themeColor="text1"/>
          <w:sz w:val="18"/>
          <w:szCs w:val="18"/>
        </w:rPr>
        <w:t xml:space="preserve"> nei casi di adozione di metodi e strumenti di gestione informatica digitale</w:t>
      </w:r>
      <w:r w:rsidR="00075257" w:rsidRPr="005410DC">
        <w:rPr>
          <w:rFonts w:ascii="Titillium" w:hAnsi="Titillium" w:cs="Calibri"/>
          <w:b/>
          <w:i/>
          <w:color w:val="000000" w:themeColor="text1"/>
          <w:sz w:val="18"/>
          <w:szCs w:val="18"/>
        </w:rPr>
        <w:t xml:space="preserve"> delle costruzioni</w:t>
      </w:r>
      <w:r w:rsidR="00F1038A">
        <w:rPr>
          <w:rFonts w:ascii="Titillium" w:hAnsi="Titillium" w:cs="Calibri"/>
          <w:b/>
          <w:iCs/>
          <w:color w:val="000000" w:themeColor="text1"/>
          <w:sz w:val="18"/>
          <w:szCs w:val="18"/>
        </w:rPr>
        <w:t>]</w:t>
      </w:r>
      <w:r w:rsidR="003E5E74" w:rsidRPr="003E5E74">
        <w:rPr>
          <w:rFonts w:ascii="Titillium" w:hAnsi="Titillium" w:cs="Calibri"/>
          <w:bCs/>
          <w:iCs/>
          <w:color w:val="000000" w:themeColor="text1"/>
          <w:sz w:val="18"/>
          <w:szCs w:val="18"/>
        </w:rPr>
        <w:t xml:space="preserve">: </w:t>
      </w:r>
      <w:r w:rsidR="009025FB" w:rsidRPr="003E5E74">
        <w:rPr>
          <w:rFonts w:ascii="Titillium" w:hAnsi="Titillium" w:cs="Calibri"/>
          <w:bCs/>
          <w:iCs/>
          <w:color w:val="000000" w:themeColor="text1"/>
          <w:sz w:val="18"/>
          <w:szCs w:val="18"/>
        </w:rPr>
        <w:t>La documentazione tecnica è accessibile gratuitamente</w:t>
      </w:r>
      <w:r w:rsidR="00CB7B67" w:rsidRPr="003E5E74">
        <w:rPr>
          <w:rFonts w:ascii="Titillium" w:hAnsi="Titillium" w:cs="Calibri"/>
          <w:bCs/>
          <w:iCs/>
          <w:color w:val="000000" w:themeColor="text1"/>
          <w:sz w:val="18"/>
          <w:szCs w:val="18"/>
        </w:rPr>
        <w:t xml:space="preserve"> </w:t>
      </w:r>
      <w:r w:rsidR="009025FB" w:rsidRPr="003E5E74">
        <w:rPr>
          <w:rFonts w:ascii="Titillium" w:hAnsi="Titillium" w:cs="Calibri"/>
          <w:bCs/>
          <w:iCs/>
          <w:color w:val="000000" w:themeColor="text1"/>
          <w:sz w:val="18"/>
          <w:szCs w:val="18"/>
        </w:rPr>
        <w:t>al seguente lin</w:t>
      </w:r>
      <w:r w:rsidR="00CB7B67" w:rsidRPr="003E5E74">
        <w:rPr>
          <w:rFonts w:ascii="Titillium" w:hAnsi="Titillium" w:cs="Calibri"/>
          <w:bCs/>
          <w:iCs/>
          <w:color w:val="000000" w:themeColor="text1"/>
          <w:sz w:val="18"/>
          <w:szCs w:val="18"/>
        </w:rPr>
        <w:t>k</w:t>
      </w:r>
      <w:r w:rsidR="009025FB" w:rsidRPr="003E5E74">
        <w:rPr>
          <w:rFonts w:ascii="Titillium" w:hAnsi="Titillium" w:cs="Calibri"/>
          <w:bCs/>
          <w:iCs/>
          <w:color w:val="000000" w:themeColor="text1"/>
          <w:sz w:val="18"/>
          <w:szCs w:val="18"/>
        </w:rPr>
        <w:t>:</w:t>
      </w:r>
      <w:r w:rsidR="00761E9D" w:rsidRPr="003E5E74">
        <w:rPr>
          <w:rFonts w:ascii="Titillium" w:hAnsi="Titillium" w:cs="Calibri"/>
          <w:bCs/>
          <w:iCs/>
          <w:color w:val="000000" w:themeColor="text1"/>
          <w:sz w:val="18"/>
          <w:szCs w:val="18"/>
        </w:rPr>
        <w:t xml:space="preserve"> </w:t>
      </w:r>
      <w:r w:rsidR="009025FB" w:rsidRPr="003E5E74">
        <w:rPr>
          <w:rFonts w:ascii="Titillium" w:hAnsi="Titillium" w:cs="Calibri"/>
          <w:bCs/>
          <w:iCs/>
          <w:color w:val="000000" w:themeColor="text1"/>
          <w:sz w:val="18"/>
          <w:szCs w:val="18"/>
        </w:rPr>
        <w:t>... [</w:t>
      </w:r>
      <w:r w:rsidR="009025FB" w:rsidRPr="003E5E74">
        <w:rPr>
          <w:rFonts w:ascii="Titillium" w:hAnsi="Titillium" w:cs="Calibri"/>
          <w:bCs/>
          <w:i/>
          <w:color w:val="000000" w:themeColor="text1"/>
          <w:sz w:val="18"/>
          <w:szCs w:val="18"/>
        </w:rPr>
        <w:t>indicare il link d</w:t>
      </w:r>
      <w:r w:rsidR="00CB7B67" w:rsidRPr="003E5E74">
        <w:rPr>
          <w:rFonts w:ascii="Titillium" w:hAnsi="Titillium" w:cs="Calibri"/>
          <w:bCs/>
          <w:i/>
          <w:color w:val="000000" w:themeColor="text1"/>
          <w:sz w:val="18"/>
          <w:szCs w:val="18"/>
        </w:rPr>
        <w:t xml:space="preserve">ella stazione appaltante </w:t>
      </w:r>
      <w:r w:rsidR="009025FB" w:rsidRPr="003E5E74">
        <w:rPr>
          <w:rFonts w:ascii="Titillium" w:hAnsi="Titillium" w:cs="Calibri"/>
          <w:bCs/>
          <w:i/>
          <w:color w:val="000000" w:themeColor="text1"/>
          <w:sz w:val="18"/>
          <w:szCs w:val="18"/>
        </w:rPr>
        <w:t>al quale è possibile consultare la documentazione</w:t>
      </w:r>
      <w:r w:rsidR="00CB7B67" w:rsidRPr="003E5E74">
        <w:rPr>
          <w:rFonts w:ascii="Titillium" w:hAnsi="Titillium" w:cs="Calibri"/>
          <w:bCs/>
          <w:i/>
          <w:color w:val="000000" w:themeColor="text1"/>
          <w:sz w:val="18"/>
          <w:szCs w:val="18"/>
        </w:rPr>
        <w:t xml:space="preserve"> tecnica</w:t>
      </w:r>
      <w:r w:rsidR="00CB7B67" w:rsidRPr="003E5E74">
        <w:rPr>
          <w:rFonts w:ascii="Titillium" w:hAnsi="Titillium" w:cs="Calibri"/>
          <w:bCs/>
          <w:iCs/>
          <w:color w:val="000000" w:themeColor="text1"/>
          <w:sz w:val="18"/>
          <w:szCs w:val="18"/>
        </w:rPr>
        <w:t>]</w:t>
      </w:r>
      <w:r w:rsidR="009025FB" w:rsidRPr="003E5E74">
        <w:rPr>
          <w:rFonts w:ascii="Titillium" w:hAnsi="Titillium" w:cs="Calibri"/>
          <w:bCs/>
          <w:iCs/>
          <w:color w:val="000000" w:themeColor="text1"/>
          <w:sz w:val="18"/>
          <w:szCs w:val="18"/>
        </w:rPr>
        <w:t xml:space="preserve"> </w:t>
      </w:r>
      <w:r w:rsidR="00761E9D" w:rsidRPr="003E5E74">
        <w:rPr>
          <w:rFonts w:ascii="Titillium" w:hAnsi="Titillium" w:cs="Calibri"/>
          <w:bCs/>
          <w:iCs/>
          <w:color w:val="000000" w:themeColor="text1"/>
          <w:sz w:val="18"/>
          <w:szCs w:val="18"/>
        </w:rPr>
        <w:t>o sulla</w:t>
      </w:r>
      <w:r w:rsidR="009025FB" w:rsidRPr="003E5E74">
        <w:rPr>
          <w:rFonts w:ascii="Titillium" w:hAnsi="Titillium" w:cs="Calibri"/>
          <w:bCs/>
          <w:iCs/>
          <w:color w:val="000000" w:themeColor="text1"/>
          <w:sz w:val="18"/>
          <w:szCs w:val="18"/>
        </w:rPr>
        <w:t xml:space="preserve"> PAD … [</w:t>
      </w:r>
      <w:r w:rsidR="009025FB" w:rsidRPr="003E5E74">
        <w:rPr>
          <w:rFonts w:ascii="Titillium" w:hAnsi="Titillium" w:cs="Calibri"/>
          <w:bCs/>
          <w:i/>
          <w:color w:val="000000" w:themeColor="text1"/>
          <w:sz w:val="18"/>
          <w:szCs w:val="18"/>
        </w:rPr>
        <w:t>indicare l’apposita sezione</w:t>
      </w:r>
      <w:r w:rsidR="009025FB" w:rsidRPr="003E5E74">
        <w:rPr>
          <w:rFonts w:ascii="Titillium" w:hAnsi="Titillium" w:cs="Calibri"/>
          <w:bCs/>
          <w:iCs/>
          <w:color w:val="000000" w:themeColor="text1"/>
          <w:sz w:val="18"/>
          <w:szCs w:val="18"/>
        </w:rPr>
        <w:t>].</w:t>
      </w:r>
    </w:p>
    <w:bookmarkEnd w:id="166"/>
    <w:p w14:paraId="0DC16FA8" w14:textId="2A2A069A" w:rsidR="005F5116" w:rsidRPr="00FF19A4" w:rsidRDefault="005F5116" w:rsidP="00D26F03">
      <w:pPr>
        <w:pStyle w:val="Paragrafoelenco"/>
        <w:numPr>
          <w:ilvl w:val="0"/>
          <w:numId w:val="39"/>
        </w:numPr>
        <w:spacing w:before="60" w:after="60"/>
        <w:rPr>
          <w:rFonts w:ascii="Titillium" w:hAnsi="Titillium" w:cs="Calibri"/>
          <w:bCs/>
          <w:iCs/>
          <w:sz w:val="18"/>
          <w:szCs w:val="18"/>
        </w:rPr>
      </w:pPr>
      <w:r w:rsidRPr="00FF19A4">
        <w:rPr>
          <w:rFonts w:ascii="Titillium" w:hAnsi="Titillium" w:cs="Calibri"/>
          <w:bCs/>
          <w:iCs/>
          <w:sz w:val="18"/>
          <w:szCs w:val="18"/>
        </w:rPr>
        <w:t>bando di gara;</w:t>
      </w:r>
    </w:p>
    <w:p w14:paraId="50E53E5F" w14:textId="050CF834" w:rsidR="005F5116" w:rsidRPr="00FF19A4" w:rsidRDefault="003E5E74" w:rsidP="00D26F03">
      <w:pPr>
        <w:pStyle w:val="Paragrafoelenco"/>
        <w:numPr>
          <w:ilvl w:val="0"/>
          <w:numId w:val="39"/>
        </w:numPr>
        <w:spacing w:before="60" w:after="60"/>
        <w:rPr>
          <w:rFonts w:ascii="Titillium" w:hAnsi="Titillium" w:cs="Calibri"/>
          <w:bCs/>
          <w:iCs/>
          <w:sz w:val="18"/>
          <w:szCs w:val="18"/>
        </w:rPr>
      </w:pPr>
      <w:r w:rsidRPr="00FF19A4">
        <w:rPr>
          <w:rFonts w:ascii="Titillium" w:hAnsi="Titillium" w:cs="Calibri"/>
          <w:bCs/>
          <w:iCs/>
          <w:sz w:val="18"/>
          <w:szCs w:val="18"/>
        </w:rPr>
        <w:t xml:space="preserve">disciplinare </w:t>
      </w:r>
      <w:r w:rsidR="005F5116" w:rsidRPr="00FF19A4">
        <w:rPr>
          <w:rFonts w:ascii="Titillium" w:hAnsi="Titillium" w:cs="Calibri"/>
          <w:bCs/>
          <w:iCs/>
          <w:sz w:val="18"/>
          <w:szCs w:val="18"/>
        </w:rPr>
        <w:t xml:space="preserve">di gara; </w:t>
      </w:r>
    </w:p>
    <w:p w14:paraId="1DF84A66" w14:textId="0E671868" w:rsidR="006842EE" w:rsidRDefault="008F2625" w:rsidP="00D26F03">
      <w:pPr>
        <w:pStyle w:val="Paragrafoelenco"/>
        <w:numPr>
          <w:ilvl w:val="0"/>
          <w:numId w:val="39"/>
        </w:numPr>
        <w:spacing w:before="60" w:after="60"/>
      </w:pPr>
      <w:r w:rsidRPr="00FF19A4">
        <w:rPr>
          <w:rFonts w:ascii="Titillium" w:hAnsi="Titillium" w:cs="Calibri"/>
          <w:bCs/>
          <w:iCs/>
          <w:sz w:val="18"/>
          <w:szCs w:val="18"/>
        </w:rPr>
        <w:t>schema di domanda di partecipazione;</w:t>
      </w:r>
    </w:p>
    <w:p w14:paraId="56FBB7F0" w14:textId="1BA3DE6B" w:rsidR="003E5E74" w:rsidRPr="00FF19A4" w:rsidRDefault="008F2625" w:rsidP="00D26F03">
      <w:pPr>
        <w:pStyle w:val="Paragrafoelenco"/>
        <w:numPr>
          <w:ilvl w:val="0"/>
          <w:numId w:val="39"/>
        </w:numPr>
        <w:spacing w:before="60" w:after="60"/>
        <w:rPr>
          <w:rFonts w:ascii="Titillium" w:hAnsi="Titillium" w:cs="Calibri"/>
          <w:bCs/>
          <w:iCs/>
          <w:sz w:val="18"/>
          <w:szCs w:val="18"/>
        </w:rPr>
      </w:pPr>
      <w:r w:rsidRPr="00FF19A4">
        <w:rPr>
          <w:rFonts w:ascii="Titillium" w:hAnsi="Titillium" w:cs="Calibri"/>
          <w:bCs/>
          <w:iCs/>
          <w:sz w:val="18"/>
          <w:szCs w:val="18"/>
        </w:rPr>
        <w:t>documento di gara unico europeo;</w:t>
      </w:r>
    </w:p>
    <w:p w14:paraId="43AAF394" w14:textId="0996652A" w:rsidR="003E5E74" w:rsidRPr="00FF19A4" w:rsidRDefault="003E5E74" w:rsidP="00D26F03">
      <w:pPr>
        <w:pStyle w:val="Paragrafoelenco"/>
        <w:numPr>
          <w:ilvl w:val="0"/>
          <w:numId w:val="39"/>
        </w:numPr>
        <w:spacing w:before="60" w:after="60"/>
        <w:rPr>
          <w:rFonts w:ascii="Titillium" w:hAnsi="Titillium" w:cs="Calibri"/>
          <w:bCs/>
          <w:iCs/>
          <w:sz w:val="18"/>
          <w:szCs w:val="18"/>
        </w:rPr>
      </w:pPr>
      <w:r w:rsidRPr="00FF19A4">
        <w:rPr>
          <w:rFonts w:ascii="Titillium" w:hAnsi="Titillium" w:cs="Calibri"/>
          <w:bCs/>
          <w:iCs/>
          <w:sz w:val="18"/>
          <w:szCs w:val="18"/>
        </w:rPr>
        <w:t>s</w:t>
      </w:r>
      <w:r w:rsidR="00A54E15" w:rsidRPr="00FF19A4">
        <w:rPr>
          <w:rFonts w:ascii="Titillium" w:hAnsi="Titillium" w:cs="Calibri"/>
          <w:bCs/>
          <w:iCs/>
          <w:sz w:val="18"/>
          <w:szCs w:val="18"/>
        </w:rPr>
        <w:t>chema di contratto</w:t>
      </w:r>
      <w:r w:rsidRPr="00FF19A4">
        <w:rPr>
          <w:rFonts w:ascii="Titillium" w:hAnsi="Titillium" w:cs="Calibri"/>
          <w:bCs/>
          <w:iCs/>
          <w:sz w:val="18"/>
          <w:szCs w:val="18"/>
        </w:rPr>
        <w:t>;</w:t>
      </w:r>
    </w:p>
    <w:p w14:paraId="29E6C442" w14:textId="064DB93C" w:rsidR="003E5E74" w:rsidRPr="00B31A96" w:rsidRDefault="000A09F0" w:rsidP="00D26F03">
      <w:pPr>
        <w:pStyle w:val="Paragrafoelenco"/>
        <w:numPr>
          <w:ilvl w:val="0"/>
          <w:numId w:val="39"/>
        </w:numPr>
        <w:spacing w:before="60" w:after="60"/>
        <w:rPr>
          <w:rFonts w:ascii="Titillium" w:hAnsi="Titillium" w:cs="Calibri"/>
          <w:bCs/>
          <w:iCs/>
          <w:sz w:val="18"/>
          <w:szCs w:val="18"/>
        </w:rPr>
      </w:pPr>
      <w:r w:rsidRPr="00B31A96">
        <w:rPr>
          <w:rFonts w:ascii="Titillium" w:hAnsi="Titillium" w:cs="Calibri"/>
          <w:bCs/>
          <w:iCs/>
          <w:sz w:val="18"/>
          <w:szCs w:val="18"/>
        </w:rPr>
        <w:t>documento contenente l’elenco dettagliato delle prestazioni e dei relativi corrispettivi;</w:t>
      </w:r>
    </w:p>
    <w:p w14:paraId="41F425E4" w14:textId="77777777" w:rsidR="00FF19A4" w:rsidRPr="00FF19A4" w:rsidRDefault="008F2625" w:rsidP="00D26F03">
      <w:pPr>
        <w:pStyle w:val="Paragrafoelenco"/>
        <w:numPr>
          <w:ilvl w:val="0"/>
          <w:numId w:val="39"/>
        </w:numPr>
        <w:spacing w:before="60" w:after="60"/>
      </w:pPr>
      <w:r w:rsidRPr="00B31A96">
        <w:rPr>
          <w:rFonts w:ascii="Titillium" w:hAnsi="Titillium" w:cs="Book-Antiqua,Bold"/>
          <w:bCs/>
          <w:iCs/>
          <w:color w:val="000000"/>
          <w:sz w:val="18"/>
          <w:szCs w:val="18"/>
        </w:rPr>
        <w:t>istruzioni operative per accedere alla P</w:t>
      </w:r>
      <w:r w:rsidR="00A54E15" w:rsidRPr="00B31A96">
        <w:rPr>
          <w:rFonts w:ascii="Titillium" w:hAnsi="Titillium" w:cs="Book-Antiqua,Bold"/>
          <w:bCs/>
          <w:iCs/>
          <w:color w:val="000000"/>
          <w:sz w:val="18"/>
          <w:szCs w:val="18"/>
        </w:rPr>
        <w:t xml:space="preserve">AD </w:t>
      </w:r>
      <w:r w:rsidRPr="00B31A96">
        <w:rPr>
          <w:rFonts w:ascii="Titillium" w:hAnsi="Titillium" w:cs="Book-Antiqua,Bold"/>
          <w:bCs/>
          <w:i/>
          <w:iCs/>
          <w:color w:val="000000"/>
          <w:sz w:val="18"/>
          <w:szCs w:val="18"/>
        </w:rPr>
        <w:t>[indicare il documento nel quale sono riportate le</w:t>
      </w:r>
      <w:r w:rsidRPr="00FF19A4">
        <w:rPr>
          <w:rFonts w:ascii="Titillium" w:hAnsi="Titillium" w:cs="Book-Antiqua,Bold"/>
          <w:bCs/>
          <w:i/>
          <w:iCs/>
          <w:color w:val="000000"/>
          <w:sz w:val="18"/>
          <w:szCs w:val="18"/>
        </w:rPr>
        <w:t xml:space="preserve"> indicazioni operative e le informazioni per accedere ed utilizzare la Piattaforma, ad esempio Istruzioni tecniche o Manuale utente ovvero il link dove è possibile trovare tale documentazione]</w:t>
      </w:r>
    </w:p>
    <w:p w14:paraId="34C8EB19" w14:textId="526390A3" w:rsidR="00B960AC" w:rsidRPr="00B960AC" w:rsidRDefault="00836035" w:rsidP="00D26F03">
      <w:pPr>
        <w:pStyle w:val="Paragrafoelenco"/>
        <w:numPr>
          <w:ilvl w:val="0"/>
          <w:numId w:val="39"/>
        </w:numPr>
        <w:spacing w:before="60" w:after="60"/>
      </w:pPr>
      <w:r w:rsidRPr="00FF19A4">
        <w:rPr>
          <w:rFonts w:ascii="Titillium" w:hAnsi="Titillium"/>
          <w:b/>
          <w:bCs/>
          <w:i/>
          <w:color w:val="000000"/>
          <w:sz w:val="18"/>
          <w:szCs w:val="18"/>
        </w:rPr>
        <w:t>[</w:t>
      </w:r>
      <w:r w:rsidR="008F2625" w:rsidRPr="00FF19A4">
        <w:rPr>
          <w:rFonts w:ascii="Titillium" w:hAnsi="Titillium"/>
          <w:b/>
          <w:bCs/>
          <w:i/>
          <w:color w:val="000000"/>
          <w:sz w:val="18"/>
          <w:szCs w:val="18"/>
        </w:rPr>
        <w:t>In caso di protocollo di legalità/patto di integrità]</w:t>
      </w:r>
      <w:r w:rsidR="008F2625" w:rsidRPr="00FF19A4">
        <w:rPr>
          <w:rFonts w:ascii="Titillium" w:hAnsi="Titillium"/>
          <w:color w:val="000000"/>
          <w:sz w:val="18"/>
          <w:szCs w:val="18"/>
        </w:rPr>
        <w:t xml:space="preserve"> Il patto di integrità/protocollo di legalità … </w:t>
      </w:r>
      <w:r w:rsidR="008F2625" w:rsidRPr="00FF19A4">
        <w:rPr>
          <w:rFonts w:ascii="Titillium" w:hAnsi="Titillium"/>
          <w:i/>
          <w:iCs/>
          <w:color w:val="000000"/>
          <w:sz w:val="18"/>
          <w:szCs w:val="18"/>
        </w:rPr>
        <w:t>[indicare il riferimento normativo o amministrativo, per esempio legge regionale n. … del ..., delibera n. … del … da cui discende l’applicazione del suddetto patto/protocollo]</w:t>
      </w:r>
      <w:r w:rsidR="008F2625" w:rsidRPr="00FF19A4">
        <w:rPr>
          <w:rFonts w:ascii="Titillium" w:hAnsi="Titillium" w:cs="Calibri"/>
          <w:bCs/>
          <w:iCs/>
          <w:sz w:val="18"/>
          <w:szCs w:val="18"/>
        </w:rPr>
        <w:t>;</w:t>
      </w:r>
      <w:r w:rsidR="00A54E15" w:rsidRPr="00FF19A4">
        <w:rPr>
          <w:rFonts w:ascii="Titillium" w:hAnsi="Titillium" w:cs="Calibri"/>
          <w:bCs/>
          <w:iCs/>
          <w:sz w:val="18"/>
          <w:szCs w:val="18"/>
        </w:rPr>
        <w:t xml:space="preserve"> </w:t>
      </w:r>
      <w:r w:rsidR="00B960AC" w:rsidRPr="00FF19A4">
        <w:rPr>
          <w:rFonts w:ascii="Titillium" w:hAnsi="Titillium" w:cs="Calibri"/>
          <w:bCs/>
          <w:iCs/>
          <w:sz w:val="18"/>
          <w:szCs w:val="18"/>
        </w:rPr>
        <w:t xml:space="preserve"> </w:t>
      </w:r>
    </w:p>
    <w:p w14:paraId="3E0B314F" w14:textId="22439E63" w:rsidR="00FF19A4" w:rsidRPr="00FF19A4" w:rsidRDefault="00B960AC" w:rsidP="00D26F03">
      <w:pPr>
        <w:pStyle w:val="Paragrafoelenco"/>
        <w:numPr>
          <w:ilvl w:val="0"/>
          <w:numId w:val="39"/>
        </w:numPr>
        <w:spacing w:before="60" w:after="60"/>
      </w:pPr>
      <w:r w:rsidRPr="00FF19A4">
        <w:rPr>
          <w:rFonts w:ascii="Titillium" w:hAnsi="Titillium" w:cs="Calibri"/>
          <w:bCs/>
          <w:iCs/>
          <w:sz w:val="18"/>
          <w:szCs w:val="18"/>
        </w:rPr>
        <w:t>[</w:t>
      </w:r>
      <w:r w:rsidRPr="005410DC">
        <w:rPr>
          <w:rFonts w:ascii="Titillium" w:hAnsi="Titillium" w:cs="Calibri"/>
          <w:b/>
          <w:i/>
          <w:sz w:val="18"/>
          <w:szCs w:val="18"/>
        </w:rPr>
        <w:t>Nel caso in cui si intenda adottare un accordo di collaborazione</w:t>
      </w:r>
      <w:r w:rsidRPr="00FF19A4">
        <w:rPr>
          <w:rFonts w:ascii="Titillium" w:hAnsi="Titillium" w:cs="Calibri"/>
          <w:bCs/>
          <w:iCs/>
          <w:sz w:val="18"/>
          <w:szCs w:val="18"/>
        </w:rPr>
        <w:t xml:space="preserve">] schema di </w:t>
      </w:r>
      <w:r w:rsidR="005410DC">
        <w:rPr>
          <w:rFonts w:ascii="Titillium" w:hAnsi="Titillium" w:cs="Calibri"/>
          <w:bCs/>
          <w:iCs/>
          <w:sz w:val="18"/>
          <w:szCs w:val="18"/>
        </w:rPr>
        <w:t>a</w:t>
      </w:r>
      <w:r w:rsidRPr="00FF19A4">
        <w:rPr>
          <w:rFonts w:ascii="Titillium" w:hAnsi="Titillium" w:cs="Calibri"/>
          <w:bCs/>
          <w:iCs/>
          <w:sz w:val="18"/>
          <w:szCs w:val="18"/>
        </w:rPr>
        <w:t>ccordo di collaborazione</w:t>
      </w:r>
      <w:r w:rsidR="00FF19A4">
        <w:rPr>
          <w:rFonts w:ascii="Titillium" w:hAnsi="Titillium" w:cs="Calibri"/>
          <w:bCs/>
          <w:iCs/>
          <w:sz w:val="18"/>
          <w:szCs w:val="18"/>
        </w:rPr>
        <w:t>;</w:t>
      </w:r>
      <w:r w:rsidRPr="00FF19A4">
        <w:rPr>
          <w:rFonts w:ascii="Titillium" w:hAnsi="Titillium" w:cs="Calibri"/>
          <w:bCs/>
          <w:iCs/>
          <w:sz w:val="18"/>
          <w:szCs w:val="18"/>
        </w:rPr>
        <w:t xml:space="preserve"> </w:t>
      </w:r>
    </w:p>
    <w:p w14:paraId="3BAAE805" w14:textId="55825EDA" w:rsidR="00836035" w:rsidRPr="00534170" w:rsidRDefault="008F2625" w:rsidP="00D26F03">
      <w:pPr>
        <w:pStyle w:val="Paragrafoelenco"/>
        <w:numPr>
          <w:ilvl w:val="0"/>
          <w:numId w:val="39"/>
        </w:numPr>
        <w:spacing w:before="60" w:after="60"/>
      </w:pPr>
      <w:r w:rsidRPr="00FF19A4">
        <w:rPr>
          <w:rFonts w:ascii="Titillium" w:hAnsi="Titillium" w:cs="Calibri"/>
          <w:bCs/>
          <w:i/>
          <w:iCs/>
          <w:sz w:val="18"/>
          <w:szCs w:val="18"/>
        </w:rPr>
        <w:t xml:space="preserve">[indicare eventuali altri allegati, ad esempio </w:t>
      </w:r>
      <w:r w:rsidR="00F95370" w:rsidRPr="00FF19A4">
        <w:rPr>
          <w:rFonts w:ascii="Titillium" w:hAnsi="Titillium" w:cs="Calibri"/>
          <w:bCs/>
          <w:i/>
          <w:iCs/>
          <w:color w:val="000000" w:themeColor="text1"/>
          <w:sz w:val="18"/>
          <w:szCs w:val="18"/>
        </w:rPr>
        <w:t xml:space="preserve">ad esempio modello/schema per la presentazione dell’offerta economica, </w:t>
      </w:r>
      <w:r w:rsidRPr="00FF19A4">
        <w:rPr>
          <w:rFonts w:ascii="Titillium" w:hAnsi="Titillium" w:cs="Calibri"/>
          <w:bCs/>
          <w:i/>
          <w:iCs/>
          <w:color w:val="000000" w:themeColor="text1"/>
          <w:sz w:val="18"/>
          <w:szCs w:val="18"/>
        </w:rPr>
        <w:t>schede tecniche immobili]</w:t>
      </w:r>
      <w:r w:rsidR="00FF19A4">
        <w:rPr>
          <w:rFonts w:ascii="Titillium" w:hAnsi="Titillium" w:cs="Calibri"/>
          <w:bCs/>
          <w:iCs/>
          <w:color w:val="000000" w:themeColor="text1"/>
          <w:sz w:val="18"/>
          <w:szCs w:val="18"/>
        </w:rPr>
        <w:t xml:space="preserve"> …</w:t>
      </w:r>
    </w:p>
    <w:p w14:paraId="324C6DF3" w14:textId="58BD3CC1" w:rsidR="00F95370" w:rsidRPr="00B960AC" w:rsidRDefault="00F95370">
      <w:pPr>
        <w:spacing w:before="60" w:after="60"/>
        <w:rPr>
          <w:rFonts w:ascii="Titillium" w:hAnsi="Titillium" w:cs="Calibri"/>
          <w:iCs/>
          <w:color w:val="000000" w:themeColor="text1"/>
          <w:sz w:val="18"/>
          <w:szCs w:val="18"/>
        </w:rPr>
      </w:pPr>
      <w:bookmarkStart w:id="168" w:name="_Hlk197445843"/>
      <w:r w:rsidRPr="00B960AC">
        <w:rPr>
          <w:rFonts w:ascii="Titillium" w:hAnsi="Titillium" w:cs="Calibri"/>
          <w:iCs/>
          <w:color w:val="000000" w:themeColor="text1"/>
          <w:sz w:val="18"/>
          <w:szCs w:val="18"/>
        </w:rPr>
        <w:t>La documentazione di gara è accessibile gratuitamente, sul sito istituzionale della stazione appaltante, nella sezione “Amministrazione trasparente”, al seguente link: ... [</w:t>
      </w:r>
      <w:r w:rsidRPr="005410DC">
        <w:rPr>
          <w:rFonts w:ascii="Titillium" w:hAnsi="Titillium" w:cs="Calibri"/>
          <w:i/>
          <w:color w:val="000000" w:themeColor="text1"/>
          <w:sz w:val="18"/>
          <w:szCs w:val="18"/>
        </w:rPr>
        <w:t>indicare il link dal quale è possibile consultare la documentazione</w:t>
      </w:r>
      <w:r w:rsidRPr="00B960AC">
        <w:rPr>
          <w:rFonts w:ascii="Titillium" w:hAnsi="Titillium" w:cs="Calibri"/>
          <w:iCs/>
          <w:color w:val="000000" w:themeColor="text1"/>
          <w:sz w:val="18"/>
          <w:szCs w:val="18"/>
        </w:rPr>
        <w:t>] e sulla PAD … [</w:t>
      </w:r>
      <w:r w:rsidRPr="005410DC">
        <w:rPr>
          <w:rFonts w:ascii="Titillium" w:hAnsi="Titillium" w:cs="Calibri"/>
          <w:i/>
          <w:color w:val="000000" w:themeColor="text1"/>
          <w:sz w:val="18"/>
          <w:szCs w:val="18"/>
        </w:rPr>
        <w:t>indicare l’apposita sezione</w:t>
      </w:r>
      <w:r w:rsidRPr="00B960AC">
        <w:rPr>
          <w:rFonts w:ascii="Titillium" w:hAnsi="Titillium" w:cs="Calibri"/>
          <w:iCs/>
          <w:color w:val="000000" w:themeColor="text1"/>
          <w:sz w:val="18"/>
          <w:szCs w:val="18"/>
        </w:rPr>
        <w:t>].</w:t>
      </w:r>
    </w:p>
    <w:p w14:paraId="47BFA65C" w14:textId="183489DC" w:rsidR="006842EE" w:rsidRPr="002066C0" w:rsidRDefault="008F2625">
      <w:pPr>
        <w:pStyle w:val="Titolo3"/>
        <w:numPr>
          <w:ilvl w:val="1"/>
          <w:numId w:val="3"/>
        </w:numPr>
        <w:ind w:left="426" w:hanging="426"/>
      </w:pPr>
      <w:bookmarkStart w:id="169" w:name="_Toc227921617"/>
      <w:bookmarkEnd w:id="168"/>
      <w:r w:rsidRPr="002066C0">
        <w:rPr>
          <w:rFonts w:ascii="Titillium" w:hAnsi="Titillium"/>
          <w:caps w:val="0"/>
          <w:sz w:val="18"/>
          <w:szCs w:val="18"/>
          <w:lang w:val="it-IT"/>
        </w:rPr>
        <w:t>C</w:t>
      </w:r>
      <w:r w:rsidRPr="002066C0">
        <w:rPr>
          <w:rFonts w:ascii="Titillium" w:hAnsi="Titillium"/>
          <w:caps w:val="0"/>
          <w:sz w:val="18"/>
          <w:szCs w:val="18"/>
        </w:rPr>
        <w:t>HIARIMENTI</w:t>
      </w:r>
      <w:bookmarkEnd w:id="169"/>
      <w:r w:rsidR="00C74CC5" w:rsidRPr="002066C0">
        <w:rPr>
          <w:rFonts w:ascii="Titillium" w:hAnsi="Titillium"/>
          <w:caps w:val="0"/>
          <w:sz w:val="18"/>
          <w:szCs w:val="18"/>
        </w:rPr>
        <w:t xml:space="preserve"> </w:t>
      </w:r>
    </w:p>
    <w:p w14:paraId="1E5DFF0D" w14:textId="321A1216" w:rsidR="006842EE" w:rsidRDefault="008F2625">
      <w:pPr>
        <w:spacing w:before="60" w:after="60"/>
      </w:pPr>
      <w:r>
        <w:rPr>
          <w:rFonts w:ascii="Titillium" w:hAnsi="Titillium" w:cs="Calibri"/>
          <w:sz w:val="18"/>
          <w:szCs w:val="18"/>
        </w:rPr>
        <w:t xml:space="preserve">É possibile ottenere chiarimenti sulla presente procedura mediante la proposizione di quesiti scritti da inoltrare almeno … </w:t>
      </w:r>
      <w:r>
        <w:rPr>
          <w:rFonts w:ascii="Titillium" w:hAnsi="Titillium" w:cs="Calibri"/>
          <w:i/>
          <w:sz w:val="18"/>
          <w:szCs w:val="18"/>
        </w:rPr>
        <w:t>[indicare il numero di giorni, ad esempio 10]</w:t>
      </w:r>
      <w:r>
        <w:rPr>
          <w:rFonts w:ascii="Titillium" w:hAnsi="Titillium" w:cs="Calibri"/>
          <w:sz w:val="18"/>
          <w:szCs w:val="18"/>
        </w:rPr>
        <w:t xml:space="preserve"> giorni prima della scadenza del termine fissato per la presentazione delle offerte in via telematica attraverso la sezione della Piattaforma riservata alle richieste di chiarimenti </w:t>
      </w:r>
      <w:r>
        <w:rPr>
          <w:rFonts w:ascii="Titillium" w:hAnsi="Titillium" w:cs="Calibri"/>
          <w:i/>
          <w:sz w:val="18"/>
          <w:szCs w:val="18"/>
        </w:rPr>
        <w:t>[indicare la Sezione/Area ovvero il link all’area chiarimenti]</w:t>
      </w:r>
      <w:r>
        <w:rPr>
          <w:rFonts w:ascii="Titillium" w:hAnsi="Titillium" w:cs="Calibri"/>
          <w:sz w:val="18"/>
          <w:szCs w:val="18"/>
        </w:rPr>
        <w:t>, previa registrazione alla P</w:t>
      </w:r>
      <w:r w:rsidR="00115A04">
        <w:rPr>
          <w:rFonts w:ascii="Titillium" w:hAnsi="Titillium" w:cs="Calibri"/>
          <w:sz w:val="18"/>
          <w:szCs w:val="18"/>
        </w:rPr>
        <w:t xml:space="preserve">AD </w:t>
      </w:r>
      <w:r>
        <w:rPr>
          <w:rFonts w:ascii="Titillium" w:hAnsi="Titillium" w:cs="Calibri"/>
          <w:sz w:val="18"/>
          <w:szCs w:val="18"/>
        </w:rPr>
        <w:t>stessa.</w:t>
      </w:r>
    </w:p>
    <w:p w14:paraId="170E5138" w14:textId="77777777" w:rsidR="006842EE" w:rsidRDefault="008F2625">
      <w:pPr>
        <w:spacing w:before="60" w:after="60"/>
        <w:rPr>
          <w:rFonts w:ascii="Titillium" w:hAnsi="Titillium" w:cs="Calibri"/>
          <w:i/>
          <w:sz w:val="18"/>
          <w:szCs w:val="18"/>
        </w:rPr>
      </w:pPr>
      <w:r>
        <w:rPr>
          <w:rFonts w:ascii="Titillium" w:hAnsi="Titillium" w:cs="Calibri"/>
          <w:sz w:val="18"/>
          <w:szCs w:val="18"/>
        </w:rPr>
        <w:t xml:space="preserve">Le richieste di chiarimenti e le relative risposte sono formulate esclusivamente in lingua italiana </w:t>
      </w:r>
      <w:r>
        <w:rPr>
          <w:rFonts w:ascii="Titillium" w:hAnsi="Titillium" w:cs="Calibri"/>
          <w:i/>
          <w:iCs/>
          <w:sz w:val="18"/>
          <w:szCs w:val="18"/>
        </w:rPr>
        <w:t>[</w:t>
      </w:r>
      <w:r>
        <w:rPr>
          <w:rFonts w:ascii="Titillium" w:hAnsi="Titillium" w:cs="Calibri"/>
          <w:b/>
          <w:bCs/>
          <w:i/>
          <w:iCs/>
          <w:sz w:val="18"/>
          <w:szCs w:val="18"/>
        </w:rPr>
        <w:t>in alternativa</w:t>
      </w:r>
      <w:r>
        <w:rPr>
          <w:rFonts w:ascii="Titillium" w:hAnsi="Titillium" w:cs="Calibri"/>
          <w:i/>
          <w:iCs/>
          <w:sz w:val="18"/>
          <w:szCs w:val="18"/>
        </w:rPr>
        <w:t xml:space="preserve"> in caso di bilinguismo]</w:t>
      </w:r>
      <w:r>
        <w:rPr>
          <w:rFonts w:ascii="Titillium" w:hAnsi="Titillium" w:cs="Calibri"/>
          <w:sz w:val="18"/>
          <w:szCs w:val="18"/>
        </w:rPr>
        <w:t xml:space="preserve"> Le richieste di chiarimenti e le relative risposte sono formulate in lingua </w:t>
      </w:r>
      <w:r>
        <w:rPr>
          <w:rFonts w:ascii="Titillium" w:hAnsi="Titillium" w:cs="Calibri"/>
          <w:sz w:val="18"/>
          <w:szCs w:val="18"/>
          <w:lang w:eastAsia="it-IT"/>
        </w:rPr>
        <w:t>italiana [</w:t>
      </w:r>
      <w:r>
        <w:rPr>
          <w:rFonts w:ascii="Titillium" w:hAnsi="Titillium" w:cs="Calibri"/>
          <w:i/>
          <w:sz w:val="18"/>
          <w:szCs w:val="18"/>
          <w:lang w:eastAsia="it-IT"/>
        </w:rPr>
        <w:t>e, o specificare]</w:t>
      </w:r>
      <w:r>
        <w:rPr>
          <w:rFonts w:ascii="Titillium" w:hAnsi="Titillium" w:cs="Calibri"/>
          <w:sz w:val="18"/>
          <w:szCs w:val="18"/>
        </w:rPr>
        <w:t xml:space="preserve"> … </w:t>
      </w:r>
      <w:r>
        <w:rPr>
          <w:rFonts w:ascii="Titillium" w:hAnsi="Titillium" w:cs="Calibri"/>
          <w:i/>
          <w:sz w:val="18"/>
          <w:szCs w:val="18"/>
        </w:rPr>
        <w:t>[indicare l’altra lingua]</w:t>
      </w:r>
      <w:r>
        <w:rPr>
          <w:rFonts w:ascii="Titillium" w:hAnsi="Titillium" w:cs="Calibri"/>
          <w:sz w:val="18"/>
          <w:szCs w:val="18"/>
          <w:lang w:eastAsia="it-IT"/>
        </w:rPr>
        <w:t>.</w:t>
      </w:r>
    </w:p>
    <w:p w14:paraId="1B4E8D5D" w14:textId="1E404183" w:rsidR="006842EE" w:rsidRDefault="008F2625">
      <w:pPr>
        <w:spacing w:before="60" w:after="60"/>
      </w:pPr>
      <w:r>
        <w:rPr>
          <w:rFonts w:ascii="Titillium" w:hAnsi="Titillium" w:cs="Calibri"/>
          <w:sz w:val="18"/>
          <w:szCs w:val="18"/>
        </w:rPr>
        <w:t xml:space="preserve">Le risposte alle richieste di chiarimenti presentate in tempo utile sono fornite in formato elettronico almeno 6 giorni </w:t>
      </w:r>
      <w:r>
        <w:rPr>
          <w:rFonts w:ascii="Titillium" w:hAnsi="Titillium" w:cs="Calibri"/>
          <w:bCs/>
          <w:i/>
          <w:sz w:val="18"/>
          <w:szCs w:val="18"/>
        </w:rPr>
        <w:t>[</w:t>
      </w:r>
      <w:r>
        <w:rPr>
          <w:rFonts w:ascii="Titillium" w:hAnsi="Titillium" w:cs="Calibri"/>
          <w:b/>
          <w:bCs/>
          <w:i/>
          <w:sz w:val="18"/>
          <w:szCs w:val="18"/>
        </w:rPr>
        <w:t>in alternativa</w:t>
      </w:r>
      <w:r>
        <w:rPr>
          <w:rFonts w:ascii="Titillium" w:hAnsi="Titillium" w:cs="Calibri"/>
          <w:b/>
          <w:i/>
          <w:sz w:val="18"/>
          <w:szCs w:val="18"/>
        </w:rPr>
        <w:t xml:space="preserve"> </w:t>
      </w:r>
      <w:r>
        <w:rPr>
          <w:rFonts w:ascii="Titillium" w:hAnsi="Titillium" w:cs="Calibri"/>
          <w:i/>
          <w:sz w:val="18"/>
          <w:szCs w:val="18"/>
        </w:rPr>
        <w:t>4 giorni, per le procedure il cui termine è ridotto]</w:t>
      </w:r>
      <w:r>
        <w:rPr>
          <w:rFonts w:ascii="Titillium" w:hAnsi="Titillium" w:cs="Calibri"/>
          <w:sz w:val="18"/>
          <w:szCs w:val="18"/>
        </w:rPr>
        <w:t xml:space="preserve"> prima della scadenza del termine fissato per la presentazione delle offerte, mediante pubblicazione delle richieste in forma anonima e delle relative risposte sulla P</w:t>
      </w:r>
      <w:r w:rsidR="00B17286">
        <w:rPr>
          <w:rFonts w:ascii="Titillium" w:hAnsi="Titillium" w:cs="Calibri"/>
          <w:sz w:val="18"/>
          <w:szCs w:val="18"/>
        </w:rPr>
        <w:t>AD</w:t>
      </w:r>
      <w:r>
        <w:rPr>
          <w:rFonts w:ascii="Titillium" w:hAnsi="Titillium" w:cs="Calibri"/>
          <w:sz w:val="18"/>
          <w:szCs w:val="18"/>
        </w:rPr>
        <w:t xml:space="preserve"> … </w:t>
      </w:r>
      <w:r>
        <w:rPr>
          <w:rFonts w:ascii="Titillium" w:hAnsi="Titillium" w:cs="Calibri"/>
          <w:i/>
          <w:sz w:val="18"/>
          <w:szCs w:val="18"/>
        </w:rPr>
        <w:t>[indicare l’apposita sezione]</w:t>
      </w:r>
      <w:r>
        <w:rPr>
          <w:rFonts w:ascii="Titillium" w:hAnsi="Titillium" w:cs="Calibri"/>
          <w:sz w:val="18"/>
          <w:szCs w:val="18"/>
        </w:rPr>
        <w:t xml:space="preserve"> e sul sito istituzionale ... </w:t>
      </w:r>
      <w:r>
        <w:rPr>
          <w:rFonts w:ascii="Titillium" w:hAnsi="Titillium" w:cs="Calibri"/>
          <w:i/>
          <w:sz w:val="18"/>
          <w:szCs w:val="18"/>
        </w:rPr>
        <w:t>[indicare il link dal quale è possibile consultare i chiarimenti]</w:t>
      </w:r>
      <w:r>
        <w:rPr>
          <w:rFonts w:ascii="Titillium" w:hAnsi="Titillium" w:cs="Calibri"/>
          <w:sz w:val="18"/>
          <w:szCs w:val="18"/>
        </w:rPr>
        <w:t>.</w:t>
      </w:r>
      <w:r>
        <w:rPr>
          <w:rFonts w:ascii="Titillium" w:hAnsi="Titillium" w:cs="Calibri"/>
          <w:b/>
          <w:sz w:val="18"/>
          <w:szCs w:val="18"/>
        </w:rPr>
        <w:t xml:space="preserve"> </w:t>
      </w:r>
      <w:r>
        <w:rPr>
          <w:rFonts w:ascii="Titillium" w:hAnsi="Titillium" w:cs="Calibri"/>
          <w:sz w:val="18"/>
          <w:szCs w:val="18"/>
        </w:rPr>
        <w:t>Si invitano i concorrenti a visionare costantemente tale sezione della P</w:t>
      </w:r>
      <w:r w:rsidR="00B17286">
        <w:rPr>
          <w:rFonts w:ascii="Titillium" w:hAnsi="Titillium" w:cs="Calibri"/>
          <w:sz w:val="18"/>
          <w:szCs w:val="18"/>
        </w:rPr>
        <w:t>AD o il sito istituzionale</w:t>
      </w:r>
      <w:r>
        <w:rPr>
          <w:rFonts w:ascii="Titillium" w:hAnsi="Titillium" w:cs="Calibri"/>
          <w:sz w:val="18"/>
          <w:szCs w:val="18"/>
        </w:rPr>
        <w:t>.</w:t>
      </w:r>
    </w:p>
    <w:p w14:paraId="664D9D1B" w14:textId="319ED07E" w:rsidR="00115A04" w:rsidRPr="00115A04" w:rsidRDefault="00115A04" w:rsidP="00115A04">
      <w:pPr>
        <w:spacing w:before="60" w:after="60"/>
        <w:rPr>
          <w:rFonts w:ascii="Titillium" w:hAnsi="Titillium" w:cs="Calibri"/>
          <w:bCs/>
          <w:iCs/>
          <w:sz w:val="18"/>
          <w:szCs w:val="18"/>
        </w:rPr>
      </w:pPr>
      <w:r w:rsidRPr="00115A04">
        <w:rPr>
          <w:rFonts w:ascii="Titillium" w:hAnsi="Titillium" w:cs="Calibri"/>
          <w:b/>
          <w:i/>
          <w:sz w:val="18"/>
          <w:szCs w:val="18"/>
        </w:rPr>
        <w:t xml:space="preserve">[Se la PAD lo consente] </w:t>
      </w:r>
      <w:r w:rsidRPr="00115A04">
        <w:rPr>
          <w:rFonts w:ascii="Titillium" w:hAnsi="Titillium" w:cs="Calibri"/>
          <w:bCs/>
          <w:iCs/>
          <w:sz w:val="18"/>
          <w:szCs w:val="18"/>
        </w:rPr>
        <w:t xml:space="preserve">La PAD invia automaticamente agli operatori economici una segnalazione di avviso. </w:t>
      </w:r>
    </w:p>
    <w:p w14:paraId="616CA608" w14:textId="4A91007B" w:rsidR="00115A04" w:rsidRPr="00115A04" w:rsidRDefault="00115A04" w:rsidP="00115A04">
      <w:pPr>
        <w:spacing w:before="60" w:after="60"/>
        <w:rPr>
          <w:rFonts w:ascii="Titillium" w:hAnsi="Titillium" w:cs="Calibri"/>
          <w:bCs/>
          <w:iCs/>
          <w:sz w:val="18"/>
          <w:szCs w:val="18"/>
        </w:rPr>
      </w:pPr>
      <w:r w:rsidRPr="00115A04">
        <w:rPr>
          <w:rFonts w:ascii="Titillium" w:hAnsi="Titillium" w:cs="Calibri"/>
          <w:bCs/>
          <w:iCs/>
          <w:sz w:val="18"/>
          <w:szCs w:val="18"/>
        </w:rPr>
        <w:t>Non viene fornita risposta alle richieste presentate con modalità diverse da quelle sopra indicate.</w:t>
      </w:r>
    </w:p>
    <w:p w14:paraId="29BF2436" w14:textId="733E59BC" w:rsidR="006842EE" w:rsidRPr="00C74CC5" w:rsidRDefault="00115A04" w:rsidP="001379E6">
      <w:pPr>
        <w:pStyle w:val="Titolo3"/>
        <w:rPr>
          <w:rFonts w:ascii="Titillium" w:hAnsi="Titillium"/>
          <w:caps w:val="0"/>
          <w:sz w:val="18"/>
          <w:szCs w:val="18"/>
          <w:highlight w:val="green"/>
          <w:lang w:val="it-IT"/>
        </w:rPr>
      </w:pPr>
      <w:bookmarkStart w:id="170" w:name="_Ref132304898"/>
      <w:bookmarkStart w:id="171" w:name="_Toc227921618"/>
      <w:r>
        <w:rPr>
          <w:rFonts w:ascii="Titillium" w:hAnsi="Titillium"/>
          <w:caps w:val="0"/>
          <w:sz w:val="18"/>
          <w:szCs w:val="18"/>
          <w:lang w:val="it-IT"/>
        </w:rPr>
        <w:t>2.3</w:t>
      </w:r>
      <w:r w:rsidR="00A97EB7">
        <w:rPr>
          <w:rFonts w:ascii="Titillium" w:hAnsi="Titillium"/>
          <w:caps w:val="0"/>
          <w:sz w:val="18"/>
          <w:szCs w:val="18"/>
          <w:lang w:val="it-IT"/>
        </w:rPr>
        <w:t>.</w:t>
      </w:r>
      <w:r>
        <w:rPr>
          <w:rFonts w:ascii="Titillium" w:hAnsi="Titillium"/>
          <w:caps w:val="0"/>
          <w:sz w:val="18"/>
          <w:szCs w:val="18"/>
          <w:lang w:val="it-IT"/>
        </w:rPr>
        <w:t xml:space="preserve"> </w:t>
      </w:r>
      <w:r w:rsidR="008F2625">
        <w:rPr>
          <w:rFonts w:ascii="Titillium" w:hAnsi="Titillium"/>
          <w:caps w:val="0"/>
          <w:sz w:val="18"/>
          <w:szCs w:val="18"/>
          <w:lang w:val="it-IT"/>
        </w:rPr>
        <w:t>COMUNICAZIONI</w:t>
      </w:r>
      <w:bookmarkEnd w:id="170"/>
      <w:bookmarkEnd w:id="171"/>
      <w:r w:rsidR="00C74CC5" w:rsidRPr="00C74CC5">
        <w:rPr>
          <w:rFonts w:ascii="Titillium" w:hAnsi="Titillium"/>
          <w:caps w:val="0"/>
          <w:sz w:val="18"/>
          <w:szCs w:val="18"/>
          <w:highlight w:val="green"/>
          <w:lang w:val="it-IT"/>
        </w:rPr>
        <w:t xml:space="preserve">  </w:t>
      </w:r>
    </w:p>
    <w:p w14:paraId="24DCEED4" w14:textId="5F5E93E8" w:rsidR="006842EE" w:rsidRDefault="008F2625">
      <w:pPr>
        <w:rPr>
          <w:rFonts w:ascii="Titillium" w:hAnsi="Titillium"/>
          <w:sz w:val="18"/>
          <w:szCs w:val="18"/>
        </w:rPr>
      </w:pPr>
      <w:r>
        <w:rPr>
          <w:rFonts w:ascii="Titillium" w:hAnsi="Titillium"/>
          <w:sz w:val="18"/>
          <w:szCs w:val="18"/>
        </w:rPr>
        <w:t xml:space="preserve">Tutte le comunicazioni e gli scambi di informazioni tra stazione appaltante e operatori economici sono eseguiti in conformità con quanto disposto dal decreto legislativo n. 82/05, tramite le </w:t>
      </w:r>
      <w:r w:rsidR="00EC43E9" w:rsidRPr="00115A04">
        <w:rPr>
          <w:rFonts w:ascii="Titillium" w:hAnsi="Titillium"/>
          <w:color w:val="000000" w:themeColor="text1"/>
          <w:sz w:val="18"/>
          <w:szCs w:val="18"/>
        </w:rPr>
        <w:t>PAD</w:t>
      </w:r>
      <w:r w:rsidR="00EC43E9" w:rsidRPr="00EC43E9">
        <w:rPr>
          <w:rFonts w:ascii="Titillium" w:hAnsi="Titillium"/>
          <w:color w:val="5B9BD5" w:themeColor="accent1"/>
          <w:sz w:val="18"/>
          <w:szCs w:val="18"/>
        </w:rPr>
        <w:t xml:space="preserve"> </w:t>
      </w:r>
      <w:r>
        <w:rPr>
          <w:rFonts w:ascii="Titillium" w:hAnsi="Titillium"/>
          <w:sz w:val="18"/>
          <w:szCs w:val="18"/>
        </w:rPr>
        <w:t xml:space="preserve">e, per quanto non previsto dalle stesse, mediante utilizzo del domicilio digitale estratto da uno degli indici di cui agli articoli 6-bis, 6-ter, 6-quater, del decreto legislativo n. 82/05 o, per gli operatori economici transfrontalieri, attraverso un indirizzo di servizio elettronico di recapito certificato qualificato ai sensi del Regolamento eIDAS. </w:t>
      </w:r>
    </w:p>
    <w:p w14:paraId="4AC3123B" w14:textId="77777777" w:rsidR="006842EE" w:rsidRDefault="008F2625">
      <w:r>
        <w:rPr>
          <w:rFonts w:ascii="Titillium" w:hAnsi="Titillium"/>
          <w:sz w:val="18"/>
          <w:szCs w:val="18"/>
        </w:rPr>
        <w:t>In caso di malfunzionamento della piattaforma, la stazione appaltante provvederà all’invio di qualsiasi comunicazione al domicilio digitale presente negli indici di cui ai richiamati articoli 6-bis,6-ter, 6-quater del decreto legislativo n. 82/05.</w:t>
      </w:r>
    </w:p>
    <w:p w14:paraId="389F4BC2" w14:textId="77777777" w:rsidR="006842EE" w:rsidRDefault="008F2625">
      <w:pPr>
        <w:spacing w:before="60" w:after="60"/>
      </w:pPr>
      <w:r>
        <w:rPr>
          <w:rFonts w:ascii="Titillium" w:hAnsi="Titillium"/>
          <w:sz w:val="18"/>
          <w:szCs w:val="18"/>
        </w:rPr>
        <w:t xml:space="preserve">In caso di raggruppamenti temporanei, GEIE, aggregazioni di rete o consorzi </w:t>
      </w:r>
      <w:r w:rsidRPr="00F034CD">
        <w:rPr>
          <w:rFonts w:ascii="Titillium" w:hAnsi="Titillium"/>
          <w:sz w:val="18"/>
          <w:szCs w:val="18"/>
        </w:rPr>
        <w:t>ordinari,</w:t>
      </w:r>
      <w:r>
        <w:rPr>
          <w:rFonts w:ascii="Titillium" w:hAnsi="Titillium"/>
          <w:sz w:val="18"/>
          <w:szCs w:val="18"/>
        </w:rPr>
        <w:t xml:space="preserve"> anche se non ancora costituiti formalmente, gli operatori economici raggruppati, aggregati o consorziati eleggono domicilio digitale presso il mandatario/capofila al fine della ricezione delle comunicazioni relative alla presente procedura. </w:t>
      </w:r>
    </w:p>
    <w:p w14:paraId="522A21A6" w14:textId="1EDA51E5" w:rsidR="006842EE" w:rsidRPr="00671023" w:rsidRDefault="008F2625">
      <w:pPr>
        <w:spacing w:before="60" w:after="60"/>
      </w:pPr>
      <w:r>
        <w:rPr>
          <w:rFonts w:ascii="Titillium" w:hAnsi="Titillium"/>
          <w:sz w:val="18"/>
          <w:szCs w:val="18"/>
        </w:rPr>
        <w:t xml:space="preserve">In caso di consorzi </w:t>
      </w:r>
      <w:r w:rsidR="00D57CE6" w:rsidRPr="00671023">
        <w:rPr>
          <w:rFonts w:ascii="Titillium" w:hAnsi="Titillium"/>
          <w:sz w:val="18"/>
          <w:szCs w:val="18"/>
        </w:rPr>
        <w:t>stabili di</w:t>
      </w:r>
      <w:r w:rsidR="00053DE3" w:rsidRPr="00671023">
        <w:rPr>
          <w:rFonts w:ascii="Titillium" w:hAnsi="Titillium"/>
          <w:sz w:val="18"/>
          <w:szCs w:val="18"/>
        </w:rPr>
        <w:t xml:space="preserve"> società di professionisti e di società di ingegneria, anche in forma mista, e di consorzi stabili</w:t>
      </w:r>
      <w:r w:rsidR="00053DE3">
        <w:rPr>
          <w:rFonts w:ascii="Titillium" w:hAnsi="Titillium"/>
          <w:sz w:val="18"/>
          <w:szCs w:val="18"/>
        </w:rPr>
        <w:t xml:space="preserve"> professionali,</w:t>
      </w:r>
      <w:r w:rsidR="00671023">
        <w:rPr>
          <w:rFonts w:ascii="Titillium" w:hAnsi="Titillium"/>
          <w:sz w:val="18"/>
          <w:szCs w:val="18"/>
        </w:rPr>
        <w:t xml:space="preserve"> </w:t>
      </w:r>
      <w:r>
        <w:rPr>
          <w:rFonts w:ascii="Titillium" w:hAnsi="Titillium"/>
          <w:sz w:val="18"/>
          <w:szCs w:val="18"/>
        </w:rPr>
        <w:t xml:space="preserve">la comunicazione recapitata nei modi sopra indicati al consorzio si intende validamente </w:t>
      </w:r>
      <w:r w:rsidRPr="00671023">
        <w:rPr>
          <w:rFonts w:ascii="Titillium" w:hAnsi="Titillium"/>
          <w:sz w:val="18"/>
          <w:szCs w:val="18"/>
        </w:rPr>
        <w:t>resa a tutt</w:t>
      </w:r>
      <w:r w:rsidR="00AC05A0" w:rsidRPr="00671023">
        <w:rPr>
          <w:rFonts w:ascii="Titillium" w:hAnsi="Titillium"/>
          <w:sz w:val="18"/>
          <w:szCs w:val="18"/>
        </w:rPr>
        <w:t xml:space="preserve">i i consorziati.  </w:t>
      </w:r>
    </w:p>
    <w:p w14:paraId="3559C4C8" w14:textId="77777777" w:rsidR="006842EE" w:rsidRDefault="008F2625">
      <w:pPr>
        <w:spacing w:before="60" w:after="60"/>
        <w:rPr>
          <w:rFonts w:ascii="Titillium" w:hAnsi="Titillium"/>
          <w:sz w:val="18"/>
          <w:szCs w:val="18"/>
        </w:rPr>
      </w:pPr>
      <w:r>
        <w:rPr>
          <w:rFonts w:ascii="Titillium" w:hAnsi="Titillium"/>
          <w:sz w:val="18"/>
          <w:szCs w:val="18"/>
        </w:rPr>
        <w:t>In caso di avvalimento, la comunicazione recapitata all’offerente nei modi sopra indicati si intende validamente resa a tutti gli operatori economici ausiliari.</w:t>
      </w:r>
    </w:p>
    <w:tbl>
      <w:tblPr>
        <w:tblW w:w="9210" w:type="dxa"/>
        <w:tblLayout w:type="fixed"/>
        <w:tblLook w:val="04A0" w:firstRow="1" w:lastRow="0" w:firstColumn="1" w:lastColumn="0" w:noHBand="0" w:noVBand="1"/>
      </w:tblPr>
      <w:tblGrid>
        <w:gridCol w:w="9210"/>
      </w:tblGrid>
      <w:tr w:rsidR="006842EE" w14:paraId="6CBBD40F" w14:textId="77777777">
        <w:tc>
          <w:tcPr>
            <w:tcW w:w="9210" w:type="dxa"/>
            <w:tcBorders>
              <w:top w:val="single" w:sz="8" w:space="0" w:color="000000"/>
              <w:left w:val="single" w:sz="8" w:space="0" w:color="000000"/>
              <w:bottom w:val="single" w:sz="8" w:space="0" w:color="000000"/>
              <w:right w:val="single" w:sz="8" w:space="0" w:color="000000"/>
            </w:tcBorders>
          </w:tcPr>
          <w:p w14:paraId="7FC2BC39" w14:textId="77777777" w:rsidR="006842EE" w:rsidRDefault="008F2625">
            <w:pPr>
              <w:widowControl w:val="0"/>
              <w:spacing w:before="60" w:after="60"/>
            </w:pPr>
            <w:r w:rsidRPr="005B1E52">
              <w:rPr>
                <w:rFonts w:ascii="Titillium" w:hAnsi="Titillium"/>
                <w:i/>
                <w:sz w:val="18"/>
                <w:szCs w:val="18"/>
              </w:rPr>
              <w:t>N.B</w:t>
            </w:r>
            <w:r>
              <w:rPr>
                <w:rFonts w:ascii="Titillium" w:hAnsi="Titillium"/>
                <w:iCs/>
                <w:sz w:val="18"/>
                <w:szCs w:val="18"/>
              </w:rPr>
              <w:t xml:space="preserve">. </w:t>
            </w:r>
            <w:r w:rsidRPr="00076D5C">
              <w:rPr>
                <w:rFonts w:ascii="Titillium" w:hAnsi="Titillium"/>
                <w:i/>
                <w:sz w:val="18"/>
                <w:szCs w:val="18"/>
              </w:rPr>
              <w:t xml:space="preserve">Nel caso in cui il sistema consenta l’invio automatico di comunicazioni ad un numero indifferenziato di soggetti, si può prevedere l’invio delle comunicazioni a tutti gli operatori economici che partecipano a raggruppamenti temporanei, GEIE, aggregazioni di rete o consorzi </w:t>
            </w:r>
            <w:r w:rsidRPr="00F034CD">
              <w:rPr>
                <w:rFonts w:ascii="Titillium" w:hAnsi="Titillium"/>
                <w:i/>
                <w:sz w:val="18"/>
                <w:szCs w:val="18"/>
              </w:rPr>
              <w:t>ordinari,</w:t>
            </w:r>
            <w:r w:rsidRPr="00076D5C">
              <w:rPr>
                <w:rFonts w:ascii="Titillium" w:hAnsi="Titillium"/>
                <w:i/>
                <w:sz w:val="18"/>
                <w:szCs w:val="18"/>
              </w:rPr>
              <w:t xml:space="preserve"> anche se non ancora costituiti formalmente, indipendentemente dalla qualifica posseduta.</w:t>
            </w:r>
          </w:p>
        </w:tc>
      </w:tr>
    </w:tbl>
    <w:p w14:paraId="7CC33F4D" w14:textId="0692C23B" w:rsidR="006842EE" w:rsidRDefault="008F2625">
      <w:pPr>
        <w:pStyle w:val="Titolo2"/>
        <w:numPr>
          <w:ilvl w:val="0"/>
          <w:numId w:val="3"/>
        </w:numPr>
        <w:ind w:left="357" w:hanging="357"/>
      </w:pPr>
      <w:bookmarkStart w:id="172" w:name="_Toc416423353"/>
      <w:bookmarkStart w:id="173" w:name="_Toc406754168"/>
      <w:bookmarkStart w:id="174" w:name="_Toc406058367"/>
      <w:bookmarkStart w:id="175" w:name="_Toc403471261"/>
      <w:bookmarkStart w:id="176" w:name="_Toc397422854"/>
      <w:bookmarkStart w:id="177" w:name="_Toc397346813"/>
      <w:bookmarkStart w:id="178" w:name="_Toc393706898"/>
      <w:bookmarkStart w:id="179" w:name="_Toc393700825"/>
      <w:bookmarkStart w:id="180" w:name="_Toc393283166"/>
      <w:bookmarkStart w:id="181" w:name="_Toc393272650"/>
      <w:bookmarkStart w:id="182" w:name="_Toc393272592"/>
      <w:bookmarkStart w:id="183" w:name="_Toc393187836"/>
      <w:bookmarkStart w:id="184" w:name="_Toc393112119"/>
      <w:bookmarkStart w:id="185" w:name="_Toc393110555"/>
      <w:bookmarkStart w:id="186" w:name="_Toc392577488"/>
      <w:bookmarkStart w:id="187" w:name="_Ref498597801"/>
      <w:bookmarkStart w:id="188" w:name="_Ref131768152"/>
      <w:bookmarkStart w:id="189" w:name="_Ref132303600"/>
      <w:bookmarkStart w:id="190" w:name="_Ref132304546"/>
      <w:bookmarkStart w:id="191" w:name="_Ref132304635"/>
      <w:bookmarkStart w:id="192" w:name="_Toc227921619"/>
      <w:r>
        <w:rPr>
          <w:rFonts w:ascii="Titillium" w:hAnsi="Titillium"/>
          <w:caps w:val="0"/>
          <w:sz w:val="18"/>
          <w:szCs w:val="18"/>
        </w:rPr>
        <w:t>OGGETTO DELL’APPALTO</w:t>
      </w:r>
      <w:r>
        <w:rPr>
          <w:rFonts w:ascii="Titillium" w:hAnsi="Titillium"/>
          <w:caps w:val="0"/>
          <w:sz w:val="18"/>
          <w:szCs w:val="18"/>
          <w:lang w:val="it-IT"/>
        </w:rPr>
        <w:t>, IMPORTO</w:t>
      </w:r>
      <w:r>
        <w:rPr>
          <w:rFonts w:ascii="Titillium" w:hAnsi="Titillium"/>
          <w:caps w:val="0"/>
          <w:sz w:val="18"/>
          <w:szCs w:val="18"/>
        </w:rPr>
        <w:t xml:space="preserve"> E SUDDIVISIONE IN LOTTI</w:t>
      </w:r>
      <w:bookmarkEnd w:id="131"/>
      <w:bookmarkEnd w:id="132"/>
      <w:bookmarkEnd w:id="133"/>
      <w:bookmarkEnd w:id="134"/>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696076EA" w14:textId="77777777" w:rsidR="006842EE" w:rsidRDefault="008F2625">
      <w:pPr>
        <w:spacing w:before="60" w:after="60"/>
        <w:rPr>
          <w:vertAlign w:val="superscript"/>
        </w:rPr>
      </w:pPr>
      <w:r>
        <w:rPr>
          <w:rFonts w:ascii="Titillium" w:hAnsi="Titillium"/>
          <w:sz w:val="18"/>
          <w:szCs w:val="18"/>
        </w:rPr>
        <w:t xml:space="preserve">L’appalto è costituito da un unico lotto poiché …  </w:t>
      </w:r>
      <w:r>
        <w:rPr>
          <w:rFonts w:ascii="Titillium" w:hAnsi="Titillium"/>
          <w:i/>
          <w:sz w:val="18"/>
          <w:szCs w:val="18"/>
        </w:rPr>
        <w:t>[motivare la mancata suddivisione in lotti tenendo conto dei princìpi europei sulla promozione di condizioni di concorrenza paritarie per le piccole e medie imprese].</w:t>
      </w:r>
    </w:p>
    <w:p w14:paraId="34BED848" w14:textId="77777777" w:rsidR="006842EE" w:rsidRDefault="006842EE">
      <w:pPr>
        <w:spacing w:before="60" w:after="60"/>
        <w:rPr>
          <w:rFonts w:ascii="Titillium" w:hAnsi="Titillium"/>
          <w:sz w:val="18"/>
          <w:szCs w:val="18"/>
        </w:rPr>
      </w:pPr>
    </w:p>
    <w:p w14:paraId="3BCA8573" w14:textId="4ABFCFCD" w:rsidR="00226093" w:rsidRPr="00076D5C" w:rsidRDefault="00226093" w:rsidP="00226093">
      <w:pPr>
        <w:spacing w:before="60" w:after="60"/>
        <w:rPr>
          <w:rFonts w:ascii="Titillium" w:hAnsi="Titillium"/>
          <w:color w:val="000000" w:themeColor="text1"/>
          <w:sz w:val="18"/>
          <w:szCs w:val="18"/>
        </w:rPr>
      </w:pPr>
      <w:r w:rsidRPr="00076D5C">
        <w:rPr>
          <w:rFonts w:ascii="Titillium" w:hAnsi="Titillium"/>
          <w:color w:val="000000" w:themeColor="text1"/>
          <w:sz w:val="18"/>
          <w:szCs w:val="18"/>
        </w:rPr>
        <w:t xml:space="preserve">L’appalto ha per oggetto le prestazioni indicate nella sottostante Tabella 1  </w:t>
      </w:r>
    </w:p>
    <w:p w14:paraId="187C23DE" w14:textId="77777777" w:rsidR="006842EE" w:rsidRDefault="008F2625">
      <w:pPr>
        <w:spacing w:before="60" w:after="60"/>
        <w:rPr>
          <w:rFonts w:ascii="Titillium" w:hAnsi="Titillium"/>
          <w:b/>
          <w:sz w:val="18"/>
          <w:szCs w:val="18"/>
        </w:rPr>
      </w:pPr>
      <w:r>
        <w:rPr>
          <w:rFonts w:ascii="Titillium" w:hAnsi="Titillium"/>
          <w:b/>
          <w:sz w:val="18"/>
          <w:szCs w:val="18"/>
        </w:rPr>
        <w:t>Tabella 1</w:t>
      </w:r>
    </w:p>
    <w:p w14:paraId="6D78A9BA" w14:textId="77777777" w:rsidR="006842EE" w:rsidRDefault="006842EE">
      <w:pPr>
        <w:rPr>
          <w:rFonts w:asciiTheme="minorHAnsi" w:hAnsiTheme="minorHAnsi" w:cstheme="minorHAnsi"/>
          <w:b/>
          <w:i/>
          <w:szCs w:val="24"/>
        </w:rPr>
      </w:pPr>
    </w:p>
    <w:tbl>
      <w:tblPr>
        <w:tblW w:w="9135" w:type="dxa"/>
        <w:jc w:val="center"/>
        <w:tblLayout w:type="fixed"/>
        <w:tblLook w:val="0000" w:firstRow="0" w:lastRow="0" w:firstColumn="0" w:lastColumn="0" w:noHBand="0" w:noVBand="0"/>
      </w:tblPr>
      <w:tblGrid>
        <w:gridCol w:w="4349"/>
        <w:gridCol w:w="2621"/>
        <w:gridCol w:w="2165"/>
      </w:tblGrid>
      <w:tr w:rsidR="006842EE" w14:paraId="01A1690A" w14:textId="77777777">
        <w:trPr>
          <w:trHeight w:val="305"/>
          <w:jc w:val="center"/>
        </w:trPr>
        <w:tc>
          <w:tcPr>
            <w:tcW w:w="4349" w:type="dxa"/>
            <w:tcBorders>
              <w:top w:val="single" w:sz="6" w:space="0" w:color="000000"/>
              <w:left w:val="single" w:sz="6" w:space="0" w:color="000000"/>
              <w:bottom w:val="single" w:sz="4" w:space="0" w:color="000000"/>
              <w:right w:val="single" w:sz="6" w:space="0" w:color="000000"/>
            </w:tcBorders>
            <w:shd w:val="clear" w:color="auto" w:fill="D9D9D9"/>
          </w:tcPr>
          <w:p w14:paraId="4914399C" w14:textId="77777777" w:rsidR="006842EE" w:rsidRDefault="008F2625">
            <w:pPr>
              <w:widowControl w:val="0"/>
              <w:spacing w:before="60" w:after="60"/>
              <w:jc w:val="center"/>
              <w:rPr>
                <w:rFonts w:ascii="Titillium" w:hAnsi="Titillium"/>
                <w:sz w:val="18"/>
                <w:szCs w:val="18"/>
              </w:rPr>
            </w:pPr>
            <w:r>
              <w:rPr>
                <w:rFonts w:ascii="Titillium" w:hAnsi="Titillium"/>
                <w:sz w:val="18"/>
                <w:szCs w:val="18"/>
              </w:rPr>
              <w:t>Descrizione delle prestazioni</w:t>
            </w:r>
          </w:p>
        </w:tc>
        <w:tc>
          <w:tcPr>
            <w:tcW w:w="2621" w:type="dxa"/>
            <w:tcBorders>
              <w:top w:val="single" w:sz="6" w:space="0" w:color="000000"/>
              <w:left w:val="single" w:sz="6" w:space="0" w:color="000000"/>
              <w:bottom w:val="single" w:sz="6" w:space="0" w:color="000000"/>
              <w:right w:val="single" w:sz="6" w:space="0" w:color="000000"/>
            </w:tcBorders>
            <w:shd w:val="clear" w:color="auto" w:fill="D9D9D9"/>
          </w:tcPr>
          <w:p w14:paraId="27F2E506" w14:textId="77777777" w:rsidR="006842EE" w:rsidRDefault="008F2625">
            <w:pPr>
              <w:widowControl w:val="0"/>
              <w:spacing w:before="60" w:after="60"/>
              <w:jc w:val="center"/>
              <w:rPr>
                <w:rFonts w:ascii="Titillium" w:hAnsi="Titillium"/>
                <w:sz w:val="18"/>
                <w:szCs w:val="18"/>
              </w:rPr>
            </w:pPr>
            <w:r>
              <w:rPr>
                <w:rFonts w:ascii="Titillium" w:hAnsi="Titillium"/>
                <w:sz w:val="18"/>
                <w:szCs w:val="18"/>
              </w:rPr>
              <w:t>CPV</w:t>
            </w:r>
          </w:p>
        </w:tc>
        <w:tc>
          <w:tcPr>
            <w:tcW w:w="2165" w:type="dxa"/>
            <w:tcBorders>
              <w:top w:val="single" w:sz="6" w:space="0" w:color="000000"/>
              <w:left w:val="single" w:sz="6" w:space="0" w:color="000000"/>
              <w:bottom w:val="single" w:sz="4" w:space="0" w:color="000000"/>
              <w:right w:val="single" w:sz="6" w:space="0" w:color="000000"/>
            </w:tcBorders>
            <w:shd w:val="clear" w:color="auto" w:fill="D9D9D9"/>
          </w:tcPr>
          <w:p w14:paraId="2C48D85E" w14:textId="77777777" w:rsidR="006842EE" w:rsidRDefault="008F2625">
            <w:pPr>
              <w:widowControl w:val="0"/>
              <w:spacing w:before="60" w:after="60"/>
              <w:jc w:val="center"/>
              <w:rPr>
                <w:rFonts w:ascii="Titillium" w:hAnsi="Titillium"/>
                <w:sz w:val="18"/>
                <w:szCs w:val="18"/>
              </w:rPr>
            </w:pPr>
            <w:r>
              <w:rPr>
                <w:rFonts w:ascii="Titillium" w:hAnsi="Titillium"/>
                <w:sz w:val="18"/>
                <w:szCs w:val="18"/>
              </w:rPr>
              <w:t>Importo</w:t>
            </w:r>
          </w:p>
        </w:tc>
      </w:tr>
      <w:tr w:rsidR="006842EE" w14:paraId="67EBBD32" w14:textId="77777777">
        <w:trPr>
          <w:trHeight w:val="855"/>
          <w:jc w:val="center"/>
        </w:trPr>
        <w:tc>
          <w:tcPr>
            <w:tcW w:w="4349" w:type="dxa"/>
            <w:tcBorders>
              <w:top w:val="single" w:sz="4" w:space="0" w:color="000000"/>
              <w:left w:val="single" w:sz="4" w:space="0" w:color="000000"/>
              <w:bottom w:val="single" w:sz="4" w:space="0" w:color="000000"/>
              <w:right w:val="single" w:sz="4" w:space="0" w:color="000000"/>
            </w:tcBorders>
          </w:tcPr>
          <w:p w14:paraId="55F1C5FD" w14:textId="54382562" w:rsidR="006842EE" w:rsidRDefault="008F2625">
            <w:pPr>
              <w:widowControl w:val="0"/>
              <w:spacing w:before="60" w:after="60"/>
              <w:jc w:val="center"/>
              <w:rPr>
                <w:rFonts w:ascii="Titillium" w:hAnsi="Titillium"/>
                <w:sz w:val="18"/>
                <w:szCs w:val="18"/>
              </w:rPr>
            </w:pPr>
            <w:r>
              <w:rPr>
                <w:rFonts w:ascii="Titillium" w:hAnsi="Titillium"/>
                <w:sz w:val="18"/>
                <w:szCs w:val="18"/>
              </w:rPr>
              <w:t>[</w:t>
            </w:r>
            <w:r>
              <w:rPr>
                <w:rFonts w:ascii="Titillium" w:hAnsi="Titillium"/>
                <w:i/>
                <w:sz w:val="18"/>
                <w:szCs w:val="18"/>
              </w:rPr>
              <w:t xml:space="preserve">ad es. </w:t>
            </w:r>
            <w:r w:rsidR="009C3D82" w:rsidRPr="009C3D82">
              <w:rPr>
                <w:rFonts w:ascii="Titillium" w:hAnsi="Titillium"/>
                <w:i/>
                <w:sz w:val="18"/>
                <w:szCs w:val="18"/>
              </w:rPr>
              <w:t>Progetto di fattibilità tecnica economica</w:t>
            </w:r>
            <w:r>
              <w:rPr>
                <w:rFonts w:ascii="Titillium" w:hAnsi="Titillium"/>
                <w:sz w:val="18"/>
                <w:szCs w:val="18"/>
              </w:rPr>
              <w:t>]</w:t>
            </w:r>
          </w:p>
        </w:tc>
        <w:tc>
          <w:tcPr>
            <w:tcW w:w="2621" w:type="dxa"/>
            <w:tcBorders>
              <w:top w:val="single" w:sz="6" w:space="0" w:color="000000"/>
              <w:left w:val="single" w:sz="4" w:space="0" w:color="000000"/>
              <w:bottom w:val="single" w:sz="4" w:space="0" w:color="000000"/>
              <w:right w:val="single" w:sz="4" w:space="0" w:color="000000"/>
            </w:tcBorders>
          </w:tcPr>
          <w:p w14:paraId="374559E2" w14:textId="77777777" w:rsidR="006842EE" w:rsidRDefault="008F2625">
            <w:pPr>
              <w:widowControl w:val="0"/>
              <w:spacing w:before="60" w:after="60"/>
              <w:jc w:val="center"/>
              <w:rPr>
                <w:rFonts w:ascii="Titillium" w:hAnsi="Titillium"/>
                <w:sz w:val="18"/>
                <w:szCs w:val="18"/>
              </w:rPr>
            </w:pPr>
            <w:r>
              <w:rPr>
                <w:rFonts w:ascii="Titillium" w:hAnsi="Titillium"/>
                <w:sz w:val="18"/>
                <w:szCs w:val="18"/>
              </w:rPr>
              <w:t>…</w:t>
            </w:r>
          </w:p>
        </w:tc>
        <w:tc>
          <w:tcPr>
            <w:tcW w:w="2165" w:type="dxa"/>
            <w:tcBorders>
              <w:top w:val="single" w:sz="4" w:space="0" w:color="000000"/>
              <w:left w:val="single" w:sz="4" w:space="0" w:color="000000"/>
              <w:bottom w:val="single" w:sz="4" w:space="0" w:color="000000"/>
              <w:right w:val="single" w:sz="4" w:space="0" w:color="000000"/>
            </w:tcBorders>
          </w:tcPr>
          <w:p w14:paraId="7A960286" w14:textId="77777777" w:rsidR="006842EE" w:rsidRDefault="006842EE">
            <w:pPr>
              <w:widowControl w:val="0"/>
              <w:spacing w:before="60" w:after="60"/>
              <w:jc w:val="center"/>
              <w:rPr>
                <w:rFonts w:ascii="Titillium" w:hAnsi="Titillium"/>
                <w:sz w:val="18"/>
                <w:szCs w:val="18"/>
              </w:rPr>
            </w:pPr>
          </w:p>
        </w:tc>
      </w:tr>
      <w:tr w:rsidR="006842EE" w14:paraId="068F9DAF" w14:textId="77777777">
        <w:trPr>
          <w:trHeight w:val="854"/>
          <w:jc w:val="center"/>
        </w:trPr>
        <w:tc>
          <w:tcPr>
            <w:tcW w:w="4349" w:type="dxa"/>
            <w:tcBorders>
              <w:top w:val="single" w:sz="4" w:space="0" w:color="000000"/>
              <w:left w:val="single" w:sz="4" w:space="0" w:color="000000"/>
              <w:bottom w:val="single" w:sz="4" w:space="0" w:color="000000"/>
              <w:right w:val="single" w:sz="4" w:space="0" w:color="000000"/>
            </w:tcBorders>
          </w:tcPr>
          <w:p w14:paraId="216E17FF" w14:textId="4699C9D3" w:rsidR="006842EE" w:rsidRDefault="008F2625">
            <w:pPr>
              <w:widowControl w:val="0"/>
              <w:spacing w:before="60" w:after="60"/>
              <w:jc w:val="center"/>
              <w:rPr>
                <w:rFonts w:ascii="Titillium" w:hAnsi="Titillium"/>
                <w:sz w:val="18"/>
                <w:szCs w:val="18"/>
              </w:rPr>
            </w:pPr>
            <w:bookmarkStart w:id="193" w:name="_Hlk198821795"/>
            <w:r>
              <w:rPr>
                <w:rFonts w:ascii="Titillium" w:hAnsi="Titillium"/>
                <w:sz w:val="18"/>
                <w:szCs w:val="18"/>
              </w:rPr>
              <w:t>[</w:t>
            </w:r>
            <w:bookmarkEnd w:id="193"/>
            <w:r>
              <w:rPr>
                <w:rFonts w:ascii="Titillium" w:hAnsi="Titillium"/>
                <w:i/>
                <w:sz w:val="18"/>
                <w:szCs w:val="18"/>
              </w:rPr>
              <w:t xml:space="preserve">ad es. </w:t>
            </w:r>
            <w:r w:rsidR="00E03FCF">
              <w:rPr>
                <w:rFonts w:ascii="Titillium" w:hAnsi="Titillium"/>
                <w:i/>
                <w:sz w:val="18"/>
                <w:szCs w:val="18"/>
              </w:rPr>
              <w:t>P</w:t>
            </w:r>
            <w:r w:rsidR="009C3D82" w:rsidRPr="009C3D82">
              <w:rPr>
                <w:rFonts w:ascii="Titillium" w:hAnsi="Titillium"/>
                <w:i/>
                <w:sz w:val="18"/>
                <w:szCs w:val="18"/>
              </w:rPr>
              <w:t>rogettazione esecutiva</w:t>
            </w:r>
            <w:r>
              <w:rPr>
                <w:rFonts w:ascii="Titillium" w:hAnsi="Titillium"/>
                <w:sz w:val="18"/>
                <w:szCs w:val="18"/>
              </w:rPr>
              <w:t>]</w:t>
            </w:r>
          </w:p>
        </w:tc>
        <w:tc>
          <w:tcPr>
            <w:tcW w:w="2621" w:type="dxa"/>
            <w:tcBorders>
              <w:top w:val="single" w:sz="4" w:space="0" w:color="000000"/>
              <w:left w:val="single" w:sz="4" w:space="0" w:color="000000"/>
              <w:bottom w:val="single" w:sz="4" w:space="0" w:color="000000"/>
              <w:right w:val="single" w:sz="4" w:space="0" w:color="000000"/>
            </w:tcBorders>
          </w:tcPr>
          <w:p w14:paraId="179B500E" w14:textId="77777777" w:rsidR="006842EE" w:rsidRDefault="008F2625">
            <w:pPr>
              <w:widowControl w:val="0"/>
              <w:spacing w:before="60" w:after="60"/>
              <w:jc w:val="center"/>
              <w:rPr>
                <w:rFonts w:ascii="Titillium" w:hAnsi="Titillium"/>
                <w:sz w:val="18"/>
                <w:szCs w:val="18"/>
              </w:rPr>
            </w:pPr>
            <w:r>
              <w:rPr>
                <w:rFonts w:ascii="Titillium" w:hAnsi="Titillium"/>
                <w:sz w:val="18"/>
                <w:szCs w:val="18"/>
              </w:rPr>
              <w:t>…</w:t>
            </w:r>
          </w:p>
        </w:tc>
        <w:tc>
          <w:tcPr>
            <w:tcW w:w="2165" w:type="dxa"/>
            <w:tcBorders>
              <w:top w:val="single" w:sz="4" w:space="0" w:color="000000"/>
              <w:left w:val="single" w:sz="4" w:space="0" w:color="000000"/>
              <w:bottom w:val="single" w:sz="4" w:space="0" w:color="000000"/>
              <w:right w:val="single" w:sz="4" w:space="0" w:color="000000"/>
            </w:tcBorders>
          </w:tcPr>
          <w:p w14:paraId="3C5AE853" w14:textId="77777777" w:rsidR="006842EE" w:rsidRDefault="006842EE">
            <w:pPr>
              <w:widowControl w:val="0"/>
              <w:spacing w:before="60" w:after="60"/>
              <w:jc w:val="center"/>
              <w:rPr>
                <w:rFonts w:ascii="Titillium" w:hAnsi="Titillium"/>
                <w:sz w:val="18"/>
                <w:szCs w:val="18"/>
              </w:rPr>
            </w:pPr>
          </w:p>
        </w:tc>
      </w:tr>
      <w:tr w:rsidR="006842EE" w14:paraId="580AEEA1" w14:textId="77777777">
        <w:trPr>
          <w:trHeight w:val="456"/>
          <w:jc w:val="center"/>
        </w:trPr>
        <w:tc>
          <w:tcPr>
            <w:tcW w:w="4349" w:type="dxa"/>
            <w:tcBorders>
              <w:top w:val="single" w:sz="4" w:space="0" w:color="000000"/>
              <w:left w:val="single" w:sz="4" w:space="0" w:color="000000"/>
              <w:bottom w:val="single" w:sz="4" w:space="0" w:color="000000"/>
              <w:right w:val="single" w:sz="4" w:space="0" w:color="000000"/>
            </w:tcBorders>
          </w:tcPr>
          <w:p w14:paraId="4EA0FAC5" w14:textId="053505B0" w:rsidR="006842EE" w:rsidRDefault="009C3D82">
            <w:pPr>
              <w:widowControl w:val="0"/>
              <w:spacing w:before="60" w:after="60"/>
              <w:jc w:val="center"/>
              <w:rPr>
                <w:rFonts w:ascii="Titillium" w:hAnsi="Titillium"/>
                <w:sz w:val="18"/>
                <w:szCs w:val="18"/>
              </w:rPr>
            </w:pPr>
            <w:r w:rsidRPr="009C3D82">
              <w:rPr>
                <w:rFonts w:ascii="Titillium" w:hAnsi="Titillium"/>
                <w:sz w:val="18"/>
                <w:szCs w:val="18"/>
              </w:rPr>
              <w:t>[</w:t>
            </w:r>
            <w:r>
              <w:rPr>
                <w:rFonts w:ascii="Titillium" w:hAnsi="Titillium"/>
                <w:sz w:val="18"/>
                <w:szCs w:val="18"/>
              </w:rPr>
              <w:t xml:space="preserve">ad es. </w:t>
            </w:r>
            <w:r w:rsidR="00E03FCF">
              <w:rPr>
                <w:rFonts w:ascii="Titillium" w:hAnsi="Titillium"/>
                <w:i/>
                <w:iCs/>
                <w:sz w:val="18"/>
                <w:szCs w:val="18"/>
              </w:rPr>
              <w:t>C</w:t>
            </w:r>
            <w:r w:rsidRPr="00E03FCF">
              <w:rPr>
                <w:rFonts w:ascii="Titillium" w:hAnsi="Titillium"/>
                <w:i/>
                <w:iCs/>
                <w:sz w:val="18"/>
                <w:szCs w:val="18"/>
              </w:rPr>
              <w:t>oordinamento sicurezza in fase di progettazione</w:t>
            </w:r>
            <w:r w:rsidR="00C74BD2">
              <w:rPr>
                <w:rFonts w:ascii="Titillium" w:hAnsi="Titillium"/>
                <w:sz w:val="18"/>
                <w:szCs w:val="18"/>
              </w:rPr>
              <w:t>]</w:t>
            </w:r>
          </w:p>
        </w:tc>
        <w:tc>
          <w:tcPr>
            <w:tcW w:w="2621" w:type="dxa"/>
            <w:tcBorders>
              <w:top w:val="single" w:sz="4" w:space="0" w:color="000000"/>
              <w:left w:val="single" w:sz="4" w:space="0" w:color="000000"/>
              <w:bottom w:val="single" w:sz="4" w:space="0" w:color="000000"/>
              <w:right w:val="single" w:sz="4" w:space="0" w:color="000000"/>
            </w:tcBorders>
          </w:tcPr>
          <w:p w14:paraId="10C13A40" w14:textId="77777777" w:rsidR="006842EE" w:rsidRDefault="008F2625">
            <w:pPr>
              <w:widowControl w:val="0"/>
              <w:spacing w:before="60" w:after="60"/>
              <w:jc w:val="center"/>
              <w:rPr>
                <w:rFonts w:ascii="Titillium" w:hAnsi="Titillium"/>
                <w:sz w:val="18"/>
                <w:szCs w:val="18"/>
              </w:rPr>
            </w:pPr>
            <w:r>
              <w:rPr>
                <w:rFonts w:ascii="Titillium" w:hAnsi="Titillium"/>
                <w:sz w:val="18"/>
                <w:szCs w:val="18"/>
              </w:rPr>
              <w:t>…</w:t>
            </w:r>
          </w:p>
        </w:tc>
        <w:tc>
          <w:tcPr>
            <w:tcW w:w="2165" w:type="dxa"/>
            <w:tcBorders>
              <w:top w:val="single" w:sz="4" w:space="0" w:color="000000"/>
              <w:left w:val="single" w:sz="4" w:space="0" w:color="000000"/>
              <w:bottom w:val="single" w:sz="4" w:space="0" w:color="000000"/>
              <w:right w:val="single" w:sz="4" w:space="0" w:color="000000"/>
            </w:tcBorders>
          </w:tcPr>
          <w:p w14:paraId="5FE46531" w14:textId="77777777" w:rsidR="006842EE" w:rsidRDefault="008F2625">
            <w:pPr>
              <w:widowControl w:val="0"/>
              <w:spacing w:before="60" w:after="60"/>
              <w:jc w:val="center"/>
              <w:rPr>
                <w:rFonts w:ascii="Titillium" w:hAnsi="Titillium"/>
                <w:sz w:val="18"/>
                <w:szCs w:val="18"/>
              </w:rPr>
            </w:pPr>
            <w:r>
              <w:rPr>
                <w:rFonts w:ascii="Titillium" w:hAnsi="Titillium"/>
                <w:sz w:val="18"/>
                <w:szCs w:val="18"/>
              </w:rPr>
              <w:t>…</w:t>
            </w:r>
          </w:p>
        </w:tc>
      </w:tr>
      <w:tr w:rsidR="006842EE" w14:paraId="0D6DEDA2" w14:textId="77777777">
        <w:trPr>
          <w:trHeight w:val="456"/>
          <w:jc w:val="center"/>
        </w:trPr>
        <w:tc>
          <w:tcPr>
            <w:tcW w:w="4349" w:type="dxa"/>
            <w:tcBorders>
              <w:top w:val="single" w:sz="4" w:space="0" w:color="000000"/>
              <w:left w:val="single" w:sz="4" w:space="0" w:color="000000"/>
              <w:bottom w:val="single" w:sz="4" w:space="0" w:color="000000"/>
              <w:right w:val="single" w:sz="4" w:space="0" w:color="000000"/>
            </w:tcBorders>
          </w:tcPr>
          <w:p w14:paraId="36716A8F" w14:textId="77777777" w:rsidR="006842EE" w:rsidRDefault="008F2625">
            <w:pPr>
              <w:widowControl w:val="0"/>
              <w:spacing w:before="60" w:after="60"/>
              <w:jc w:val="center"/>
              <w:rPr>
                <w:rFonts w:ascii="Titillium" w:hAnsi="Titillium"/>
                <w:sz w:val="18"/>
                <w:szCs w:val="18"/>
              </w:rPr>
            </w:pPr>
            <w:r>
              <w:rPr>
                <w:rFonts w:ascii="Titillium" w:hAnsi="Titillium"/>
                <w:sz w:val="18"/>
                <w:szCs w:val="18"/>
              </w:rPr>
              <w:t>……..</w:t>
            </w:r>
          </w:p>
        </w:tc>
        <w:tc>
          <w:tcPr>
            <w:tcW w:w="2621" w:type="dxa"/>
            <w:tcBorders>
              <w:top w:val="single" w:sz="4" w:space="0" w:color="000000"/>
              <w:left w:val="single" w:sz="4" w:space="0" w:color="000000"/>
              <w:bottom w:val="single" w:sz="4" w:space="0" w:color="000000"/>
              <w:right w:val="single" w:sz="4" w:space="0" w:color="000000"/>
            </w:tcBorders>
          </w:tcPr>
          <w:p w14:paraId="3811C225" w14:textId="77777777" w:rsidR="006842EE" w:rsidRDefault="008F2625">
            <w:pPr>
              <w:widowControl w:val="0"/>
              <w:spacing w:before="60" w:after="60"/>
              <w:jc w:val="center"/>
              <w:rPr>
                <w:rFonts w:ascii="Titillium" w:hAnsi="Titillium"/>
                <w:sz w:val="18"/>
                <w:szCs w:val="18"/>
              </w:rPr>
            </w:pPr>
            <w:r>
              <w:rPr>
                <w:rFonts w:ascii="Titillium" w:hAnsi="Titillium"/>
                <w:sz w:val="18"/>
                <w:szCs w:val="18"/>
              </w:rPr>
              <w:t>…</w:t>
            </w:r>
          </w:p>
        </w:tc>
        <w:tc>
          <w:tcPr>
            <w:tcW w:w="2165" w:type="dxa"/>
            <w:tcBorders>
              <w:top w:val="single" w:sz="4" w:space="0" w:color="000000"/>
              <w:left w:val="single" w:sz="4" w:space="0" w:color="000000"/>
              <w:bottom w:val="single" w:sz="4" w:space="0" w:color="000000"/>
              <w:right w:val="single" w:sz="4" w:space="0" w:color="000000"/>
            </w:tcBorders>
          </w:tcPr>
          <w:p w14:paraId="1C51E940" w14:textId="77777777" w:rsidR="006842EE" w:rsidRDefault="008F2625">
            <w:pPr>
              <w:widowControl w:val="0"/>
              <w:spacing w:before="60" w:after="60"/>
              <w:jc w:val="center"/>
              <w:rPr>
                <w:rFonts w:ascii="Titillium" w:hAnsi="Titillium"/>
                <w:sz w:val="18"/>
                <w:szCs w:val="18"/>
              </w:rPr>
            </w:pPr>
            <w:r>
              <w:rPr>
                <w:rFonts w:ascii="Titillium" w:hAnsi="Titillium"/>
                <w:sz w:val="18"/>
                <w:szCs w:val="18"/>
              </w:rPr>
              <w:t>…</w:t>
            </w:r>
          </w:p>
        </w:tc>
      </w:tr>
      <w:tr w:rsidR="006842EE" w14:paraId="6E91748E" w14:textId="77777777">
        <w:trPr>
          <w:trHeight w:val="456"/>
          <w:jc w:val="center"/>
        </w:trPr>
        <w:tc>
          <w:tcPr>
            <w:tcW w:w="6970" w:type="dxa"/>
            <w:gridSpan w:val="2"/>
            <w:tcBorders>
              <w:top w:val="single" w:sz="4" w:space="0" w:color="000000"/>
              <w:left w:val="single" w:sz="4" w:space="0" w:color="000000"/>
              <w:bottom w:val="single" w:sz="4" w:space="0" w:color="000000"/>
              <w:right w:val="single" w:sz="4" w:space="0" w:color="000000"/>
            </w:tcBorders>
          </w:tcPr>
          <w:p w14:paraId="4D4207DD" w14:textId="5E27E78F" w:rsidR="006842EE" w:rsidRDefault="008F2625">
            <w:pPr>
              <w:widowControl w:val="0"/>
              <w:spacing w:before="60" w:after="60"/>
              <w:jc w:val="center"/>
              <w:rPr>
                <w:rFonts w:ascii="Titillium" w:hAnsi="Titillium"/>
                <w:b/>
                <w:sz w:val="18"/>
                <w:szCs w:val="18"/>
              </w:rPr>
            </w:pPr>
            <w:r>
              <w:rPr>
                <w:rFonts w:ascii="Titillium" w:hAnsi="Titillium"/>
                <w:b/>
                <w:sz w:val="18"/>
                <w:szCs w:val="18"/>
              </w:rPr>
              <w:t>Importo a base di gara</w:t>
            </w:r>
          </w:p>
        </w:tc>
        <w:tc>
          <w:tcPr>
            <w:tcW w:w="2165" w:type="dxa"/>
            <w:tcBorders>
              <w:top w:val="single" w:sz="4" w:space="0" w:color="000000"/>
              <w:left w:val="single" w:sz="4" w:space="0" w:color="000000"/>
              <w:bottom w:val="single" w:sz="4" w:space="0" w:color="000000"/>
              <w:right w:val="single" w:sz="4" w:space="0" w:color="000000"/>
            </w:tcBorders>
          </w:tcPr>
          <w:p w14:paraId="793482F9" w14:textId="77777777" w:rsidR="006842EE" w:rsidRDefault="008F2625">
            <w:pPr>
              <w:widowControl w:val="0"/>
              <w:spacing w:before="60" w:after="60"/>
              <w:jc w:val="center"/>
              <w:rPr>
                <w:rFonts w:ascii="Titillium" w:hAnsi="Titillium"/>
                <w:sz w:val="18"/>
                <w:szCs w:val="18"/>
              </w:rPr>
            </w:pPr>
            <w:r>
              <w:rPr>
                <w:rFonts w:ascii="Titillium" w:hAnsi="Titillium"/>
                <w:sz w:val="18"/>
                <w:szCs w:val="18"/>
              </w:rPr>
              <w:t>....</w:t>
            </w:r>
          </w:p>
        </w:tc>
      </w:tr>
    </w:tbl>
    <w:p w14:paraId="5D314D37" w14:textId="77777777" w:rsidR="006842EE" w:rsidRDefault="006842EE">
      <w:pPr>
        <w:tabs>
          <w:tab w:val="left" w:pos="9025"/>
        </w:tabs>
        <w:rPr>
          <w:rFonts w:asciiTheme="minorHAnsi" w:hAnsiTheme="minorHAnsi" w:cstheme="minorHAnsi"/>
          <w:b/>
          <w:szCs w:val="24"/>
        </w:rPr>
      </w:pPr>
    </w:p>
    <w:p w14:paraId="679C7D52" w14:textId="5BCDD6D5" w:rsidR="00F12E48" w:rsidRDefault="008F2625" w:rsidP="00F12E48">
      <w:pPr>
        <w:rPr>
          <w:rFonts w:ascii="Titillium" w:hAnsi="Titillium"/>
          <w:sz w:val="18"/>
          <w:szCs w:val="18"/>
        </w:rPr>
      </w:pPr>
      <w:bookmarkStart w:id="194" w:name="_Hlk198828786"/>
      <w:r>
        <w:rPr>
          <w:rFonts w:ascii="Titillium" w:hAnsi="Titillium"/>
          <w:sz w:val="18"/>
          <w:szCs w:val="18"/>
        </w:rPr>
        <w:t>L’importo a base di gara è</w:t>
      </w:r>
      <w:r w:rsidR="00226093">
        <w:rPr>
          <w:rFonts w:ascii="Titillium" w:hAnsi="Titillium"/>
          <w:sz w:val="18"/>
          <w:szCs w:val="18"/>
        </w:rPr>
        <w:t xml:space="preserve"> pari a ……</w:t>
      </w:r>
      <w:r w:rsidR="00A53C85">
        <w:rPr>
          <w:rFonts w:ascii="Titillium" w:hAnsi="Titillium"/>
          <w:sz w:val="18"/>
          <w:szCs w:val="18"/>
        </w:rPr>
        <w:t xml:space="preserve"> </w:t>
      </w:r>
      <w:r w:rsidR="001D2568" w:rsidRPr="00AB69B2">
        <w:rPr>
          <w:rFonts w:ascii="Titillium" w:hAnsi="Titillium"/>
          <w:sz w:val="18"/>
          <w:szCs w:val="18"/>
        </w:rPr>
        <w:t xml:space="preserve">oltre </w:t>
      </w:r>
      <w:r w:rsidRPr="00AB69B2">
        <w:rPr>
          <w:rFonts w:ascii="Titillium" w:hAnsi="Titillium"/>
          <w:sz w:val="18"/>
          <w:szCs w:val="18"/>
        </w:rPr>
        <w:t>IVA</w:t>
      </w:r>
      <w:r w:rsidR="001C150F">
        <w:rPr>
          <w:rFonts w:ascii="Titillium" w:hAnsi="Titillium"/>
          <w:sz w:val="18"/>
          <w:szCs w:val="18"/>
        </w:rPr>
        <w:t xml:space="preserve">, </w:t>
      </w:r>
      <w:r w:rsidR="001C150F" w:rsidRPr="000B513B">
        <w:rPr>
          <w:rFonts w:ascii="Titillium" w:hAnsi="Titillium"/>
          <w:sz w:val="18"/>
          <w:szCs w:val="18"/>
        </w:rPr>
        <w:t>oneri assistenziali e previdenziali</w:t>
      </w:r>
      <w:r w:rsidR="00AB69B2" w:rsidRPr="000B513B">
        <w:rPr>
          <w:rFonts w:ascii="Titillium" w:hAnsi="Titillium"/>
          <w:sz w:val="18"/>
          <w:szCs w:val="18"/>
        </w:rPr>
        <w:t>.</w:t>
      </w:r>
      <w:r w:rsidR="00060A6B">
        <w:rPr>
          <w:rFonts w:ascii="Titillium" w:hAnsi="Titillium"/>
          <w:sz w:val="18"/>
          <w:szCs w:val="18"/>
        </w:rPr>
        <w:t xml:space="preserve"> </w:t>
      </w:r>
    </w:p>
    <w:bookmarkEnd w:id="194"/>
    <w:p w14:paraId="15BE7681" w14:textId="77777777" w:rsidR="00B05B75" w:rsidRDefault="00B05B75">
      <w:pPr>
        <w:rPr>
          <w:rFonts w:ascii="Titillium" w:hAnsi="Titillium"/>
          <w:sz w:val="18"/>
          <w:szCs w:val="18"/>
        </w:rPr>
      </w:pPr>
    </w:p>
    <w:p w14:paraId="71B8C78F" w14:textId="7BE56977" w:rsidR="00095FE7" w:rsidRDefault="00BD333E">
      <w:pPr>
        <w:rPr>
          <w:rFonts w:ascii="Titillium" w:hAnsi="Titillium"/>
          <w:sz w:val="18"/>
          <w:szCs w:val="18"/>
        </w:rPr>
      </w:pPr>
      <w:r w:rsidRPr="00BD333E">
        <w:rPr>
          <w:rFonts w:ascii="Titillium" w:hAnsi="Titillium"/>
          <w:sz w:val="18"/>
          <w:szCs w:val="18"/>
        </w:rPr>
        <w:t>Ai sensi dell’articolo 41 comma 15 bis</w:t>
      </w:r>
      <w:r w:rsidR="005B1E52">
        <w:rPr>
          <w:rFonts w:ascii="Titillium" w:hAnsi="Titillium"/>
          <w:sz w:val="18"/>
          <w:szCs w:val="18"/>
        </w:rPr>
        <w:t xml:space="preserve"> del Codice</w:t>
      </w:r>
      <w:r w:rsidRPr="00BD333E">
        <w:rPr>
          <w:rFonts w:ascii="Titillium" w:hAnsi="Titillium"/>
          <w:sz w:val="18"/>
          <w:szCs w:val="18"/>
        </w:rPr>
        <w:t xml:space="preserve"> si precisa che</w:t>
      </w:r>
      <w:r>
        <w:rPr>
          <w:rFonts w:ascii="Titillium" w:hAnsi="Titillium"/>
          <w:sz w:val="18"/>
          <w:szCs w:val="18"/>
        </w:rPr>
        <w:t>:</w:t>
      </w:r>
    </w:p>
    <w:p w14:paraId="36D2FC4E" w14:textId="254A1B25" w:rsidR="00BD333E" w:rsidRPr="000B0E59" w:rsidRDefault="00BD333E" w:rsidP="00D26F03">
      <w:pPr>
        <w:pStyle w:val="Paragrafoelenco"/>
        <w:numPr>
          <w:ilvl w:val="0"/>
          <w:numId w:val="52"/>
        </w:numPr>
        <w:ind w:left="567"/>
        <w:rPr>
          <w:rFonts w:ascii="Titillium" w:hAnsi="Titillium"/>
          <w:i/>
          <w:iCs/>
          <w:sz w:val="18"/>
          <w:szCs w:val="18"/>
        </w:rPr>
      </w:pPr>
      <w:bookmarkStart w:id="195" w:name="_Hlk209100579"/>
      <w:r w:rsidRPr="000B0E59">
        <w:rPr>
          <w:rFonts w:ascii="Titillium" w:hAnsi="Titillium"/>
          <w:sz w:val="18"/>
          <w:szCs w:val="18"/>
        </w:rPr>
        <w:t xml:space="preserve">l’importo non soggetto a ribasso è pari a </w:t>
      </w:r>
      <w:r w:rsidRPr="000B0E59">
        <w:rPr>
          <w:rFonts w:ascii="Titillium" w:hAnsi="Titillium"/>
          <w:i/>
          <w:iCs/>
          <w:sz w:val="18"/>
          <w:szCs w:val="18"/>
        </w:rPr>
        <w:t>…</w:t>
      </w:r>
      <w:r w:rsidR="00F54F85">
        <w:rPr>
          <w:rFonts w:ascii="Titillium" w:hAnsi="Titillium"/>
          <w:i/>
          <w:iCs/>
          <w:sz w:val="18"/>
          <w:szCs w:val="18"/>
        </w:rPr>
        <w:t xml:space="preserve"> </w:t>
      </w:r>
      <w:r w:rsidRPr="000B0E59">
        <w:rPr>
          <w:rFonts w:ascii="Titillium" w:hAnsi="Titillium"/>
          <w:i/>
          <w:iCs/>
          <w:sz w:val="18"/>
          <w:szCs w:val="18"/>
        </w:rPr>
        <w:t>[indicare l’importo corrispondente al 65% dell’importo a base di gara esclusi IVA</w:t>
      </w:r>
      <w:r w:rsidR="00B05B75" w:rsidRPr="000B0E59">
        <w:rPr>
          <w:rFonts w:ascii="Titillium" w:hAnsi="Titillium"/>
          <w:i/>
          <w:iCs/>
          <w:sz w:val="18"/>
          <w:szCs w:val="18"/>
        </w:rPr>
        <w:t>,</w:t>
      </w:r>
      <w:r w:rsidRPr="000B0E59">
        <w:rPr>
          <w:rFonts w:ascii="Titillium" w:hAnsi="Titillium"/>
          <w:i/>
          <w:iCs/>
          <w:sz w:val="18"/>
          <w:szCs w:val="18"/>
        </w:rPr>
        <w:t xml:space="preserve"> oneri assistenziali e previdenziali] </w:t>
      </w:r>
    </w:p>
    <w:p w14:paraId="6452F170" w14:textId="74DAC1E7" w:rsidR="009C3D82" w:rsidRPr="000B0E59" w:rsidRDefault="009C3D82" w:rsidP="00D26F03">
      <w:pPr>
        <w:pStyle w:val="Paragrafoelenco"/>
        <w:numPr>
          <w:ilvl w:val="0"/>
          <w:numId w:val="52"/>
        </w:numPr>
        <w:ind w:left="567"/>
        <w:rPr>
          <w:rFonts w:ascii="Titillium" w:hAnsi="Titillium"/>
          <w:sz w:val="18"/>
          <w:szCs w:val="18"/>
        </w:rPr>
      </w:pPr>
      <w:r w:rsidRPr="000B0E59">
        <w:rPr>
          <w:rFonts w:ascii="Titillium" w:hAnsi="Titillium"/>
          <w:sz w:val="18"/>
          <w:szCs w:val="18"/>
        </w:rPr>
        <w:t xml:space="preserve">l’importo soggetto a ribasso è pari a </w:t>
      </w:r>
      <w:r w:rsidRPr="000B0E59">
        <w:rPr>
          <w:rFonts w:ascii="Titillium" w:hAnsi="Titillium"/>
          <w:i/>
          <w:iCs/>
          <w:sz w:val="18"/>
          <w:szCs w:val="18"/>
        </w:rPr>
        <w:t xml:space="preserve">…. </w:t>
      </w:r>
      <w:r w:rsidR="00E03FCF" w:rsidRPr="000B0E59">
        <w:rPr>
          <w:rFonts w:ascii="Titillium" w:hAnsi="Titillium"/>
          <w:i/>
          <w:iCs/>
          <w:sz w:val="18"/>
          <w:szCs w:val="18"/>
        </w:rPr>
        <w:t>[</w:t>
      </w:r>
      <w:r w:rsidRPr="000B0E59">
        <w:rPr>
          <w:rFonts w:ascii="Titillium" w:hAnsi="Titillium"/>
          <w:i/>
          <w:iCs/>
          <w:sz w:val="18"/>
          <w:szCs w:val="18"/>
        </w:rPr>
        <w:t xml:space="preserve">indicare </w:t>
      </w:r>
      <w:r w:rsidR="00DE6270" w:rsidRPr="000B0E59">
        <w:rPr>
          <w:rFonts w:ascii="Titillium" w:hAnsi="Titillium"/>
          <w:i/>
          <w:iCs/>
          <w:sz w:val="18"/>
          <w:szCs w:val="18"/>
        </w:rPr>
        <w:t>l’importo</w:t>
      </w:r>
      <w:r w:rsidR="00BD333E" w:rsidRPr="000B0E59">
        <w:rPr>
          <w:rFonts w:ascii="Titillium" w:hAnsi="Titillium"/>
          <w:i/>
          <w:iCs/>
          <w:sz w:val="18"/>
          <w:szCs w:val="18"/>
        </w:rPr>
        <w:t xml:space="preserve"> corrispondente al</w:t>
      </w:r>
      <w:r w:rsidR="00DE6270" w:rsidRPr="000B0E59">
        <w:rPr>
          <w:rFonts w:ascii="Titillium" w:hAnsi="Titillium"/>
          <w:i/>
          <w:iCs/>
          <w:sz w:val="18"/>
          <w:szCs w:val="18"/>
        </w:rPr>
        <w:t xml:space="preserve"> </w:t>
      </w:r>
      <w:r w:rsidR="00BD333E" w:rsidRPr="000B0E59">
        <w:rPr>
          <w:rFonts w:ascii="Titillium" w:hAnsi="Titillium"/>
          <w:i/>
          <w:iCs/>
          <w:sz w:val="18"/>
          <w:szCs w:val="18"/>
        </w:rPr>
        <w:t>restante 3</w:t>
      </w:r>
      <w:r w:rsidRPr="000B0E59">
        <w:rPr>
          <w:rFonts w:ascii="Titillium" w:hAnsi="Titillium"/>
          <w:i/>
          <w:iCs/>
          <w:sz w:val="18"/>
          <w:szCs w:val="18"/>
        </w:rPr>
        <w:t>5% dell’importo a base di gara esclusa IVA</w:t>
      </w:r>
      <w:r w:rsidR="00E14DBA" w:rsidRPr="000B0E59">
        <w:rPr>
          <w:rFonts w:ascii="Titillium" w:hAnsi="Titillium"/>
          <w:i/>
          <w:iCs/>
          <w:sz w:val="18"/>
          <w:szCs w:val="18"/>
        </w:rPr>
        <w:t>, oneri assistenziali e previdenziali</w:t>
      </w:r>
      <w:r w:rsidR="00E03FCF" w:rsidRPr="000B0E59">
        <w:rPr>
          <w:rFonts w:ascii="Titillium" w:hAnsi="Titillium"/>
          <w:i/>
          <w:iCs/>
          <w:sz w:val="18"/>
          <w:szCs w:val="18"/>
        </w:rPr>
        <w:t>]</w:t>
      </w:r>
    </w:p>
    <w:p w14:paraId="26688A36" w14:textId="77777777" w:rsidR="00B514FA" w:rsidRDefault="00B514FA">
      <w:pPr>
        <w:rPr>
          <w:rFonts w:ascii="Titillium" w:hAnsi="Titillium"/>
          <w:sz w:val="18"/>
          <w:szCs w:val="18"/>
        </w:rPr>
      </w:pPr>
    </w:p>
    <w:tbl>
      <w:tblPr>
        <w:tblStyle w:val="Grigliatabella"/>
        <w:tblW w:w="0" w:type="auto"/>
        <w:tblLook w:val="04A0" w:firstRow="1" w:lastRow="0" w:firstColumn="1" w:lastColumn="0" w:noHBand="0" w:noVBand="1"/>
      </w:tblPr>
      <w:tblGrid>
        <w:gridCol w:w="9214"/>
      </w:tblGrid>
      <w:tr w:rsidR="00B514FA" w14:paraId="25EA75B8" w14:textId="77777777" w:rsidTr="00B514FA">
        <w:tc>
          <w:tcPr>
            <w:tcW w:w="9214" w:type="dxa"/>
          </w:tcPr>
          <w:p w14:paraId="37C89AE1" w14:textId="27132E56" w:rsidR="00B514FA" w:rsidRPr="00E03FCF" w:rsidRDefault="004A4BBF">
            <w:pPr>
              <w:rPr>
                <w:rFonts w:ascii="Titillium" w:hAnsi="Titillium"/>
                <w:sz w:val="18"/>
                <w:szCs w:val="18"/>
              </w:rPr>
            </w:pPr>
            <w:bookmarkStart w:id="196" w:name="_Hlk209100825"/>
            <w:bookmarkEnd w:id="195"/>
            <w:r w:rsidRPr="00FE7692">
              <w:rPr>
                <w:rFonts w:ascii="Titillium" w:hAnsi="Titillium"/>
                <w:i/>
                <w:iCs/>
                <w:sz w:val="18"/>
                <w:szCs w:val="18"/>
              </w:rPr>
              <w:t>N.B.</w:t>
            </w:r>
            <w:r>
              <w:rPr>
                <w:rFonts w:ascii="Titillium" w:hAnsi="Titillium"/>
                <w:sz w:val="18"/>
                <w:szCs w:val="18"/>
              </w:rPr>
              <w:t xml:space="preserve"> </w:t>
            </w:r>
            <w:r w:rsidR="00B514FA" w:rsidRPr="004A4BBF">
              <w:rPr>
                <w:rFonts w:ascii="Titillium" w:hAnsi="Titillium"/>
                <w:i/>
                <w:iCs/>
                <w:sz w:val="18"/>
                <w:szCs w:val="18"/>
              </w:rPr>
              <w:t xml:space="preserve">Il Correttivo ha inserito un nuovo comma 15-bis all’articolo 41 del </w:t>
            </w:r>
            <w:r w:rsidR="00613827">
              <w:rPr>
                <w:rFonts w:ascii="Titillium" w:hAnsi="Titillium"/>
                <w:i/>
                <w:iCs/>
                <w:sz w:val="18"/>
                <w:szCs w:val="18"/>
              </w:rPr>
              <w:t>C</w:t>
            </w:r>
            <w:r w:rsidR="00B514FA" w:rsidRPr="004A4BBF">
              <w:rPr>
                <w:rFonts w:ascii="Titillium" w:hAnsi="Titillium"/>
                <w:i/>
                <w:iCs/>
                <w:sz w:val="18"/>
                <w:szCs w:val="18"/>
              </w:rPr>
              <w:t xml:space="preserve">odice, il quale stabilisce </w:t>
            </w:r>
            <w:r w:rsidR="00DE6270">
              <w:rPr>
                <w:rFonts w:ascii="Titillium" w:hAnsi="Titillium"/>
                <w:i/>
                <w:iCs/>
                <w:sz w:val="18"/>
                <w:szCs w:val="18"/>
              </w:rPr>
              <w:t xml:space="preserve">espressamente </w:t>
            </w:r>
            <w:r w:rsidR="00B514FA" w:rsidRPr="004A4BBF">
              <w:rPr>
                <w:rFonts w:ascii="Titillium" w:hAnsi="Titillium"/>
                <w:i/>
                <w:iCs/>
                <w:sz w:val="18"/>
                <w:szCs w:val="18"/>
              </w:rPr>
              <w:t>che “In attuazione degli articoli 1, comma 2, primo periodo, e 8, comma 2, secondo periodo, i corrispettivi determinati secondo le modalità dell’allegato I.13 sono utilizzati dalle stazioni appaltanti e dagli enti concedenti ai fini dell’individuazione dell’importo da porre a base di gara per gli affidamenti di cui all’articolo 108, comma 2, lettera b), comprensivo</w:t>
            </w:r>
            <w:r w:rsidR="00B514FA" w:rsidRPr="00E03FCF">
              <w:rPr>
                <w:rFonts w:ascii="Titillium" w:hAnsi="Titillium"/>
                <w:i/>
                <w:iCs/>
                <w:sz w:val="18"/>
                <w:szCs w:val="18"/>
              </w:rPr>
              <w:t xml:space="preserve"> dei compensi, nonché delle spese e degli oneri accessori, fissi e variabili.</w:t>
            </w:r>
            <w:r w:rsidR="00B514FA" w:rsidRPr="00E03FCF">
              <w:rPr>
                <w:rFonts w:ascii="Titillium" w:hAnsi="Titillium"/>
                <w:sz w:val="18"/>
                <w:szCs w:val="18"/>
              </w:rPr>
              <w:t xml:space="preserve"> </w:t>
            </w:r>
            <w:r w:rsidR="00B514FA" w:rsidRPr="00E03FCF">
              <w:rPr>
                <w:rFonts w:ascii="Titillium" w:hAnsi="Titillium"/>
                <w:i/>
                <w:iCs/>
                <w:sz w:val="18"/>
                <w:szCs w:val="18"/>
              </w:rPr>
              <w:t xml:space="preserve">Le stazioni appaltanti procedono all’aggiudicazione dei predetti contratti sulla base del criterio dell’offerta economicamente più vantaggiosa individuata sulla base del miglior rapporto qualità/prezzo nel rispetto dei seguenti criteri: a) per il 65 per cento dell’importo determinato ai sensi del primo periodo, </w:t>
            </w:r>
            <w:r w:rsidR="00DE6270">
              <w:rPr>
                <w:rFonts w:ascii="Titillium" w:hAnsi="Titillium"/>
                <w:i/>
                <w:iCs/>
                <w:sz w:val="18"/>
                <w:szCs w:val="18"/>
              </w:rPr>
              <w:t>l</w:t>
            </w:r>
            <w:r w:rsidR="00B514FA" w:rsidRPr="00E03FCF">
              <w:rPr>
                <w:rFonts w:ascii="Titillium" w:hAnsi="Titillium"/>
                <w:i/>
                <w:iCs/>
                <w:sz w:val="18"/>
                <w:szCs w:val="18"/>
              </w:rPr>
              <w:t>’elemento relativo al prezzo assume la forma di un prezzo fisso, secondo quanto previsto dall’articolo 108, comma 5; b) il restante 35 per cento dell’importo da porre a base di gara può essere assoggettato a ribasso in sede di presentazione delle offerte.</w:t>
            </w:r>
            <w:bookmarkEnd w:id="196"/>
          </w:p>
        </w:tc>
      </w:tr>
    </w:tbl>
    <w:p w14:paraId="1982085D" w14:textId="77777777" w:rsidR="002C44D8" w:rsidRDefault="002C44D8">
      <w:pPr>
        <w:rPr>
          <w:rFonts w:ascii="Titillium" w:hAnsi="Titillium"/>
          <w:sz w:val="18"/>
          <w:szCs w:val="18"/>
        </w:rPr>
      </w:pPr>
    </w:p>
    <w:p w14:paraId="6A3DB53F" w14:textId="6C711858" w:rsidR="002C44D8" w:rsidRPr="000B0E59" w:rsidRDefault="002C44D8">
      <w:pPr>
        <w:rPr>
          <w:rFonts w:ascii="Titillium" w:hAnsi="Titillium"/>
          <w:sz w:val="18"/>
          <w:szCs w:val="18"/>
        </w:rPr>
      </w:pPr>
      <w:r w:rsidRPr="00B26196">
        <w:rPr>
          <w:rFonts w:ascii="Titillium" w:hAnsi="Titillium"/>
          <w:b/>
          <w:bCs/>
          <w:sz w:val="18"/>
          <w:szCs w:val="18"/>
        </w:rPr>
        <w:t>[</w:t>
      </w:r>
      <w:r w:rsidR="005D278F" w:rsidRPr="005D278F">
        <w:rPr>
          <w:rFonts w:ascii="Titillium" w:hAnsi="Titillium"/>
          <w:b/>
          <w:bCs/>
          <w:i/>
          <w:iCs/>
          <w:sz w:val="18"/>
          <w:szCs w:val="18"/>
        </w:rPr>
        <w:t>N</w:t>
      </w:r>
      <w:r w:rsidR="00880A90" w:rsidRPr="000B0E59">
        <w:rPr>
          <w:rFonts w:ascii="Titillium" w:hAnsi="Titillium"/>
          <w:b/>
          <w:bCs/>
          <w:i/>
          <w:iCs/>
          <w:sz w:val="18"/>
          <w:szCs w:val="18"/>
        </w:rPr>
        <w:t xml:space="preserve">el caso in cui l’affidamento comprenda anche prestazioni </w:t>
      </w:r>
      <w:r w:rsidR="008D6CA3" w:rsidRPr="000B0E59">
        <w:rPr>
          <w:rFonts w:ascii="Titillium" w:hAnsi="Titillium"/>
          <w:b/>
          <w:bCs/>
          <w:i/>
          <w:iCs/>
          <w:sz w:val="18"/>
          <w:szCs w:val="18"/>
        </w:rPr>
        <w:t>di natura diversa</w:t>
      </w:r>
      <w:r w:rsidR="004C10B2" w:rsidRPr="000B0E59">
        <w:rPr>
          <w:rFonts w:ascii="Titillium" w:hAnsi="Titillium"/>
          <w:b/>
          <w:bCs/>
          <w:i/>
          <w:iCs/>
          <w:sz w:val="18"/>
          <w:szCs w:val="18"/>
        </w:rPr>
        <w:t xml:space="preserve"> dai servizi di ingegneria ed architettura</w:t>
      </w:r>
      <w:r w:rsidR="008D6CA3" w:rsidRPr="000B0E59">
        <w:rPr>
          <w:rFonts w:ascii="Titillium" w:hAnsi="Titillium"/>
          <w:b/>
          <w:bCs/>
          <w:i/>
          <w:iCs/>
          <w:sz w:val="18"/>
          <w:szCs w:val="18"/>
        </w:rPr>
        <w:t xml:space="preserve"> quali ad es.</w:t>
      </w:r>
      <w:r w:rsidR="000B513B" w:rsidRPr="000B0E59">
        <w:rPr>
          <w:rFonts w:ascii="Titillium" w:hAnsi="Titillium"/>
          <w:b/>
          <w:bCs/>
          <w:i/>
          <w:iCs/>
          <w:sz w:val="18"/>
          <w:szCs w:val="18"/>
        </w:rPr>
        <w:t xml:space="preserve"> </w:t>
      </w:r>
      <w:r w:rsidR="008D6CA3" w:rsidRPr="000B0E59">
        <w:rPr>
          <w:rFonts w:ascii="Titillium" w:hAnsi="Titillium"/>
          <w:b/>
          <w:bCs/>
          <w:i/>
          <w:iCs/>
          <w:sz w:val="18"/>
          <w:szCs w:val="18"/>
        </w:rPr>
        <w:t xml:space="preserve">le </w:t>
      </w:r>
      <w:r w:rsidR="00880A90" w:rsidRPr="000B0E59">
        <w:rPr>
          <w:rFonts w:ascii="Titillium" w:hAnsi="Titillium"/>
          <w:b/>
          <w:bCs/>
          <w:i/>
          <w:iCs/>
          <w:sz w:val="18"/>
          <w:szCs w:val="18"/>
        </w:rPr>
        <w:t>indagini geognostiche</w:t>
      </w:r>
      <w:r w:rsidR="008D6CA3" w:rsidRPr="000B0E59">
        <w:rPr>
          <w:rFonts w:ascii="Titillium" w:hAnsi="Titillium"/>
          <w:b/>
          <w:bCs/>
          <w:i/>
          <w:iCs/>
          <w:sz w:val="18"/>
          <w:szCs w:val="18"/>
        </w:rPr>
        <w:t>,</w:t>
      </w:r>
      <w:r w:rsidR="005D278F">
        <w:rPr>
          <w:rFonts w:ascii="Titillium" w:hAnsi="Titillium"/>
          <w:b/>
          <w:bCs/>
          <w:i/>
          <w:iCs/>
          <w:sz w:val="18"/>
          <w:szCs w:val="18"/>
        </w:rPr>
        <w:t xml:space="preserve"> </w:t>
      </w:r>
      <w:r w:rsidR="008D6CA3" w:rsidRPr="000B0E59">
        <w:rPr>
          <w:rFonts w:ascii="Titillium" w:hAnsi="Titillium"/>
          <w:b/>
          <w:bCs/>
          <w:i/>
          <w:iCs/>
          <w:sz w:val="18"/>
          <w:szCs w:val="18"/>
        </w:rPr>
        <w:t>i rilevamenti topografici</w:t>
      </w:r>
      <w:r w:rsidR="00B425B1" w:rsidRPr="000B0E59">
        <w:rPr>
          <w:rFonts w:ascii="Titillium" w:hAnsi="Titillium"/>
          <w:b/>
          <w:bCs/>
          <w:i/>
          <w:iCs/>
          <w:sz w:val="18"/>
          <w:szCs w:val="18"/>
        </w:rPr>
        <w:t>,</w:t>
      </w:r>
      <w:r w:rsidR="00671023" w:rsidRPr="000B0E59">
        <w:rPr>
          <w:rFonts w:ascii="Titillium" w:hAnsi="Titillium"/>
          <w:b/>
          <w:bCs/>
          <w:i/>
          <w:iCs/>
          <w:sz w:val="18"/>
          <w:szCs w:val="18"/>
        </w:rPr>
        <w:t xml:space="preserve"> </w:t>
      </w:r>
      <w:r w:rsidR="000B6B49" w:rsidRPr="000B0E59">
        <w:rPr>
          <w:rFonts w:ascii="Titillium" w:hAnsi="Titillium"/>
          <w:b/>
          <w:bCs/>
          <w:i/>
          <w:iCs/>
          <w:sz w:val="18"/>
          <w:szCs w:val="18"/>
        </w:rPr>
        <w:t>le indagini strutturali</w:t>
      </w:r>
      <w:r w:rsidR="00B425B1" w:rsidRPr="000B0E59">
        <w:rPr>
          <w:rFonts w:ascii="Titillium" w:hAnsi="Titillium"/>
          <w:b/>
          <w:bCs/>
          <w:i/>
          <w:iCs/>
          <w:sz w:val="18"/>
          <w:szCs w:val="18"/>
        </w:rPr>
        <w:t xml:space="preserve">, gli scavi </w:t>
      </w:r>
      <w:r w:rsidR="001B5B13" w:rsidRPr="000B0E59">
        <w:rPr>
          <w:rFonts w:ascii="Titillium" w:hAnsi="Titillium"/>
          <w:b/>
          <w:bCs/>
          <w:i/>
          <w:iCs/>
          <w:sz w:val="18"/>
          <w:szCs w:val="18"/>
        </w:rPr>
        <w:t>archeologici]</w:t>
      </w:r>
      <w:r w:rsidRPr="000B0E59">
        <w:rPr>
          <w:rFonts w:ascii="Titillium" w:hAnsi="Titillium"/>
          <w:sz w:val="18"/>
          <w:szCs w:val="18"/>
        </w:rPr>
        <w:t xml:space="preserve"> </w:t>
      </w:r>
      <w:r w:rsidR="000B6B49" w:rsidRPr="000B0E59">
        <w:rPr>
          <w:rFonts w:ascii="Titillium" w:hAnsi="Titillium"/>
          <w:sz w:val="18"/>
          <w:szCs w:val="18"/>
        </w:rPr>
        <w:t>Il concorrente indica separatamente il ribasso offerto per le seguenti prestazioni …….</w:t>
      </w:r>
      <w:r w:rsidR="00452239" w:rsidRPr="000B0E59">
        <w:rPr>
          <w:rFonts w:ascii="Titillium" w:hAnsi="Titillium"/>
          <w:sz w:val="18"/>
          <w:szCs w:val="18"/>
        </w:rPr>
        <w:t xml:space="preserve"> </w:t>
      </w:r>
      <w:r w:rsidR="000B6B49" w:rsidRPr="000B0E59">
        <w:rPr>
          <w:rFonts w:ascii="Titillium" w:hAnsi="Titillium"/>
          <w:sz w:val="18"/>
          <w:szCs w:val="18"/>
        </w:rPr>
        <w:t>[</w:t>
      </w:r>
      <w:r w:rsidR="00E03FCF" w:rsidRPr="000B0E59">
        <w:rPr>
          <w:rFonts w:ascii="Titillium" w:hAnsi="Titillium"/>
          <w:i/>
          <w:iCs/>
          <w:sz w:val="18"/>
          <w:szCs w:val="18"/>
        </w:rPr>
        <w:t>indicare</w:t>
      </w:r>
      <w:r w:rsidR="00E03FCF" w:rsidRPr="000B0E59">
        <w:rPr>
          <w:rFonts w:ascii="Titillium" w:hAnsi="Titillium"/>
          <w:sz w:val="18"/>
          <w:szCs w:val="18"/>
        </w:rPr>
        <w:t xml:space="preserve"> </w:t>
      </w:r>
      <w:r w:rsidR="000B6B49" w:rsidRPr="000B0E59">
        <w:rPr>
          <w:rFonts w:ascii="Titillium" w:hAnsi="Titillium"/>
          <w:i/>
          <w:iCs/>
          <w:sz w:val="18"/>
          <w:szCs w:val="18"/>
        </w:rPr>
        <w:t>le ulteriori prestazioni non riconducibili ai servizi tecnici di ingegneria ed architettura].</w:t>
      </w:r>
      <w:r w:rsidR="00E02670" w:rsidRPr="000B0E59">
        <w:rPr>
          <w:rFonts w:ascii="Titillium" w:hAnsi="Titillium"/>
          <w:i/>
          <w:iCs/>
          <w:sz w:val="18"/>
          <w:szCs w:val="18"/>
        </w:rPr>
        <w:t xml:space="preserve"> </w:t>
      </w:r>
    </w:p>
    <w:p w14:paraId="32E26078" w14:textId="77777777" w:rsidR="00FE0FE8" w:rsidRPr="000B0E59" w:rsidRDefault="00FE0FE8">
      <w:pPr>
        <w:rPr>
          <w:rFonts w:ascii="Titillium" w:hAnsi="Titillium"/>
          <w:i/>
          <w:iCs/>
          <w:sz w:val="18"/>
          <w:szCs w:val="18"/>
        </w:rPr>
      </w:pPr>
    </w:p>
    <w:tbl>
      <w:tblPr>
        <w:tblStyle w:val="Grigliatabella"/>
        <w:tblW w:w="0" w:type="auto"/>
        <w:tblLook w:val="04A0" w:firstRow="1" w:lastRow="0" w:firstColumn="1" w:lastColumn="0" w:noHBand="0" w:noVBand="1"/>
      </w:tblPr>
      <w:tblGrid>
        <w:gridCol w:w="9214"/>
      </w:tblGrid>
      <w:tr w:rsidR="00C40B4F" w:rsidRPr="00A66875" w14:paraId="0E4A34A1" w14:textId="77777777" w:rsidTr="00C40B4F">
        <w:tc>
          <w:tcPr>
            <w:tcW w:w="9214" w:type="dxa"/>
          </w:tcPr>
          <w:p w14:paraId="36D14990" w14:textId="583CF5AF" w:rsidR="00B65FAC" w:rsidRPr="000B0E59" w:rsidRDefault="00C40B4F" w:rsidP="001C05EB">
            <w:pPr>
              <w:rPr>
                <w:rFonts w:ascii="Titillium" w:hAnsi="Titillium"/>
                <w:i/>
                <w:iCs/>
                <w:sz w:val="18"/>
                <w:szCs w:val="18"/>
              </w:rPr>
            </w:pPr>
            <w:r w:rsidRPr="000B0E59">
              <w:rPr>
                <w:rFonts w:ascii="Titillium" w:hAnsi="Titillium"/>
                <w:i/>
                <w:iCs/>
                <w:sz w:val="18"/>
                <w:szCs w:val="18"/>
              </w:rPr>
              <w:t xml:space="preserve">N.B. </w:t>
            </w:r>
            <w:r w:rsidR="00BE3860" w:rsidRPr="000B0E59">
              <w:rPr>
                <w:rFonts w:ascii="Titillium" w:hAnsi="Titillium"/>
                <w:i/>
                <w:iCs/>
                <w:sz w:val="18"/>
                <w:szCs w:val="18"/>
              </w:rPr>
              <w:t>La scelta di non prevedere un lotto funzionale separato per le eventuali ulteriori prestazioni, quali principalmente le indagini</w:t>
            </w:r>
            <w:r w:rsidR="00291E77" w:rsidRPr="000B0E59">
              <w:rPr>
                <w:rFonts w:ascii="Titillium" w:hAnsi="Titillium"/>
                <w:i/>
                <w:iCs/>
                <w:sz w:val="18"/>
                <w:szCs w:val="18"/>
              </w:rPr>
              <w:t xml:space="preserve"> geognostiche, topografiche e archeologiche</w:t>
            </w:r>
            <w:r w:rsidR="00BE3860" w:rsidRPr="000B0E59">
              <w:rPr>
                <w:rFonts w:ascii="Titillium" w:hAnsi="Titillium"/>
                <w:i/>
                <w:iCs/>
                <w:sz w:val="18"/>
                <w:szCs w:val="18"/>
              </w:rPr>
              <w:t>, deve</w:t>
            </w:r>
            <w:r w:rsidR="00B65FAC" w:rsidRPr="000B0E59">
              <w:rPr>
                <w:rFonts w:ascii="Titillium" w:hAnsi="Titillium"/>
                <w:i/>
                <w:iCs/>
                <w:sz w:val="18"/>
                <w:szCs w:val="18"/>
              </w:rPr>
              <w:t>,</w:t>
            </w:r>
            <w:r w:rsidR="00BE3860" w:rsidRPr="000B0E59">
              <w:rPr>
                <w:rFonts w:ascii="Titillium" w:hAnsi="Titillium"/>
                <w:i/>
                <w:iCs/>
                <w:sz w:val="18"/>
                <w:szCs w:val="18"/>
              </w:rPr>
              <w:t xml:space="preserve"> comunque</w:t>
            </w:r>
            <w:r w:rsidR="00B65FAC" w:rsidRPr="000B0E59">
              <w:rPr>
                <w:rFonts w:ascii="Titillium" w:hAnsi="Titillium"/>
                <w:i/>
                <w:iCs/>
                <w:sz w:val="18"/>
                <w:szCs w:val="18"/>
              </w:rPr>
              <w:t>,</w:t>
            </w:r>
            <w:r w:rsidR="00BE3860" w:rsidRPr="000B0E59">
              <w:rPr>
                <w:rFonts w:ascii="Titillium" w:hAnsi="Titillium"/>
                <w:i/>
                <w:iCs/>
                <w:sz w:val="18"/>
                <w:szCs w:val="18"/>
              </w:rPr>
              <w:t xml:space="preserve"> essere motivata dalla stazione appaltante</w:t>
            </w:r>
            <w:r w:rsidR="00B65FAC" w:rsidRPr="000B0E59">
              <w:rPr>
                <w:rFonts w:ascii="Titillium" w:hAnsi="Titillium"/>
                <w:i/>
                <w:iCs/>
                <w:sz w:val="18"/>
                <w:szCs w:val="18"/>
              </w:rPr>
              <w:t xml:space="preserve"> ai sensi dell’art. 58 del d</w:t>
            </w:r>
            <w:r w:rsidR="0083218B" w:rsidRPr="000B0E59">
              <w:rPr>
                <w:rFonts w:ascii="Titillium" w:hAnsi="Titillium"/>
                <w:i/>
                <w:iCs/>
                <w:sz w:val="18"/>
                <w:szCs w:val="18"/>
              </w:rPr>
              <w:t>ecreto legislativo n.</w:t>
            </w:r>
            <w:r w:rsidR="00B65FAC" w:rsidRPr="000B0E59">
              <w:rPr>
                <w:rFonts w:ascii="Titillium" w:hAnsi="Titillium"/>
                <w:i/>
                <w:iCs/>
                <w:sz w:val="18"/>
                <w:szCs w:val="18"/>
              </w:rPr>
              <w:t xml:space="preserve"> 36/2023</w:t>
            </w:r>
            <w:r w:rsidR="00BE3860" w:rsidRPr="000B0E59">
              <w:rPr>
                <w:rFonts w:ascii="Titillium" w:hAnsi="Titillium"/>
                <w:i/>
                <w:iCs/>
                <w:sz w:val="18"/>
                <w:szCs w:val="18"/>
              </w:rPr>
              <w:t>, anche alla luce del</w:t>
            </w:r>
            <w:r w:rsidR="00B65FAC" w:rsidRPr="000B0E59">
              <w:rPr>
                <w:rFonts w:ascii="Titillium" w:hAnsi="Titillium"/>
                <w:i/>
                <w:iCs/>
                <w:sz w:val="18"/>
                <w:szCs w:val="18"/>
              </w:rPr>
              <w:t>l’accessorietà e del</w:t>
            </w:r>
            <w:r w:rsidR="00BE3860" w:rsidRPr="000B0E59">
              <w:rPr>
                <w:rFonts w:ascii="Titillium" w:hAnsi="Titillium"/>
                <w:i/>
                <w:iCs/>
                <w:sz w:val="18"/>
                <w:szCs w:val="18"/>
              </w:rPr>
              <w:t xml:space="preserve"> valore residuale d</w:t>
            </w:r>
            <w:r w:rsidR="00B65FAC" w:rsidRPr="000B0E59">
              <w:rPr>
                <w:rFonts w:ascii="Titillium" w:hAnsi="Titillium"/>
                <w:i/>
                <w:iCs/>
                <w:sz w:val="18"/>
                <w:szCs w:val="18"/>
              </w:rPr>
              <w:t>i queste ultime, da intendersi come funzionalmente collegate alla corretta esecuzione della prestazione progettuale, da considerarsi nella sua interezza e</w:t>
            </w:r>
            <w:r w:rsidR="0083218B" w:rsidRPr="000B0E59">
              <w:rPr>
                <w:rFonts w:ascii="Titillium" w:hAnsi="Titillium"/>
                <w:i/>
                <w:iCs/>
                <w:sz w:val="18"/>
                <w:szCs w:val="18"/>
              </w:rPr>
              <w:t>d</w:t>
            </w:r>
            <w:r w:rsidR="00B65FAC" w:rsidRPr="000B0E59">
              <w:rPr>
                <w:rFonts w:ascii="Titillium" w:hAnsi="Titillium"/>
                <w:i/>
                <w:iCs/>
                <w:sz w:val="18"/>
                <w:szCs w:val="18"/>
              </w:rPr>
              <w:t xml:space="preserve"> unitarietà. </w:t>
            </w:r>
          </w:p>
          <w:p w14:paraId="2181DEB9" w14:textId="77C2D62A" w:rsidR="00C40B4F" w:rsidRPr="00A66875" w:rsidRDefault="001C05EB" w:rsidP="00B65FAC">
            <w:pPr>
              <w:rPr>
                <w:rFonts w:ascii="Titillium" w:hAnsi="Titillium"/>
                <w:i/>
                <w:iCs/>
                <w:sz w:val="18"/>
                <w:szCs w:val="18"/>
              </w:rPr>
            </w:pPr>
            <w:r w:rsidRPr="000B0E59">
              <w:rPr>
                <w:rFonts w:ascii="Titillium" w:hAnsi="Titillium"/>
                <w:i/>
                <w:iCs/>
                <w:sz w:val="18"/>
                <w:szCs w:val="18"/>
              </w:rPr>
              <w:t>Si ricorda</w:t>
            </w:r>
            <w:r w:rsidR="00B65FAC" w:rsidRPr="000B0E59">
              <w:rPr>
                <w:rFonts w:ascii="Titillium" w:hAnsi="Titillium"/>
                <w:i/>
                <w:iCs/>
                <w:sz w:val="18"/>
                <w:szCs w:val="18"/>
              </w:rPr>
              <w:t>, in ogni caso, c</w:t>
            </w:r>
            <w:r w:rsidRPr="000B0E59">
              <w:rPr>
                <w:rFonts w:ascii="Titillium" w:hAnsi="Titillium"/>
                <w:i/>
                <w:iCs/>
                <w:sz w:val="18"/>
                <w:szCs w:val="18"/>
              </w:rPr>
              <w:t>he il corretto dimensionamento dell’oggetto dell’appalto</w:t>
            </w:r>
            <w:r w:rsidR="00B65FAC" w:rsidRPr="000B0E59">
              <w:rPr>
                <w:rFonts w:ascii="Titillium" w:hAnsi="Titillium"/>
                <w:i/>
                <w:iCs/>
                <w:sz w:val="18"/>
                <w:szCs w:val="18"/>
              </w:rPr>
              <w:t xml:space="preserve"> e la conseguente suddivisione in lotti – nei casi in cui non ricorrano i sopra richiamati presupposti - </w:t>
            </w:r>
            <w:r w:rsidR="00033FEE" w:rsidRPr="000B0E59">
              <w:rPr>
                <w:rFonts w:ascii="Titillium" w:hAnsi="Titillium"/>
                <w:i/>
                <w:iCs/>
                <w:sz w:val="18"/>
                <w:szCs w:val="18"/>
              </w:rPr>
              <w:t xml:space="preserve">resta </w:t>
            </w:r>
            <w:r w:rsidRPr="000B0E59">
              <w:rPr>
                <w:rFonts w:ascii="Titillium" w:hAnsi="Titillium"/>
                <w:i/>
                <w:iCs/>
                <w:sz w:val="18"/>
                <w:szCs w:val="18"/>
              </w:rPr>
              <w:t>uno strumento fondamentale per favorire la concorrenza e promuovere la partecipazione delle piccole e medie imprese, garantendo un più ampio accesso al mercato degli appalti pubblici, conformemente all’</w:t>
            </w:r>
            <w:r w:rsidR="0083218B" w:rsidRPr="000B0E59">
              <w:rPr>
                <w:rFonts w:ascii="Titillium" w:hAnsi="Titillium"/>
                <w:i/>
                <w:iCs/>
                <w:sz w:val="18"/>
                <w:szCs w:val="18"/>
              </w:rPr>
              <w:t xml:space="preserve"> </w:t>
            </w:r>
            <w:r w:rsidRPr="000B0E59">
              <w:rPr>
                <w:rFonts w:ascii="Titillium" w:hAnsi="Titillium"/>
                <w:i/>
                <w:iCs/>
                <w:sz w:val="18"/>
                <w:szCs w:val="18"/>
              </w:rPr>
              <w:t>art</w:t>
            </w:r>
            <w:r w:rsidR="0083218B" w:rsidRPr="000B0E59">
              <w:rPr>
                <w:rFonts w:ascii="Titillium" w:hAnsi="Titillium"/>
                <w:i/>
                <w:iCs/>
                <w:sz w:val="18"/>
                <w:szCs w:val="18"/>
              </w:rPr>
              <w:t xml:space="preserve">icolo </w:t>
            </w:r>
            <w:r w:rsidRPr="000B0E59">
              <w:rPr>
                <w:rFonts w:ascii="Titillium" w:hAnsi="Titillium"/>
                <w:i/>
                <w:iCs/>
                <w:sz w:val="18"/>
                <w:szCs w:val="18"/>
              </w:rPr>
              <w:t>3</w:t>
            </w:r>
            <w:r w:rsidR="00B65FAC" w:rsidRPr="000B0E59">
              <w:rPr>
                <w:rFonts w:ascii="Titillium" w:hAnsi="Titillium"/>
                <w:i/>
                <w:iCs/>
                <w:sz w:val="18"/>
                <w:szCs w:val="18"/>
              </w:rPr>
              <w:t xml:space="preserve"> e al già richiamato art</w:t>
            </w:r>
            <w:r w:rsidR="0083218B" w:rsidRPr="000B0E59">
              <w:rPr>
                <w:rFonts w:ascii="Titillium" w:hAnsi="Titillium"/>
                <w:i/>
                <w:iCs/>
                <w:sz w:val="18"/>
                <w:szCs w:val="18"/>
              </w:rPr>
              <w:t>icolo</w:t>
            </w:r>
            <w:r w:rsidR="00B65FAC" w:rsidRPr="000B0E59">
              <w:rPr>
                <w:rFonts w:ascii="Titillium" w:hAnsi="Titillium"/>
                <w:i/>
                <w:iCs/>
                <w:sz w:val="18"/>
                <w:szCs w:val="18"/>
              </w:rPr>
              <w:t xml:space="preserve"> 58</w:t>
            </w:r>
            <w:r w:rsidRPr="000B0E59">
              <w:rPr>
                <w:rFonts w:ascii="Titillium" w:hAnsi="Titillium"/>
                <w:i/>
                <w:iCs/>
                <w:sz w:val="18"/>
                <w:szCs w:val="18"/>
              </w:rPr>
              <w:t xml:space="preserve"> del Codice.</w:t>
            </w:r>
          </w:p>
        </w:tc>
      </w:tr>
    </w:tbl>
    <w:p w14:paraId="5A456D98" w14:textId="77777777" w:rsidR="00C40B4F" w:rsidRPr="00A66875" w:rsidRDefault="00C40B4F">
      <w:pPr>
        <w:rPr>
          <w:rFonts w:ascii="Titillium" w:hAnsi="Titillium"/>
          <w:i/>
          <w:iCs/>
          <w:sz w:val="18"/>
          <w:szCs w:val="18"/>
        </w:rPr>
      </w:pPr>
    </w:p>
    <w:p w14:paraId="0158AD85" w14:textId="77FD4A90" w:rsidR="00095FE7" w:rsidRDefault="008F2625" w:rsidP="00087FBC">
      <w:pPr>
        <w:rPr>
          <w:rFonts w:ascii="Titillium" w:hAnsi="Titillium"/>
          <w:b/>
          <w:bCs/>
          <w:i/>
          <w:iCs/>
          <w:sz w:val="18"/>
          <w:szCs w:val="18"/>
        </w:rPr>
      </w:pPr>
      <w:r w:rsidRPr="006809AA">
        <w:rPr>
          <w:rFonts w:ascii="Titillium" w:hAnsi="Titillium"/>
          <w:sz w:val="18"/>
          <w:szCs w:val="18"/>
        </w:rPr>
        <w:t>L’importo a base di gara è stato calcolato ai sensi dell’</w:t>
      </w:r>
      <w:r w:rsidR="00063D76">
        <w:rPr>
          <w:rFonts w:ascii="Titillium" w:hAnsi="Titillium"/>
          <w:sz w:val="18"/>
          <w:szCs w:val="18"/>
        </w:rPr>
        <w:t>A</w:t>
      </w:r>
      <w:r w:rsidRPr="006809AA">
        <w:rPr>
          <w:rFonts w:ascii="Titillium" w:hAnsi="Titillium"/>
          <w:sz w:val="18"/>
          <w:szCs w:val="18"/>
        </w:rPr>
        <w:t>llegato I.13 al Codice "</w:t>
      </w:r>
      <w:r w:rsidRPr="009C3D82">
        <w:rPr>
          <w:rFonts w:ascii="Titillium" w:hAnsi="Titillium"/>
          <w:i/>
          <w:iCs/>
          <w:sz w:val="18"/>
          <w:szCs w:val="18"/>
        </w:rPr>
        <w:t>Determinazione dei parametri per la progettazione"</w:t>
      </w:r>
      <w:r w:rsidRPr="006809AA">
        <w:rPr>
          <w:rFonts w:ascii="Titillium" w:hAnsi="Titillium"/>
          <w:sz w:val="18"/>
          <w:szCs w:val="18"/>
        </w:rPr>
        <w:t xml:space="preserve"> </w:t>
      </w:r>
      <w:r w:rsidR="009C3D82">
        <w:rPr>
          <w:rFonts w:ascii="Titillium" w:hAnsi="Titillium"/>
          <w:sz w:val="18"/>
          <w:szCs w:val="18"/>
        </w:rPr>
        <w:t>che richiama integralmente il DM</w:t>
      </w:r>
      <w:r w:rsidRPr="006809AA">
        <w:rPr>
          <w:rFonts w:ascii="Titillium" w:hAnsi="Titillium"/>
          <w:sz w:val="18"/>
          <w:szCs w:val="18"/>
        </w:rPr>
        <w:t xml:space="preserve"> 17.06.2016, come </w:t>
      </w:r>
      <w:r w:rsidR="00063D76">
        <w:rPr>
          <w:rFonts w:ascii="Titillium" w:hAnsi="Titillium"/>
          <w:sz w:val="18"/>
          <w:szCs w:val="18"/>
        </w:rPr>
        <w:t xml:space="preserve">risultante </w:t>
      </w:r>
      <w:r w:rsidRPr="006809AA">
        <w:rPr>
          <w:rFonts w:ascii="Titillium" w:hAnsi="Titillium"/>
          <w:sz w:val="18"/>
          <w:szCs w:val="18"/>
        </w:rPr>
        <w:t>da</w:t>
      </w:r>
      <w:r w:rsidR="00063D76">
        <w:rPr>
          <w:rFonts w:ascii="Titillium" w:hAnsi="Titillium"/>
          <w:sz w:val="18"/>
          <w:szCs w:val="18"/>
        </w:rPr>
        <w:t xml:space="preserve">llo </w:t>
      </w:r>
      <w:r w:rsidRPr="006809AA">
        <w:rPr>
          <w:rFonts w:ascii="Titillium" w:hAnsi="Titillium"/>
          <w:sz w:val="18"/>
          <w:szCs w:val="18"/>
        </w:rPr>
        <w:t>schema di determinazione dei corrispettivi</w:t>
      </w:r>
      <w:r w:rsidR="009C3D82">
        <w:rPr>
          <w:rFonts w:ascii="Titillium" w:hAnsi="Titillium"/>
          <w:sz w:val="18"/>
          <w:szCs w:val="18"/>
        </w:rPr>
        <w:t xml:space="preserve"> allegato al presente disciplinare</w:t>
      </w:r>
      <w:r w:rsidR="00285774">
        <w:rPr>
          <w:rFonts w:ascii="Titillium" w:hAnsi="Titillium"/>
          <w:sz w:val="18"/>
          <w:szCs w:val="18"/>
        </w:rPr>
        <w:t>,</w:t>
      </w:r>
      <w:r w:rsidR="009C3D82">
        <w:rPr>
          <w:rFonts w:ascii="Titillium" w:hAnsi="Titillium"/>
          <w:sz w:val="18"/>
          <w:szCs w:val="18"/>
        </w:rPr>
        <w:t xml:space="preserve"> </w:t>
      </w:r>
      <w:r w:rsidR="004152FA" w:rsidRPr="006809AA">
        <w:rPr>
          <w:rFonts w:ascii="Titillium" w:hAnsi="Titillium"/>
          <w:sz w:val="18"/>
          <w:szCs w:val="18"/>
        </w:rPr>
        <w:t xml:space="preserve"> ivi inclus</w:t>
      </w:r>
      <w:r w:rsidR="003717C0" w:rsidRPr="006809AA">
        <w:rPr>
          <w:rFonts w:ascii="Titillium" w:hAnsi="Titillium"/>
          <w:sz w:val="18"/>
          <w:szCs w:val="18"/>
        </w:rPr>
        <w:t>a la quantificazione delle spese</w:t>
      </w:r>
      <w:r w:rsidR="007A7F09">
        <w:rPr>
          <w:rFonts w:ascii="Titillium" w:hAnsi="Titillium"/>
          <w:sz w:val="18"/>
          <w:szCs w:val="18"/>
        </w:rPr>
        <w:t xml:space="preserve"> </w:t>
      </w:r>
      <w:r w:rsidR="00063D76" w:rsidRPr="00063D76">
        <w:rPr>
          <w:rFonts w:ascii="Titillium" w:hAnsi="Titillium"/>
          <w:i/>
          <w:iCs/>
          <w:sz w:val="18"/>
          <w:szCs w:val="18"/>
        </w:rPr>
        <w:t>[</w:t>
      </w:r>
      <w:r w:rsidR="004D71C7" w:rsidRPr="00063D76">
        <w:rPr>
          <w:rFonts w:ascii="Titillium" w:hAnsi="Titillium"/>
          <w:i/>
          <w:iCs/>
          <w:sz w:val="18"/>
          <w:szCs w:val="18"/>
        </w:rPr>
        <w:t xml:space="preserve">indicare </w:t>
      </w:r>
      <w:r w:rsidR="007A7F09" w:rsidRPr="00063D76">
        <w:rPr>
          <w:rFonts w:ascii="Titillium" w:hAnsi="Titillium"/>
          <w:i/>
          <w:iCs/>
          <w:sz w:val="18"/>
          <w:szCs w:val="18"/>
        </w:rPr>
        <w:t xml:space="preserve">nel </w:t>
      </w:r>
      <w:r w:rsidR="00E828AC" w:rsidRPr="00063D76">
        <w:rPr>
          <w:rFonts w:ascii="Titillium" w:hAnsi="Titillium"/>
          <w:i/>
          <w:iCs/>
          <w:sz w:val="18"/>
          <w:szCs w:val="18"/>
        </w:rPr>
        <w:t xml:space="preserve">disciplinare </w:t>
      </w:r>
      <w:r w:rsidR="007A7F09" w:rsidRPr="00063D76">
        <w:rPr>
          <w:rFonts w:ascii="Titillium" w:hAnsi="Titillium"/>
          <w:i/>
          <w:iCs/>
          <w:sz w:val="18"/>
          <w:szCs w:val="18"/>
        </w:rPr>
        <w:t>o</w:t>
      </w:r>
      <w:r w:rsidR="004D71C7" w:rsidRPr="00063D76">
        <w:rPr>
          <w:rFonts w:ascii="Titillium" w:hAnsi="Titillium"/>
          <w:i/>
          <w:iCs/>
          <w:sz w:val="18"/>
          <w:szCs w:val="18"/>
        </w:rPr>
        <w:t>d</w:t>
      </w:r>
      <w:r w:rsidR="007A7F09" w:rsidRPr="00063D76">
        <w:rPr>
          <w:rFonts w:ascii="Titillium" w:hAnsi="Titillium"/>
          <w:i/>
          <w:iCs/>
          <w:sz w:val="18"/>
          <w:szCs w:val="18"/>
        </w:rPr>
        <w:t xml:space="preserve"> in un apposito allegato </w:t>
      </w:r>
      <w:r w:rsidR="00087FBC" w:rsidRPr="00063D76">
        <w:rPr>
          <w:rFonts w:ascii="Titillium" w:hAnsi="Titillium"/>
          <w:i/>
          <w:iCs/>
          <w:sz w:val="18"/>
          <w:szCs w:val="18"/>
        </w:rPr>
        <w:t>il procedimento adottato per il calcolo dell’importo posto a base di gara, inteso come elenco dettagliato delle prestazioni e dei relativi corrispettivi</w:t>
      </w:r>
      <w:r w:rsidR="00063D76" w:rsidRPr="00063D76">
        <w:rPr>
          <w:rFonts w:ascii="Titillium" w:hAnsi="Titillium"/>
          <w:i/>
          <w:iCs/>
          <w:sz w:val="18"/>
          <w:szCs w:val="18"/>
        </w:rPr>
        <w:t>]</w:t>
      </w:r>
      <w:r w:rsidR="00E828AC" w:rsidRPr="00063D76">
        <w:rPr>
          <w:rFonts w:ascii="Titillium" w:hAnsi="Titillium"/>
          <w:b/>
          <w:bCs/>
          <w:i/>
          <w:iCs/>
          <w:sz w:val="18"/>
          <w:szCs w:val="18"/>
        </w:rPr>
        <w:t>.</w:t>
      </w:r>
    </w:p>
    <w:p w14:paraId="79144F96" w14:textId="77777777" w:rsidR="006A602A" w:rsidRPr="00063D76" w:rsidRDefault="006A602A" w:rsidP="00087FBC">
      <w:pPr>
        <w:rPr>
          <w:rFonts w:ascii="Titillium" w:hAnsi="Titillium"/>
          <w:b/>
          <w:bCs/>
          <w:i/>
          <w:iCs/>
          <w:sz w:val="18"/>
          <w:szCs w:val="18"/>
        </w:rPr>
      </w:pPr>
    </w:p>
    <w:tbl>
      <w:tblPr>
        <w:tblStyle w:val="Grigliatabella"/>
        <w:tblW w:w="0" w:type="auto"/>
        <w:tblLook w:val="04A0" w:firstRow="1" w:lastRow="0" w:firstColumn="1" w:lastColumn="0" w:noHBand="0" w:noVBand="1"/>
      </w:tblPr>
      <w:tblGrid>
        <w:gridCol w:w="9214"/>
      </w:tblGrid>
      <w:tr w:rsidR="00825D47" w14:paraId="4C4BFB61" w14:textId="77777777" w:rsidTr="00825D47">
        <w:tc>
          <w:tcPr>
            <w:tcW w:w="9214" w:type="dxa"/>
          </w:tcPr>
          <w:p w14:paraId="5836E069" w14:textId="0FF48DD7" w:rsidR="00825D47" w:rsidRPr="00825D47" w:rsidRDefault="00825D47" w:rsidP="00087FBC">
            <w:pPr>
              <w:rPr>
                <w:rFonts w:ascii="Titillium" w:hAnsi="Titillium"/>
                <w:i/>
                <w:iCs/>
                <w:sz w:val="18"/>
                <w:szCs w:val="18"/>
              </w:rPr>
            </w:pPr>
            <w:r w:rsidRPr="002836FC">
              <w:rPr>
                <w:rFonts w:ascii="Titillium" w:hAnsi="Titillium"/>
                <w:i/>
                <w:iCs/>
                <w:sz w:val="18"/>
                <w:szCs w:val="18"/>
              </w:rPr>
              <w:t>N.B. Nel caso in cui sia stato omesso un livello di progettazione nella determinazione dell’importo a base di gara devono essere comprese tutte le prestazioni richieste per l’espletamento dell’incarico oggetto dell’affidamento, anche se propriamente riconducibili al livello di progettazione omesso</w:t>
            </w:r>
            <w:r w:rsidR="005E6D0C" w:rsidRPr="002836FC">
              <w:rPr>
                <w:rFonts w:ascii="Titillium" w:hAnsi="Titillium"/>
                <w:i/>
                <w:iCs/>
                <w:sz w:val="18"/>
                <w:szCs w:val="18"/>
              </w:rPr>
              <w:t>.</w:t>
            </w:r>
            <w:r w:rsidRPr="00825D47">
              <w:rPr>
                <w:rFonts w:ascii="Titillium" w:hAnsi="Titillium"/>
                <w:i/>
                <w:iCs/>
                <w:sz w:val="18"/>
                <w:szCs w:val="18"/>
              </w:rPr>
              <w:t xml:space="preserve">  </w:t>
            </w:r>
          </w:p>
        </w:tc>
      </w:tr>
    </w:tbl>
    <w:p w14:paraId="098C5AD1" w14:textId="77777777" w:rsidR="00E828AC" w:rsidRDefault="00E828AC" w:rsidP="00087FBC">
      <w:pPr>
        <w:rPr>
          <w:rFonts w:ascii="Titillium" w:hAnsi="Titillium"/>
          <w:b/>
          <w:bCs/>
          <w:i/>
          <w:iCs/>
          <w:sz w:val="18"/>
          <w:szCs w:val="18"/>
        </w:rPr>
      </w:pPr>
    </w:p>
    <w:tbl>
      <w:tblPr>
        <w:tblStyle w:val="Grigliatabella"/>
        <w:tblW w:w="0" w:type="auto"/>
        <w:tblLook w:val="04A0" w:firstRow="1" w:lastRow="0" w:firstColumn="1" w:lastColumn="0" w:noHBand="0" w:noVBand="1"/>
      </w:tblPr>
      <w:tblGrid>
        <w:gridCol w:w="9214"/>
      </w:tblGrid>
      <w:tr w:rsidR="00095FE7" w14:paraId="2F8E517F" w14:textId="77777777" w:rsidTr="00095FE7">
        <w:tc>
          <w:tcPr>
            <w:tcW w:w="9214" w:type="dxa"/>
          </w:tcPr>
          <w:p w14:paraId="3F4C7597" w14:textId="356CA847" w:rsidR="00095FE7" w:rsidRDefault="00095FE7">
            <w:pPr>
              <w:rPr>
                <w:rFonts w:ascii="Titillium" w:hAnsi="Titillium"/>
                <w:i/>
                <w:iCs/>
                <w:sz w:val="18"/>
                <w:szCs w:val="18"/>
              </w:rPr>
            </w:pPr>
            <w:r w:rsidRPr="00534170">
              <w:rPr>
                <w:rFonts w:ascii="Titillium" w:hAnsi="Titillium"/>
                <w:i/>
                <w:iCs/>
                <w:sz w:val="18"/>
                <w:szCs w:val="18"/>
              </w:rPr>
              <w:t>N.B</w:t>
            </w:r>
            <w:r w:rsidR="00BC0CE6">
              <w:rPr>
                <w:rFonts w:ascii="Titillium" w:hAnsi="Titillium"/>
                <w:i/>
                <w:iCs/>
                <w:sz w:val="18"/>
                <w:szCs w:val="18"/>
              </w:rPr>
              <w:t>.</w:t>
            </w:r>
            <w:r w:rsidRPr="00534170">
              <w:rPr>
                <w:rFonts w:ascii="Titillium" w:hAnsi="Titillium"/>
                <w:i/>
                <w:iCs/>
                <w:sz w:val="18"/>
                <w:szCs w:val="18"/>
              </w:rPr>
              <w:t xml:space="preserve"> Per le procedure di affidamento della progettazione con stima del costo presunto dei lavori di importo superiore a 2 milioni di euro, ovvero alla soglia dell’articolo 14, comma 1, lettera a) </w:t>
            </w:r>
            <w:r w:rsidR="00613827">
              <w:rPr>
                <w:rFonts w:ascii="Titillium" w:hAnsi="Titillium"/>
                <w:i/>
                <w:iCs/>
                <w:sz w:val="18"/>
                <w:szCs w:val="18"/>
              </w:rPr>
              <w:t xml:space="preserve"> del Codice </w:t>
            </w:r>
            <w:r w:rsidRPr="00534170">
              <w:rPr>
                <w:rFonts w:ascii="Titillium" w:hAnsi="Titillium"/>
                <w:i/>
                <w:iCs/>
                <w:sz w:val="18"/>
                <w:szCs w:val="18"/>
              </w:rPr>
              <w:t>in caso di interventi su edifici di cui all’articolo 10, comma 1, del codice dei beni culturali, bandite a decorrere dal 1° gennaio 2025 il compenso è maggiorato del 10% sul complessivo di calcolo degli onorari e prima dell’applicazione della percentuale relativa alle spese e</w:t>
            </w:r>
            <w:r w:rsidR="00825D47">
              <w:rPr>
                <w:rFonts w:ascii="Titillium" w:hAnsi="Titillium"/>
                <w:i/>
                <w:iCs/>
                <w:sz w:val="18"/>
                <w:szCs w:val="18"/>
              </w:rPr>
              <w:t>d</w:t>
            </w:r>
            <w:r w:rsidRPr="00534170">
              <w:rPr>
                <w:rFonts w:ascii="Titillium" w:hAnsi="Titillium"/>
                <w:i/>
                <w:iCs/>
                <w:sz w:val="18"/>
                <w:szCs w:val="18"/>
              </w:rPr>
              <w:t xml:space="preserve"> oneri accessori, secondo quanto previsto dall’</w:t>
            </w:r>
            <w:r w:rsidR="00333902">
              <w:rPr>
                <w:rFonts w:ascii="Titillium" w:hAnsi="Titillium"/>
                <w:i/>
                <w:iCs/>
                <w:sz w:val="18"/>
                <w:szCs w:val="18"/>
              </w:rPr>
              <w:t>A</w:t>
            </w:r>
            <w:r w:rsidRPr="00534170">
              <w:rPr>
                <w:rFonts w:ascii="Titillium" w:hAnsi="Titillium"/>
                <w:i/>
                <w:iCs/>
                <w:sz w:val="18"/>
                <w:szCs w:val="18"/>
              </w:rPr>
              <w:t>llegato I.13, articolo 2, comma 5.</w:t>
            </w:r>
            <w:r w:rsidR="00501ECA">
              <w:t xml:space="preserve"> </w:t>
            </w:r>
            <w:r w:rsidR="00501ECA" w:rsidRPr="00CC1AE1">
              <w:rPr>
                <w:rFonts w:ascii="Titillium" w:hAnsi="Titillium"/>
                <w:i/>
                <w:iCs/>
                <w:sz w:val="18"/>
                <w:szCs w:val="18"/>
              </w:rPr>
              <w:t xml:space="preserve">La suddetta maggiorazione </w:t>
            </w:r>
            <w:r w:rsidR="00112007" w:rsidRPr="00CC1AE1">
              <w:rPr>
                <w:rFonts w:ascii="Titillium" w:hAnsi="Titillium"/>
                <w:i/>
                <w:iCs/>
                <w:sz w:val="18"/>
                <w:szCs w:val="18"/>
              </w:rPr>
              <w:t>da riconoscersi sul complessivo di calcolo degli onorari</w:t>
            </w:r>
            <w:r w:rsidR="00D423FD" w:rsidRPr="00CC1AE1">
              <w:rPr>
                <w:rFonts w:ascii="Titillium" w:hAnsi="Titillium"/>
                <w:i/>
                <w:iCs/>
                <w:sz w:val="18"/>
                <w:szCs w:val="18"/>
              </w:rPr>
              <w:t>,</w:t>
            </w:r>
            <w:r w:rsidR="00112007" w:rsidRPr="00CC1AE1">
              <w:rPr>
                <w:rFonts w:ascii="Titillium" w:hAnsi="Titillium"/>
                <w:i/>
                <w:iCs/>
                <w:sz w:val="18"/>
                <w:szCs w:val="18"/>
              </w:rPr>
              <w:t xml:space="preserve"> </w:t>
            </w:r>
            <w:r w:rsidR="00501ECA" w:rsidRPr="00CC1AE1">
              <w:rPr>
                <w:rFonts w:ascii="Titillium" w:hAnsi="Titillium"/>
                <w:i/>
                <w:iCs/>
                <w:sz w:val="18"/>
                <w:szCs w:val="18"/>
              </w:rPr>
              <w:t xml:space="preserve">si applica a </w:t>
            </w:r>
            <w:r w:rsidR="00501ECA" w:rsidRPr="008D1A0D">
              <w:rPr>
                <w:rFonts w:ascii="Titillium" w:hAnsi="Titillium"/>
                <w:i/>
                <w:iCs/>
                <w:sz w:val="18"/>
                <w:szCs w:val="18"/>
              </w:rPr>
              <w:t xml:space="preserve">tutte le </w:t>
            </w:r>
            <w:r w:rsidR="00501ECA" w:rsidRPr="000B0E59">
              <w:rPr>
                <w:rFonts w:ascii="Titillium" w:hAnsi="Titillium"/>
                <w:i/>
                <w:iCs/>
                <w:sz w:val="18"/>
                <w:szCs w:val="18"/>
              </w:rPr>
              <w:t xml:space="preserve">prestazioni </w:t>
            </w:r>
            <w:r w:rsidR="00CC1AE1" w:rsidRPr="000B0E59">
              <w:rPr>
                <w:rFonts w:ascii="Titillium" w:hAnsi="Titillium"/>
                <w:i/>
                <w:iCs/>
                <w:sz w:val="18"/>
                <w:szCs w:val="18"/>
              </w:rPr>
              <w:t xml:space="preserve">relative ai servizi di ingegneria ed architettura </w:t>
            </w:r>
            <w:r w:rsidR="00CC1AE1" w:rsidRPr="008D1A0D">
              <w:rPr>
                <w:rFonts w:ascii="Titillium" w:hAnsi="Titillium"/>
                <w:i/>
                <w:iCs/>
                <w:sz w:val="18"/>
                <w:szCs w:val="18"/>
              </w:rPr>
              <w:t>individuate da</w:t>
            </w:r>
            <w:r w:rsidR="00501ECA" w:rsidRPr="008D1A0D">
              <w:rPr>
                <w:rFonts w:ascii="Titillium" w:hAnsi="Titillium"/>
                <w:i/>
                <w:iCs/>
                <w:sz w:val="18"/>
                <w:szCs w:val="18"/>
              </w:rPr>
              <w:t xml:space="preserve">ll’Allegato I.13 incluse nell’importo a base di gara (ivi compresi gli elaborati specialistici </w:t>
            </w:r>
            <w:r w:rsidR="00CC1AE1" w:rsidRPr="008D1A0D">
              <w:rPr>
                <w:rFonts w:ascii="Titillium" w:hAnsi="Titillium"/>
                <w:i/>
                <w:iCs/>
                <w:sz w:val="18"/>
                <w:szCs w:val="18"/>
              </w:rPr>
              <w:t xml:space="preserve">che formano </w:t>
            </w:r>
            <w:r w:rsidR="00501ECA" w:rsidRPr="008D1A0D">
              <w:rPr>
                <w:rFonts w:ascii="Titillium" w:hAnsi="Titillium"/>
                <w:i/>
                <w:iCs/>
                <w:sz w:val="18"/>
                <w:szCs w:val="18"/>
              </w:rPr>
              <w:t>parte integrante della progettazione),</w:t>
            </w:r>
            <w:r w:rsidR="00501ECA" w:rsidRPr="00501ECA">
              <w:rPr>
                <w:rFonts w:ascii="Titillium" w:hAnsi="Titillium"/>
                <w:i/>
                <w:iCs/>
                <w:sz w:val="18"/>
                <w:szCs w:val="18"/>
              </w:rPr>
              <w:t xml:space="preserve"> </w:t>
            </w:r>
            <w:r w:rsidR="00501ECA" w:rsidRPr="00CC1AE1">
              <w:rPr>
                <w:rFonts w:ascii="Titillium" w:hAnsi="Titillium"/>
                <w:i/>
                <w:iCs/>
                <w:sz w:val="18"/>
                <w:szCs w:val="18"/>
              </w:rPr>
              <w:t xml:space="preserve">restando escluse </w:t>
            </w:r>
            <w:r w:rsidR="00112007" w:rsidRPr="00CC1AE1">
              <w:rPr>
                <w:rFonts w:ascii="Titillium" w:hAnsi="Titillium"/>
                <w:i/>
                <w:iCs/>
                <w:sz w:val="18"/>
                <w:szCs w:val="18"/>
              </w:rPr>
              <w:t xml:space="preserve">comunque le eventuali </w:t>
            </w:r>
            <w:r w:rsidR="00CC1AE1" w:rsidRPr="00CC1AE1">
              <w:rPr>
                <w:rFonts w:ascii="Titillium" w:hAnsi="Titillium"/>
                <w:i/>
                <w:iCs/>
                <w:sz w:val="18"/>
                <w:szCs w:val="18"/>
              </w:rPr>
              <w:t xml:space="preserve">ulteriori </w:t>
            </w:r>
            <w:r w:rsidR="00501ECA" w:rsidRPr="00CC1AE1">
              <w:rPr>
                <w:rFonts w:ascii="Titillium" w:hAnsi="Titillium"/>
                <w:i/>
                <w:iCs/>
                <w:sz w:val="18"/>
                <w:szCs w:val="18"/>
              </w:rPr>
              <w:t>prestazioni</w:t>
            </w:r>
            <w:r w:rsidR="00112007" w:rsidRPr="00CC1AE1">
              <w:rPr>
                <w:rFonts w:ascii="Titillium" w:hAnsi="Titillium"/>
                <w:i/>
                <w:iCs/>
                <w:sz w:val="18"/>
                <w:szCs w:val="18"/>
              </w:rPr>
              <w:t xml:space="preserve"> previste nel disciplinare e</w:t>
            </w:r>
            <w:r w:rsidR="00501ECA" w:rsidRPr="00CC1AE1">
              <w:rPr>
                <w:rFonts w:ascii="Titillium" w:hAnsi="Titillium"/>
                <w:i/>
                <w:iCs/>
                <w:sz w:val="18"/>
                <w:szCs w:val="18"/>
              </w:rPr>
              <w:t xml:space="preserve"> non riconducibili ai SIA</w:t>
            </w:r>
            <w:r w:rsidR="00112007" w:rsidRPr="00CC1AE1">
              <w:rPr>
                <w:rFonts w:ascii="Titillium" w:hAnsi="Titillium"/>
                <w:i/>
                <w:iCs/>
                <w:sz w:val="18"/>
                <w:szCs w:val="18"/>
              </w:rPr>
              <w:t>.</w:t>
            </w:r>
          </w:p>
          <w:p w14:paraId="2E5C8CB2" w14:textId="10FEA0DD" w:rsidR="00095FE7" w:rsidRPr="00BC0CE6" w:rsidRDefault="00CA3360" w:rsidP="00095FE7">
            <w:pPr>
              <w:rPr>
                <w:rFonts w:ascii="Titillium" w:hAnsi="Titillium"/>
                <w:i/>
                <w:iCs/>
                <w:sz w:val="18"/>
                <w:szCs w:val="18"/>
              </w:rPr>
            </w:pPr>
            <w:r>
              <w:rPr>
                <w:rFonts w:ascii="Titillium" w:hAnsi="Titillium"/>
                <w:i/>
                <w:iCs/>
                <w:sz w:val="18"/>
                <w:szCs w:val="18"/>
              </w:rPr>
              <w:t xml:space="preserve">La </w:t>
            </w:r>
            <w:r w:rsidR="00095FE7" w:rsidRPr="00534170">
              <w:rPr>
                <w:rFonts w:ascii="Titillium" w:hAnsi="Titillium"/>
                <w:i/>
                <w:iCs/>
                <w:sz w:val="18"/>
                <w:szCs w:val="18"/>
              </w:rPr>
              <w:t xml:space="preserve"> suddetta maggiorazione </w:t>
            </w:r>
            <w:r>
              <w:rPr>
                <w:rFonts w:ascii="Titillium" w:hAnsi="Titillium"/>
                <w:i/>
                <w:iCs/>
                <w:sz w:val="18"/>
                <w:szCs w:val="18"/>
              </w:rPr>
              <w:t xml:space="preserve">è applicabile anche alle </w:t>
            </w:r>
            <w:r w:rsidRPr="00CA3360">
              <w:rPr>
                <w:rFonts w:ascii="Titillium" w:hAnsi="Titillium"/>
                <w:i/>
                <w:iCs/>
                <w:sz w:val="18"/>
                <w:szCs w:val="18"/>
              </w:rPr>
              <w:t>procedure di affidamento della progettazione</w:t>
            </w:r>
            <w:r w:rsidRPr="00C739C3">
              <w:rPr>
                <w:rFonts w:ascii="Titillium" w:hAnsi="Titillium"/>
                <w:i/>
                <w:iCs/>
                <w:sz w:val="18"/>
                <w:szCs w:val="18"/>
              </w:rPr>
              <w:t>, per le quali pur non sussistendo  un obbligo di legge</w:t>
            </w:r>
            <w:r w:rsidR="00B827A0">
              <w:rPr>
                <w:rFonts w:ascii="Titillium" w:hAnsi="Titillium"/>
                <w:i/>
                <w:iCs/>
                <w:sz w:val="18"/>
                <w:szCs w:val="18"/>
              </w:rPr>
              <w:t xml:space="preserve">, </w:t>
            </w:r>
            <w:r w:rsidRPr="00C739C3">
              <w:rPr>
                <w:rFonts w:ascii="Titillium" w:hAnsi="Titillium"/>
                <w:i/>
                <w:iCs/>
                <w:sz w:val="18"/>
                <w:szCs w:val="18"/>
              </w:rPr>
              <w:t xml:space="preserve"> </w:t>
            </w:r>
            <w:r w:rsidRPr="00DF35DD">
              <w:rPr>
                <w:rFonts w:ascii="Titillium" w:hAnsi="Titillium"/>
                <w:i/>
                <w:iCs/>
                <w:sz w:val="18"/>
                <w:szCs w:val="18"/>
              </w:rPr>
              <w:t>è comunque previst</w:t>
            </w:r>
            <w:r w:rsidR="00B827A0" w:rsidRPr="00DF35DD">
              <w:rPr>
                <w:rFonts w:ascii="Titillium" w:hAnsi="Titillium"/>
                <w:i/>
                <w:iCs/>
                <w:sz w:val="18"/>
                <w:szCs w:val="18"/>
              </w:rPr>
              <w:t xml:space="preserve">o </w:t>
            </w:r>
            <w:r w:rsidRPr="00DF35DD">
              <w:rPr>
                <w:rFonts w:ascii="Titillium" w:hAnsi="Titillium"/>
                <w:i/>
                <w:iCs/>
                <w:sz w:val="18"/>
                <w:szCs w:val="18"/>
              </w:rPr>
              <w:t>nel disciplinare l</w:t>
            </w:r>
            <w:r w:rsidR="00B827A0" w:rsidRPr="00DF35DD">
              <w:rPr>
                <w:rFonts w:ascii="Titillium" w:hAnsi="Titillium"/>
                <w:i/>
                <w:iCs/>
                <w:sz w:val="18"/>
                <w:szCs w:val="18"/>
              </w:rPr>
              <w:t xml:space="preserve">’obbligo </w:t>
            </w:r>
            <w:r w:rsidRPr="00DF35DD">
              <w:rPr>
                <w:rFonts w:ascii="Titillium" w:hAnsi="Titillium"/>
                <w:i/>
                <w:iCs/>
                <w:sz w:val="18"/>
                <w:szCs w:val="18"/>
              </w:rPr>
              <w:t xml:space="preserve"> </w:t>
            </w:r>
            <w:r w:rsidR="00B827A0" w:rsidRPr="00DF35DD">
              <w:rPr>
                <w:rFonts w:ascii="Titillium" w:hAnsi="Titillium"/>
                <w:i/>
                <w:iCs/>
                <w:sz w:val="18"/>
                <w:szCs w:val="18"/>
              </w:rPr>
              <w:t xml:space="preserve">di </w:t>
            </w:r>
            <w:r w:rsidRPr="00DF35DD">
              <w:rPr>
                <w:rFonts w:ascii="Titillium" w:hAnsi="Titillium"/>
                <w:i/>
                <w:iCs/>
                <w:sz w:val="18"/>
                <w:szCs w:val="18"/>
              </w:rPr>
              <w:t>adozione  di strumenti di gestione informativa delle costruzioni</w:t>
            </w:r>
            <w:r w:rsidR="00B827A0" w:rsidRPr="00DF35DD">
              <w:rPr>
                <w:rFonts w:ascii="Titillium" w:hAnsi="Titillium"/>
                <w:i/>
                <w:iCs/>
                <w:sz w:val="18"/>
                <w:szCs w:val="18"/>
              </w:rPr>
              <w:t>,</w:t>
            </w:r>
            <w:r w:rsidR="00B827A0">
              <w:rPr>
                <w:rFonts w:ascii="Titillium" w:hAnsi="Titillium"/>
                <w:b/>
                <w:bCs/>
                <w:i/>
                <w:iCs/>
                <w:sz w:val="18"/>
                <w:szCs w:val="18"/>
              </w:rPr>
              <w:t xml:space="preserve"> </w:t>
            </w:r>
            <w:r>
              <w:rPr>
                <w:rFonts w:ascii="Titillium" w:hAnsi="Titillium"/>
                <w:i/>
                <w:iCs/>
                <w:sz w:val="18"/>
                <w:szCs w:val="18"/>
              </w:rPr>
              <w:t xml:space="preserve">stante </w:t>
            </w:r>
            <w:r w:rsidR="00B827A0">
              <w:rPr>
                <w:rFonts w:ascii="Titillium" w:hAnsi="Titillium"/>
                <w:i/>
                <w:iCs/>
                <w:sz w:val="18"/>
                <w:szCs w:val="18"/>
              </w:rPr>
              <w:t xml:space="preserve"> </w:t>
            </w:r>
            <w:r>
              <w:rPr>
                <w:rFonts w:ascii="Titillium" w:hAnsi="Titillium"/>
                <w:i/>
                <w:iCs/>
                <w:sz w:val="18"/>
                <w:szCs w:val="18"/>
              </w:rPr>
              <w:t>l’</w:t>
            </w:r>
            <w:r w:rsidR="00095FE7" w:rsidRPr="00534170">
              <w:rPr>
                <w:rFonts w:ascii="Titillium" w:hAnsi="Titillium"/>
                <w:i/>
                <w:iCs/>
                <w:sz w:val="18"/>
                <w:szCs w:val="18"/>
              </w:rPr>
              <w:t xml:space="preserve">espressa previsione della nota di lettura 5) di cui all’Allegato 1.13 – come modificata dal correttivo – che in sostituzione della precedente espressione “appalti per cui è obbligatoria la metodologia BIM” attualmente prevede “appalti per i quali si adottano i metodi e strumenti di gestione informativa digitale delle costruzioni” </w:t>
            </w:r>
          </w:p>
        </w:tc>
      </w:tr>
    </w:tbl>
    <w:p w14:paraId="5A3B1A37" w14:textId="2184DE81" w:rsidR="003717C0" w:rsidRDefault="003717C0">
      <w:pPr>
        <w:rPr>
          <w:rFonts w:ascii="Titillium" w:hAnsi="Titillium"/>
          <w:sz w:val="18"/>
          <w:szCs w:val="18"/>
        </w:rPr>
      </w:pPr>
      <w:r w:rsidRPr="006809AA">
        <w:rPr>
          <w:rFonts w:ascii="Titillium" w:hAnsi="Titillium"/>
          <w:sz w:val="18"/>
          <w:szCs w:val="18"/>
        </w:rPr>
        <w:t xml:space="preserve"> </w:t>
      </w:r>
    </w:p>
    <w:p w14:paraId="5940A643" w14:textId="54DE2645" w:rsidR="006842EE" w:rsidRDefault="008F2625">
      <w:pPr>
        <w:rPr>
          <w:rFonts w:ascii="Titillium" w:hAnsi="Titillium"/>
          <w:sz w:val="18"/>
          <w:szCs w:val="18"/>
        </w:rPr>
      </w:pPr>
      <w:r w:rsidRPr="00B828EC">
        <w:rPr>
          <w:rFonts w:ascii="Titillium" w:hAnsi="Titillium"/>
          <w:sz w:val="18"/>
          <w:szCs w:val="18"/>
        </w:rPr>
        <w:t xml:space="preserve">Nel corrispettivo del servizio </w:t>
      </w:r>
      <w:r w:rsidR="006A602A">
        <w:rPr>
          <w:rFonts w:ascii="Titillium" w:hAnsi="Titillium"/>
          <w:sz w:val="18"/>
          <w:szCs w:val="18"/>
        </w:rPr>
        <w:t>è</w:t>
      </w:r>
      <w:r w:rsidRPr="00B828EC">
        <w:rPr>
          <w:rFonts w:ascii="Titillium" w:hAnsi="Titillium"/>
          <w:sz w:val="18"/>
          <w:szCs w:val="18"/>
        </w:rPr>
        <w:t xml:space="preserve"> compreso anche l’onorario per l’attività</w:t>
      </w:r>
      <w:r>
        <w:rPr>
          <w:rFonts w:ascii="Titillium" w:hAnsi="Titillium"/>
          <w:sz w:val="18"/>
          <w:szCs w:val="18"/>
        </w:rPr>
        <w:t xml:space="preserve"> necessaria alla predisposizione degli elaborati connessi all’ottenimento di tutti i </w:t>
      </w:r>
      <w:r w:rsidR="006A602A">
        <w:rPr>
          <w:rFonts w:ascii="Titillium" w:hAnsi="Titillium"/>
          <w:sz w:val="18"/>
          <w:szCs w:val="18"/>
        </w:rPr>
        <w:t xml:space="preserve">necessari </w:t>
      </w:r>
      <w:r>
        <w:rPr>
          <w:rFonts w:ascii="Titillium" w:hAnsi="Titillium"/>
          <w:sz w:val="18"/>
          <w:szCs w:val="18"/>
        </w:rPr>
        <w:t>pareri, nulla osta e autorizzazioni.</w:t>
      </w:r>
    </w:p>
    <w:p w14:paraId="00EBF30D" w14:textId="77777777" w:rsidR="00F12E48" w:rsidRDefault="00F12E48">
      <w:pPr>
        <w:rPr>
          <w:rFonts w:ascii="Titillium" w:hAnsi="Titillium"/>
          <w:sz w:val="18"/>
          <w:szCs w:val="18"/>
        </w:rPr>
      </w:pPr>
    </w:p>
    <w:tbl>
      <w:tblPr>
        <w:tblStyle w:val="Grigliatabella"/>
        <w:tblW w:w="0" w:type="auto"/>
        <w:tblLook w:val="04A0" w:firstRow="1" w:lastRow="0" w:firstColumn="1" w:lastColumn="0" w:noHBand="0" w:noVBand="1"/>
      </w:tblPr>
      <w:tblGrid>
        <w:gridCol w:w="9214"/>
      </w:tblGrid>
      <w:tr w:rsidR="00F12E48" w14:paraId="28CD39F2" w14:textId="77777777" w:rsidTr="00F12E48">
        <w:tc>
          <w:tcPr>
            <w:tcW w:w="9214" w:type="dxa"/>
          </w:tcPr>
          <w:p w14:paraId="72EE96B2" w14:textId="4A535C56" w:rsidR="00F12E48" w:rsidRPr="00FE0FE8" w:rsidRDefault="00F12E48" w:rsidP="00F12E48">
            <w:pPr>
              <w:rPr>
                <w:rFonts w:ascii="Titillium" w:hAnsi="Titillium"/>
                <w:i/>
                <w:iCs/>
                <w:sz w:val="18"/>
                <w:szCs w:val="18"/>
              </w:rPr>
            </w:pPr>
            <w:r w:rsidRPr="00534170">
              <w:rPr>
                <w:rFonts w:ascii="Titillium" w:hAnsi="Titillium"/>
                <w:i/>
                <w:iCs/>
                <w:sz w:val="18"/>
                <w:szCs w:val="18"/>
              </w:rPr>
              <w:t>N.B.</w:t>
            </w:r>
            <w:r w:rsidR="00DC4E16">
              <w:rPr>
                <w:rFonts w:ascii="Titillium" w:hAnsi="Titillium"/>
                <w:i/>
                <w:iCs/>
                <w:sz w:val="18"/>
                <w:szCs w:val="18"/>
              </w:rPr>
              <w:t xml:space="preserve"> </w:t>
            </w:r>
            <w:r w:rsidR="00DC4E16" w:rsidRPr="00FE0FE8">
              <w:rPr>
                <w:rFonts w:ascii="Titillium" w:hAnsi="Titillium"/>
                <w:i/>
                <w:iCs/>
                <w:sz w:val="18"/>
                <w:szCs w:val="18"/>
              </w:rPr>
              <w:t>N</w:t>
            </w:r>
            <w:r w:rsidRPr="00FE0FE8">
              <w:rPr>
                <w:rFonts w:ascii="Titillium" w:hAnsi="Titillium"/>
                <w:i/>
                <w:iCs/>
                <w:sz w:val="18"/>
                <w:szCs w:val="18"/>
              </w:rPr>
              <w:t xml:space="preserve">ell’importo dell’appalto vanno considerate, ove previste, anche le prestazioni </w:t>
            </w:r>
            <w:r w:rsidR="00DE3CDF" w:rsidRPr="00FE0FE8">
              <w:rPr>
                <w:rFonts w:ascii="Titillium" w:hAnsi="Titillium"/>
                <w:i/>
                <w:iCs/>
                <w:sz w:val="18"/>
                <w:szCs w:val="18"/>
              </w:rPr>
              <w:t xml:space="preserve">complementari non ricomprese nelle tavole allegate al decreto ministeriale 17.6.2016 di cui </w:t>
            </w:r>
            <w:r w:rsidRPr="00FE0FE8">
              <w:rPr>
                <w:rFonts w:ascii="Titillium" w:hAnsi="Titillium"/>
                <w:i/>
                <w:iCs/>
                <w:sz w:val="18"/>
                <w:szCs w:val="18"/>
              </w:rPr>
              <w:t xml:space="preserve">all’articolo 6 del </w:t>
            </w:r>
            <w:r w:rsidR="00DE3CDF" w:rsidRPr="00FE0FE8">
              <w:rPr>
                <w:rFonts w:ascii="Titillium" w:hAnsi="Titillium"/>
                <w:i/>
                <w:iCs/>
                <w:sz w:val="18"/>
                <w:szCs w:val="18"/>
              </w:rPr>
              <w:t>medesimo decreto</w:t>
            </w:r>
            <w:r w:rsidR="00DE3CDF">
              <w:rPr>
                <w:rFonts w:ascii="Titillium" w:hAnsi="Titillium"/>
                <w:i/>
                <w:iCs/>
                <w:sz w:val="18"/>
                <w:szCs w:val="18"/>
              </w:rPr>
              <w:t xml:space="preserve"> </w:t>
            </w:r>
            <w:r w:rsidRPr="00534170">
              <w:rPr>
                <w:rFonts w:ascii="Titillium" w:hAnsi="Titillium"/>
                <w:i/>
                <w:iCs/>
                <w:sz w:val="18"/>
                <w:szCs w:val="18"/>
              </w:rPr>
              <w:t>espressamente richiamato dall’</w:t>
            </w:r>
            <w:r w:rsidR="00DE3CDF">
              <w:rPr>
                <w:rFonts w:ascii="Titillium" w:hAnsi="Titillium"/>
                <w:i/>
                <w:iCs/>
                <w:sz w:val="18"/>
                <w:szCs w:val="18"/>
              </w:rPr>
              <w:t>A</w:t>
            </w:r>
            <w:r w:rsidRPr="00534170">
              <w:rPr>
                <w:rFonts w:ascii="Titillium" w:hAnsi="Titillium"/>
                <w:i/>
                <w:iCs/>
                <w:sz w:val="18"/>
                <w:szCs w:val="18"/>
              </w:rPr>
              <w:t xml:space="preserve">llegato </w:t>
            </w:r>
            <w:r w:rsidR="00DE3CDF">
              <w:rPr>
                <w:rFonts w:ascii="Titillium" w:hAnsi="Titillium"/>
                <w:i/>
                <w:iCs/>
                <w:sz w:val="18"/>
                <w:szCs w:val="18"/>
              </w:rPr>
              <w:t>I</w:t>
            </w:r>
            <w:r w:rsidRPr="00534170">
              <w:rPr>
                <w:rFonts w:ascii="Titillium" w:hAnsi="Titillium"/>
                <w:i/>
                <w:iCs/>
                <w:sz w:val="18"/>
                <w:szCs w:val="18"/>
              </w:rPr>
              <w:t xml:space="preserve">.13, determinandone il corrispettivo secondo </w:t>
            </w:r>
            <w:r w:rsidRPr="00FE0FE8">
              <w:rPr>
                <w:rFonts w:ascii="Titillium" w:hAnsi="Titillium"/>
                <w:i/>
                <w:iCs/>
                <w:sz w:val="18"/>
                <w:szCs w:val="18"/>
              </w:rPr>
              <w:t>i criteri indicati</w:t>
            </w:r>
            <w:r w:rsidR="00DE3CDF" w:rsidRPr="00FE0FE8">
              <w:rPr>
                <w:rFonts w:ascii="Titillium" w:hAnsi="Titillium"/>
                <w:i/>
                <w:iCs/>
                <w:sz w:val="18"/>
                <w:szCs w:val="18"/>
              </w:rPr>
              <w:t xml:space="preserve"> nel richiamato articolo</w:t>
            </w:r>
            <w:r w:rsidRPr="00FE0FE8">
              <w:rPr>
                <w:rFonts w:ascii="Titillium" w:hAnsi="Titillium"/>
                <w:i/>
                <w:iCs/>
                <w:sz w:val="18"/>
                <w:szCs w:val="18"/>
              </w:rPr>
              <w:t>.</w:t>
            </w:r>
          </w:p>
          <w:p w14:paraId="1373AD66" w14:textId="1B6C9415" w:rsidR="00DE3CDF" w:rsidRPr="00534170" w:rsidRDefault="00DE3CDF" w:rsidP="00F12E48">
            <w:pPr>
              <w:rPr>
                <w:rFonts w:ascii="Titillium" w:hAnsi="Titillium"/>
                <w:i/>
                <w:iCs/>
                <w:sz w:val="18"/>
                <w:szCs w:val="18"/>
              </w:rPr>
            </w:pPr>
            <w:r w:rsidRPr="00FE0FE8">
              <w:rPr>
                <w:rFonts w:ascii="Titillium" w:hAnsi="Titillium"/>
                <w:i/>
                <w:iCs/>
                <w:sz w:val="18"/>
                <w:szCs w:val="18"/>
              </w:rPr>
              <w:t xml:space="preserve">Nel caso in cui </w:t>
            </w:r>
            <w:r w:rsidR="006E23C3" w:rsidRPr="00FE0FE8">
              <w:rPr>
                <w:rFonts w:ascii="Titillium" w:hAnsi="Titillium"/>
                <w:i/>
                <w:iCs/>
                <w:sz w:val="18"/>
                <w:szCs w:val="18"/>
              </w:rPr>
              <w:t>siano previste a</w:t>
            </w:r>
            <w:r w:rsidRPr="00FE0FE8">
              <w:rPr>
                <w:rFonts w:ascii="Titillium" w:hAnsi="Titillium"/>
                <w:i/>
                <w:iCs/>
                <w:sz w:val="18"/>
                <w:szCs w:val="18"/>
              </w:rPr>
              <w:t xml:space="preserve">nche prestazioni di natura diversa dai servizi tecnici di ingegneria ed architettura </w:t>
            </w:r>
            <w:r w:rsidR="006E23C3" w:rsidRPr="00FE0FE8">
              <w:rPr>
                <w:rFonts w:ascii="Titillium" w:hAnsi="Titillium"/>
                <w:i/>
                <w:iCs/>
                <w:sz w:val="18"/>
                <w:szCs w:val="18"/>
              </w:rPr>
              <w:t>il relativo corrispettivo è determinato in base ai prezziari vigenti riferibili alle specifiche prestazioni</w:t>
            </w:r>
            <w:r w:rsidR="006E23C3" w:rsidRPr="00874BCB">
              <w:rPr>
                <w:rFonts w:ascii="Titillium" w:hAnsi="Titillium"/>
                <w:i/>
                <w:iCs/>
                <w:sz w:val="18"/>
                <w:szCs w:val="18"/>
              </w:rPr>
              <w:t>.</w:t>
            </w:r>
            <w:r w:rsidR="000B6A7C" w:rsidRPr="00874BCB">
              <w:t xml:space="preserve"> </w:t>
            </w:r>
            <w:r w:rsidR="000B6A7C" w:rsidRPr="00874BCB">
              <w:rPr>
                <w:rFonts w:ascii="Titillium" w:hAnsi="Titillium"/>
                <w:i/>
                <w:iCs/>
                <w:sz w:val="18"/>
                <w:szCs w:val="18"/>
              </w:rPr>
              <w:t>In</w:t>
            </w:r>
            <w:r w:rsidR="000B6A7C" w:rsidRPr="00874BCB">
              <w:t xml:space="preserve"> </w:t>
            </w:r>
            <w:r w:rsidR="000B6A7C" w:rsidRPr="00874BCB">
              <w:rPr>
                <w:rFonts w:ascii="Titillium" w:hAnsi="Titillium"/>
                <w:i/>
                <w:iCs/>
                <w:sz w:val="18"/>
                <w:szCs w:val="18"/>
              </w:rPr>
              <w:t>assenza di prezzari vigenti, va indicata la metodologia di calcolo per la definizione del corrispettivo.</w:t>
            </w:r>
            <w:r w:rsidR="006E23C3">
              <w:rPr>
                <w:rFonts w:ascii="Titillium" w:hAnsi="Titillium"/>
                <w:i/>
                <w:iCs/>
                <w:sz w:val="18"/>
                <w:szCs w:val="18"/>
              </w:rPr>
              <w:t xml:space="preserve"> </w:t>
            </w:r>
          </w:p>
          <w:p w14:paraId="08B1D1E0" w14:textId="42717E1E" w:rsidR="00F12E48" w:rsidRPr="00C74BD2" w:rsidRDefault="00F12E48">
            <w:pPr>
              <w:rPr>
                <w:rFonts w:ascii="Titillium" w:hAnsi="Titillium"/>
                <w:i/>
                <w:iCs/>
                <w:sz w:val="18"/>
                <w:szCs w:val="18"/>
              </w:rPr>
            </w:pPr>
            <w:r w:rsidRPr="00534170">
              <w:rPr>
                <w:rFonts w:ascii="Titillium" w:hAnsi="Titillium"/>
                <w:i/>
                <w:iCs/>
                <w:sz w:val="18"/>
                <w:szCs w:val="18"/>
              </w:rPr>
              <w:t>Al fine di garantire il principio dell’equo compenso ed a salvaguardia della qualità della prestazione non possono essere richieste prestazioni gratuite né ulteriori rispetto a quelle considerate ai fini della determinazione dell’importo a base di gara.</w:t>
            </w:r>
          </w:p>
        </w:tc>
      </w:tr>
    </w:tbl>
    <w:p w14:paraId="0DEE03C3" w14:textId="77777777" w:rsidR="00967D8B" w:rsidRDefault="00967D8B">
      <w:pPr>
        <w:rPr>
          <w:rFonts w:ascii="Titillium" w:hAnsi="Titillium"/>
          <w:sz w:val="18"/>
          <w:szCs w:val="18"/>
        </w:rPr>
      </w:pPr>
    </w:p>
    <w:p w14:paraId="0480B2DD" w14:textId="7ED106AF" w:rsidR="006842EE" w:rsidRDefault="008F2625" w:rsidP="00F12E48">
      <w:pPr>
        <w:rPr>
          <w:rFonts w:ascii="Titillium" w:hAnsi="Titillium"/>
          <w:sz w:val="18"/>
          <w:szCs w:val="18"/>
        </w:rPr>
      </w:pPr>
      <w:bookmarkStart w:id="197" w:name="_Hlk198829380"/>
      <w:r w:rsidRPr="00534170">
        <w:rPr>
          <w:rFonts w:ascii="Titillium" w:hAnsi="Titillium"/>
          <w:sz w:val="18"/>
          <w:szCs w:val="18"/>
        </w:rPr>
        <w:t>In considerazione della natura intellettuale del servizio</w:t>
      </w:r>
      <w:r w:rsidR="00DC4E16">
        <w:rPr>
          <w:rFonts w:ascii="Titillium" w:hAnsi="Titillium"/>
          <w:sz w:val="18"/>
          <w:szCs w:val="18"/>
        </w:rPr>
        <w:t xml:space="preserve"> oggetto di affidamento</w:t>
      </w:r>
      <w:r w:rsidRPr="00534170">
        <w:rPr>
          <w:rFonts w:ascii="Titillium" w:hAnsi="Titillium"/>
          <w:sz w:val="18"/>
          <w:szCs w:val="18"/>
        </w:rPr>
        <w:t>, non ricorrono rischi di interferenze e, pertanto, non sussiste l’obbligo</w:t>
      </w:r>
      <w:r w:rsidR="00DC4E16">
        <w:rPr>
          <w:rFonts w:ascii="Titillium" w:hAnsi="Titillium"/>
          <w:sz w:val="18"/>
          <w:szCs w:val="18"/>
        </w:rPr>
        <w:t xml:space="preserve"> </w:t>
      </w:r>
      <w:r w:rsidRPr="00534170">
        <w:rPr>
          <w:rFonts w:ascii="Titillium" w:hAnsi="Titillium"/>
          <w:sz w:val="18"/>
          <w:szCs w:val="18"/>
        </w:rPr>
        <w:t>di redazione del DUVRI, ai sensi dell’articolo 26, comma 3-bis, del decreto legislativo 81/2008.</w:t>
      </w:r>
      <w:r w:rsidR="00F12E48" w:rsidRPr="00534170">
        <w:t xml:space="preserve"> </w:t>
      </w:r>
      <w:r w:rsidR="006A602A">
        <w:rPr>
          <w:rFonts w:ascii="Titillium" w:hAnsi="Titillium"/>
          <w:sz w:val="18"/>
          <w:szCs w:val="18"/>
        </w:rPr>
        <w:t>I costi</w:t>
      </w:r>
      <w:r w:rsidR="00F12E48" w:rsidRPr="00534170">
        <w:rPr>
          <w:rFonts w:ascii="Titillium" w:hAnsi="Titillium"/>
          <w:sz w:val="18"/>
          <w:szCs w:val="18"/>
        </w:rPr>
        <w:t xml:space="preserve"> della sicurezza </w:t>
      </w:r>
      <w:r w:rsidR="006A602A">
        <w:rPr>
          <w:rFonts w:ascii="Titillium" w:hAnsi="Titillium"/>
          <w:sz w:val="18"/>
          <w:szCs w:val="18"/>
        </w:rPr>
        <w:t xml:space="preserve">da interferenza </w:t>
      </w:r>
      <w:r w:rsidR="00F12E48" w:rsidRPr="00534170">
        <w:rPr>
          <w:rFonts w:ascii="Titillium" w:hAnsi="Titillium"/>
          <w:sz w:val="18"/>
          <w:szCs w:val="18"/>
        </w:rPr>
        <w:t xml:space="preserve">relativi al servizio da affidare sono pari a </w:t>
      </w:r>
      <w:r w:rsidR="006A602A" w:rsidRPr="006A602A">
        <w:rPr>
          <w:rFonts w:ascii="Titillium" w:hAnsi="Titillium"/>
          <w:sz w:val="18"/>
          <w:szCs w:val="18"/>
        </w:rPr>
        <w:t>€</w:t>
      </w:r>
      <w:r w:rsidR="006A602A">
        <w:rPr>
          <w:rFonts w:ascii="Titillium" w:hAnsi="Titillium"/>
          <w:sz w:val="18"/>
          <w:szCs w:val="18"/>
        </w:rPr>
        <w:t xml:space="preserve"> </w:t>
      </w:r>
      <w:r w:rsidR="00F12E48" w:rsidRPr="00534170">
        <w:rPr>
          <w:rFonts w:ascii="Titillium" w:hAnsi="Titillium"/>
          <w:sz w:val="18"/>
          <w:szCs w:val="18"/>
        </w:rPr>
        <w:t>0,00 € (euro zero/00). I costi della manodopera sono pari ad € 0,00</w:t>
      </w:r>
      <w:r w:rsidR="006A602A" w:rsidRPr="006A602A">
        <w:t xml:space="preserve"> </w:t>
      </w:r>
      <w:r w:rsidR="006A602A" w:rsidRPr="006A602A">
        <w:rPr>
          <w:rFonts w:ascii="Titillium" w:hAnsi="Titillium"/>
          <w:sz w:val="18"/>
          <w:szCs w:val="18"/>
        </w:rPr>
        <w:t>(euro zero/00).</w:t>
      </w:r>
    </w:p>
    <w:p w14:paraId="7ABDC207" w14:textId="77777777" w:rsidR="00AA1FB6" w:rsidRDefault="00AA1FB6" w:rsidP="00F12E48">
      <w:pPr>
        <w:rPr>
          <w:rFonts w:ascii="Titillium" w:hAnsi="Titillium"/>
          <w:sz w:val="18"/>
          <w:szCs w:val="18"/>
        </w:rPr>
      </w:pPr>
    </w:p>
    <w:tbl>
      <w:tblPr>
        <w:tblStyle w:val="Grigliatabella"/>
        <w:tblW w:w="0" w:type="auto"/>
        <w:tblLook w:val="04A0" w:firstRow="1" w:lastRow="0" w:firstColumn="1" w:lastColumn="0" w:noHBand="0" w:noVBand="1"/>
      </w:tblPr>
      <w:tblGrid>
        <w:gridCol w:w="9214"/>
      </w:tblGrid>
      <w:tr w:rsidR="00AA1FB6" w14:paraId="3C637E12" w14:textId="77777777" w:rsidTr="00AA1FB6">
        <w:tc>
          <w:tcPr>
            <w:tcW w:w="9214" w:type="dxa"/>
          </w:tcPr>
          <w:p w14:paraId="1A334825" w14:textId="711D8ED3" w:rsidR="00AA1FB6" w:rsidRPr="00AA1FB6" w:rsidRDefault="00AA1FB6" w:rsidP="00F12E48">
            <w:pPr>
              <w:rPr>
                <w:rFonts w:ascii="Titillium" w:hAnsi="Titillium"/>
                <w:i/>
                <w:iCs/>
                <w:sz w:val="18"/>
                <w:szCs w:val="18"/>
              </w:rPr>
            </w:pPr>
            <w:r w:rsidRPr="00672430">
              <w:rPr>
                <w:rFonts w:ascii="Titillium" w:hAnsi="Titillium"/>
                <w:i/>
                <w:iCs/>
                <w:sz w:val="18"/>
                <w:szCs w:val="18"/>
              </w:rPr>
              <w:t xml:space="preserve">N.B. Nel caso in cui l’affidamento comprenda anche prestazioni di natura diversa </w:t>
            </w:r>
            <w:r w:rsidRPr="000B0E59">
              <w:rPr>
                <w:rFonts w:ascii="Titillium" w:hAnsi="Titillium"/>
                <w:i/>
                <w:iCs/>
                <w:sz w:val="18"/>
                <w:szCs w:val="18"/>
              </w:rPr>
              <w:t>dai servizi di ingegneria  ed architettura</w:t>
            </w:r>
            <w:r w:rsidR="00CC1AE1" w:rsidRPr="000B0E59">
              <w:rPr>
                <w:rFonts w:ascii="Titillium" w:hAnsi="Titillium"/>
                <w:i/>
                <w:iCs/>
                <w:sz w:val="18"/>
                <w:szCs w:val="18"/>
              </w:rPr>
              <w:t xml:space="preserve"> </w:t>
            </w:r>
            <w:r w:rsidRPr="000B0E59">
              <w:rPr>
                <w:rFonts w:ascii="Titillium" w:hAnsi="Titillium"/>
                <w:i/>
                <w:iCs/>
                <w:sz w:val="18"/>
                <w:szCs w:val="18"/>
              </w:rPr>
              <w:t>in conformità a quanto previsto dall’art. 41 comma 14 del Codice, per tali prestazioni</w:t>
            </w:r>
            <w:r w:rsidR="00672430" w:rsidRPr="000B0E59">
              <w:rPr>
                <w:rFonts w:ascii="Titillium" w:hAnsi="Titillium"/>
                <w:i/>
                <w:iCs/>
                <w:sz w:val="18"/>
                <w:szCs w:val="18"/>
              </w:rPr>
              <w:t xml:space="preserve"> di natura non intellettuale</w:t>
            </w:r>
            <w:r w:rsidRPr="000B0E59">
              <w:rPr>
                <w:rFonts w:ascii="Titillium" w:hAnsi="Titillium"/>
                <w:i/>
                <w:iCs/>
                <w:sz w:val="18"/>
                <w:szCs w:val="18"/>
              </w:rPr>
              <w:t>,</w:t>
            </w:r>
            <w:r w:rsidRPr="00672430">
              <w:rPr>
                <w:rFonts w:ascii="Titillium" w:hAnsi="Titillium"/>
                <w:i/>
                <w:iCs/>
                <w:sz w:val="18"/>
                <w:szCs w:val="18"/>
              </w:rPr>
              <w:t xml:space="preserve"> è necessario indicare i relativi costi della manodopera e della sicurezza non soggetti a ribasso oltre al CCNL applicabile al personale dipendente impiegato nell'attività in questione, ai sensi dell’art. 11 comma del Codice ed in conformità al comma 1 del medesimo articolo e all'</w:t>
            </w:r>
            <w:r w:rsidR="00613827">
              <w:rPr>
                <w:rFonts w:ascii="Titillium" w:hAnsi="Titillium"/>
                <w:i/>
                <w:iCs/>
                <w:sz w:val="18"/>
                <w:szCs w:val="18"/>
              </w:rPr>
              <w:t>A</w:t>
            </w:r>
            <w:r w:rsidRPr="00672430">
              <w:rPr>
                <w:rFonts w:ascii="Titillium" w:hAnsi="Titillium"/>
                <w:i/>
                <w:iCs/>
                <w:sz w:val="18"/>
                <w:szCs w:val="18"/>
              </w:rPr>
              <w:t>llegato I.01.</w:t>
            </w:r>
            <w:r w:rsidR="0065246E">
              <w:rPr>
                <w:rFonts w:ascii="Titillium" w:hAnsi="Titillium"/>
                <w:i/>
                <w:iCs/>
                <w:sz w:val="18"/>
                <w:szCs w:val="18"/>
              </w:rPr>
              <w:t xml:space="preserve"> </w:t>
            </w:r>
          </w:p>
        </w:tc>
      </w:tr>
    </w:tbl>
    <w:p w14:paraId="3AC19972" w14:textId="77777777" w:rsidR="00AA1FB6" w:rsidRDefault="00AA1FB6" w:rsidP="00F12E48">
      <w:pPr>
        <w:rPr>
          <w:rFonts w:ascii="Titillium" w:hAnsi="Titillium"/>
          <w:sz w:val="18"/>
          <w:szCs w:val="18"/>
        </w:rPr>
      </w:pPr>
    </w:p>
    <w:p w14:paraId="49AB4933" w14:textId="0844AE5D" w:rsidR="00087FBC" w:rsidRDefault="00087FBC" w:rsidP="00F12E48">
      <w:pPr>
        <w:rPr>
          <w:rFonts w:ascii="Titillium" w:hAnsi="Titillium"/>
          <w:sz w:val="18"/>
          <w:szCs w:val="18"/>
        </w:rPr>
      </w:pPr>
      <w:r w:rsidRPr="00087FBC">
        <w:rPr>
          <w:rFonts w:ascii="Titillium" w:hAnsi="Titillium"/>
          <w:sz w:val="18"/>
          <w:szCs w:val="18"/>
        </w:rPr>
        <w:t>L’appalto è finanziato con … [</w:t>
      </w:r>
      <w:r w:rsidRPr="00DC4E16">
        <w:rPr>
          <w:rFonts w:ascii="Titillium" w:hAnsi="Titillium"/>
          <w:i/>
          <w:iCs/>
          <w:sz w:val="18"/>
          <w:szCs w:val="18"/>
        </w:rPr>
        <w:t>descrivere le fonti di finanziamento</w:t>
      </w:r>
      <w:r w:rsidRPr="00087FBC">
        <w:rPr>
          <w:rFonts w:ascii="Titillium" w:hAnsi="Titillium"/>
          <w:sz w:val="18"/>
          <w:szCs w:val="18"/>
        </w:rPr>
        <w:t>]. La corresponsione del compenso non è subordinata all’ottenimento del finanziamento dell’opera progettata.</w:t>
      </w:r>
    </w:p>
    <w:bookmarkEnd w:id="197"/>
    <w:p w14:paraId="7D970474" w14:textId="77777777" w:rsidR="00F12E48" w:rsidRDefault="00F12E48">
      <w:pPr>
        <w:rPr>
          <w:rFonts w:ascii="Titillium" w:hAnsi="Titillium"/>
          <w:sz w:val="18"/>
          <w:szCs w:val="18"/>
        </w:rPr>
      </w:pPr>
    </w:p>
    <w:p w14:paraId="234D6DE0" w14:textId="034E8619" w:rsidR="006842EE" w:rsidRPr="00721E36" w:rsidRDefault="008F2625">
      <w:pPr>
        <w:rPr>
          <w:rFonts w:ascii="Titillium" w:hAnsi="Titillium"/>
          <w:sz w:val="18"/>
          <w:szCs w:val="18"/>
        </w:rPr>
      </w:pPr>
      <w:bookmarkStart w:id="198" w:name="_Hlk198829562"/>
      <w:r w:rsidRPr="00721E36">
        <w:rPr>
          <w:rFonts w:ascii="Titillium" w:hAnsi="Titillium"/>
          <w:sz w:val="18"/>
          <w:szCs w:val="18"/>
        </w:rPr>
        <w:t>La prestazione pri</w:t>
      </w:r>
      <w:r w:rsidR="0086099C" w:rsidRPr="00721E36">
        <w:rPr>
          <w:rFonts w:ascii="Titillium" w:hAnsi="Titillium"/>
          <w:sz w:val="18"/>
          <w:szCs w:val="18"/>
        </w:rPr>
        <w:t xml:space="preserve">ncipale è quella relativa a </w:t>
      </w:r>
      <w:r w:rsidR="005E6D0C">
        <w:rPr>
          <w:rFonts w:ascii="Titillium" w:hAnsi="Titillium"/>
          <w:sz w:val="18"/>
          <w:szCs w:val="18"/>
        </w:rPr>
        <w:t>…</w:t>
      </w:r>
      <w:r w:rsidR="0086099C" w:rsidRPr="00721E36">
        <w:rPr>
          <w:rFonts w:ascii="Titillium" w:hAnsi="Titillium"/>
          <w:sz w:val="18"/>
          <w:szCs w:val="18"/>
        </w:rPr>
        <w:t xml:space="preserve"> </w:t>
      </w:r>
      <w:r w:rsidRPr="00721E36">
        <w:rPr>
          <w:rFonts w:ascii="Titillium" w:hAnsi="Titillium"/>
          <w:sz w:val="18"/>
          <w:szCs w:val="18"/>
        </w:rPr>
        <w:t>[</w:t>
      </w:r>
      <w:r w:rsidRPr="00DC4E16">
        <w:rPr>
          <w:rFonts w:ascii="Titillium" w:hAnsi="Titillium"/>
          <w:i/>
          <w:iCs/>
          <w:sz w:val="18"/>
          <w:szCs w:val="18"/>
        </w:rPr>
        <w:t>la stazione appaltante indica la categoria e ID</w:t>
      </w:r>
      <w:r w:rsidR="00E961E2" w:rsidRPr="00DC4E16">
        <w:rPr>
          <w:rFonts w:ascii="Titillium" w:hAnsi="Titillium"/>
          <w:i/>
          <w:iCs/>
          <w:sz w:val="18"/>
          <w:szCs w:val="18"/>
        </w:rPr>
        <w:t xml:space="preserve"> opere</w:t>
      </w:r>
      <w:r w:rsidRPr="00721E36">
        <w:rPr>
          <w:rFonts w:ascii="Titillium" w:hAnsi="Titillium"/>
          <w:sz w:val="18"/>
          <w:szCs w:val="18"/>
        </w:rPr>
        <w:t>].</w:t>
      </w:r>
    </w:p>
    <w:p w14:paraId="6C7CEA23" w14:textId="77777777" w:rsidR="006842EE" w:rsidRPr="00721E36" w:rsidRDefault="006842EE">
      <w:pPr>
        <w:rPr>
          <w:rFonts w:ascii="Titillium" w:hAnsi="Titillium"/>
          <w:sz w:val="18"/>
          <w:szCs w:val="18"/>
        </w:rPr>
      </w:pPr>
    </w:p>
    <w:p w14:paraId="0F2F30A9" w14:textId="12FEF3D1" w:rsidR="006842EE" w:rsidRPr="00F06C2D" w:rsidRDefault="008F2625">
      <w:pPr>
        <w:rPr>
          <w:rFonts w:ascii="Titillium" w:hAnsi="Titillium"/>
          <w:i/>
          <w:iCs/>
          <w:sz w:val="18"/>
          <w:szCs w:val="18"/>
        </w:rPr>
      </w:pPr>
      <w:r w:rsidRPr="00721E36">
        <w:rPr>
          <w:rFonts w:ascii="Titillium" w:hAnsi="Titillium"/>
          <w:sz w:val="18"/>
          <w:szCs w:val="18"/>
        </w:rPr>
        <w:t xml:space="preserve">Si riporta nelle successive </w:t>
      </w:r>
      <w:r w:rsidR="00F06C2D">
        <w:rPr>
          <w:rFonts w:ascii="Titillium" w:hAnsi="Titillium"/>
          <w:sz w:val="18"/>
          <w:szCs w:val="18"/>
        </w:rPr>
        <w:t>T</w:t>
      </w:r>
      <w:r w:rsidRPr="00721E36">
        <w:rPr>
          <w:rFonts w:ascii="Titillium" w:hAnsi="Titillium"/>
          <w:sz w:val="18"/>
          <w:szCs w:val="18"/>
        </w:rPr>
        <w:t xml:space="preserve">abelle, l’elenco dettagliato delle prestazioni e dei relativi corrispettivi </w:t>
      </w:r>
      <w:r w:rsidR="00BC0CE6" w:rsidRPr="00F06C2D">
        <w:rPr>
          <w:rFonts w:ascii="Titillium" w:hAnsi="Titillium"/>
          <w:i/>
          <w:iCs/>
          <w:sz w:val="18"/>
          <w:szCs w:val="18"/>
        </w:rPr>
        <w:t>[da</w:t>
      </w:r>
      <w:r w:rsidRPr="00F06C2D">
        <w:rPr>
          <w:rFonts w:ascii="Titillium" w:hAnsi="Titillium"/>
          <w:i/>
          <w:iCs/>
          <w:sz w:val="18"/>
          <w:szCs w:val="18"/>
        </w:rPr>
        <w:t xml:space="preserve"> compilare come segue: </w:t>
      </w:r>
    </w:p>
    <w:p w14:paraId="206A8542" w14:textId="71C2703A" w:rsidR="006842EE" w:rsidRPr="00F06C2D" w:rsidRDefault="008F2625">
      <w:pPr>
        <w:rPr>
          <w:rFonts w:ascii="Titillium" w:hAnsi="Titillium"/>
          <w:i/>
          <w:iCs/>
          <w:sz w:val="18"/>
          <w:szCs w:val="18"/>
        </w:rPr>
      </w:pPr>
      <w:r w:rsidRPr="00F06C2D">
        <w:rPr>
          <w:rFonts w:ascii="Titillium" w:hAnsi="Titillium"/>
          <w:i/>
          <w:iCs/>
          <w:sz w:val="18"/>
          <w:szCs w:val="18"/>
        </w:rPr>
        <w:t xml:space="preserve">Incarico di </w:t>
      </w:r>
      <w:r w:rsidR="005E6D0C" w:rsidRPr="00F06C2D">
        <w:rPr>
          <w:rFonts w:ascii="Titillium" w:hAnsi="Titillium"/>
          <w:i/>
          <w:iCs/>
          <w:sz w:val="18"/>
          <w:szCs w:val="18"/>
        </w:rPr>
        <w:t>…</w:t>
      </w:r>
      <w:r w:rsidRPr="00F06C2D">
        <w:rPr>
          <w:rFonts w:ascii="Titillium" w:hAnsi="Titillium"/>
          <w:i/>
          <w:iCs/>
          <w:sz w:val="18"/>
          <w:szCs w:val="18"/>
        </w:rPr>
        <w:t xml:space="preserve"> [ad es. progettazione] – inserire </w:t>
      </w:r>
      <w:r w:rsidR="00F06C2D">
        <w:rPr>
          <w:rFonts w:ascii="Titillium" w:hAnsi="Titillium"/>
          <w:i/>
          <w:iCs/>
          <w:sz w:val="18"/>
          <w:szCs w:val="18"/>
        </w:rPr>
        <w:t>C</w:t>
      </w:r>
      <w:r w:rsidRPr="00F06C2D">
        <w:rPr>
          <w:rFonts w:ascii="Titillium" w:hAnsi="Titillium"/>
          <w:i/>
          <w:iCs/>
          <w:sz w:val="18"/>
          <w:szCs w:val="18"/>
        </w:rPr>
        <w:t xml:space="preserve">ategorie e ID opere – corrispondenza – grado di complessità – importo delle opere – specificità della prestazione – importo corrispettivo e spese ed </w:t>
      </w:r>
      <w:r w:rsidR="00BC0CE6" w:rsidRPr="00F06C2D">
        <w:rPr>
          <w:rFonts w:ascii="Titillium" w:hAnsi="Titillium"/>
          <w:i/>
          <w:iCs/>
          <w:sz w:val="18"/>
          <w:szCs w:val="18"/>
        </w:rPr>
        <w:t>oneri]</w:t>
      </w:r>
    </w:p>
    <w:p w14:paraId="075D22D8" w14:textId="0AC78108" w:rsidR="006842EE" w:rsidRDefault="008F2625" w:rsidP="007A7F09">
      <w:pPr>
        <w:rPr>
          <w:rFonts w:asciiTheme="minorHAnsi" w:hAnsiTheme="minorHAnsi" w:cstheme="minorHAnsi"/>
          <w:szCs w:val="24"/>
        </w:rPr>
      </w:pPr>
      <w:r>
        <w:rPr>
          <w:rFonts w:ascii="Titillium" w:hAnsi="Titillium"/>
          <w:sz w:val="18"/>
          <w:szCs w:val="18"/>
        </w:rPr>
        <w:t>Rip</w:t>
      </w:r>
      <w:r w:rsidR="007A7F09">
        <w:rPr>
          <w:rFonts w:ascii="Titillium" w:hAnsi="Titillium"/>
          <w:sz w:val="18"/>
          <w:szCs w:val="18"/>
        </w:rPr>
        <w:t xml:space="preserve">etere la tabella per ogni incarico </w:t>
      </w:r>
    </w:p>
    <w:p w14:paraId="05DB4222" w14:textId="77777777" w:rsidR="007A7F09" w:rsidRDefault="008F2625">
      <w:pPr>
        <w:rPr>
          <w:rFonts w:asciiTheme="minorHAnsi" w:hAnsiTheme="minorHAnsi" w:cstheme="minorHAnsi"/>
          <w:szCs w:val="24"/>
        </w:rPr>
      </w:pPr>
      <w:r>
        <w:rPr>
          <w:rFonts w:asciiTheme="minorHAnsi" w:hAnsiTheme="minorHAnsi" w:cstheme="minorHAnsi"/>
          <w:szCs w:val="24"/>
        </w:rPr>
        <w:t xml:space="preserve"> </w:t>
      </w:r>
    </w:p>
    <w:p w14:paraId="1B0E7A7C" w14:textId="1407AF42" w:rsidR="006842EE" w:rsidRDefault="008F2625">
      <w:pPr>
        <w:rPr>
          <w:rFonts w:ascii="Titillium" w:hAnsi="Titillium" w:cstheme="minorHAnsi"/>
          <w:b/>
          <w:i/>
          <w:sz w:val="18"/>
          <w:szCs w:val="18"/>
        </w:rPr>
      </w:pPr>
      <w:r>
        <w:rPr>
          <w:rFonts w:ascii="Titillium" w:hAnsi="Titillium" w:cstheme="minorHAnsi"/>
          <w:b/>
          <w:i/>
          <w:sz w:val="18"/>
          <w:szCs w:val="18"/>
        </w:rPr>
        <w:t>Tabella n. 2 –Categorie, ID e tariffe</w:t>
      </w:r>
    </w:p>
    <w:p w14:paraId="157D9B80" w14:textId="77777777" w:rsidR="006842EE" w:rsidRDefault="006842EE">
      <w:pPr>
        <w:rPr>
          <w:rFonts w:ascii="Titillium" w:hAnsi="Titillium" w:cstheme="minorHAnsi"/>
          <w:b/>
          <w:i/>
          <w:sz w:val="18"/>
          <w:szCs w:val="18"/>
        </w:rPr>
      </w:pPr>
    </w:p>
    <w:p w14:paraId="0EC336AC" w14:textId="44B80983" w:rsidR="006842EE" w:rsidRDefault="008F2625">
      <w:pPr>
        <w:rPr>
          <w:rFonts w:ascii="Titillium" w:hAnsi="Titillium" w:cstheme="minorHAnsi"/>
          <w:i/>
          <w:sz w:val="18"/>
          <w:szCs w:val="18"/>
        </w:rPr>
      </w:pPr>
      <w:r>
        <w:rPr>
          <w:rFonts w:ascii="Titillium" w:hAnsi="Titillium" w:cstheme="minorHAnsi"/>
          <w:b/>
          <w:i/>
          <w:sz w:val="18"/>
          <w:szCs w:val="18"/>
        </w:rPr>
        <w:t>Incarico di</w:t>
      </w:r>
      <w:r w:rsidR="0086099C" w:rsidRPr="0086099C">
        <w:rPr>
          <w:rFonts w:ascii="Titillium" w:hAnsi="Titillium" w:cstheme="minorHAnsi"/>
          <w:i/>
          <w:sz w:val="18"/>
          <w:szCs w:val="18"/>
        </w:rPr>
        <w:t xml:space="preserve"> .</w:t>
      </w:r>
      <w:r>
        <w:rPr>
          <w:rFonts w:ascii="Titillium" w:hAnsi="Titillium" w:cstheme="minorHAnsi"/>
          <w:i/>
          <w:sz w:val="18"/>
          <w:szCs w:val="18"/>
        </w:rPr>
        <w:t>..</w:t>
      </w:r>
      <w:r w:rsidR="0086099C">
        <w:rPr>
          <w:rFonts w:ascii="Titillium" w:hAnsi="Titillium" w:cstheme="minorHAnsi"/>
          <w:i/>
          <w:sz w:val="18"/>
          <w:szCs w:val="18"/>
        </w:rPr>
        <w:t xml:space="preserve"> </w:t>
      </w:r>
      <w:r>
        <w:rPr>
          <w:rFonts w:ascii="Titillium" w:hAnsi="Titillium" w:cstheme="minorHAnsi"/>
          <w:i/>
          <w:sz w:val="18"/>
          <w:szCs w:val="18"/>
        </w:rPr>
        <w:t>(ad es. progettazione)</w:t>
      </w:r>
    </w:p>
    <w:p w14:paraId="72152EA9" w14:textId="77777777" w:rsidR="006842EE" w:rsidRDefault="006842EE">
      <w:pPr>
        <w:rPr>
          <w:rFonts w:ascii="Titillium" w:hAnsi="Titillium" w:cstheme="minorHAnsi"/>
          <w:b/>
          <w:i/>
          <w:sz w:val="18"/>
          <w:szCs w:val="18"/>
        </w:rPr>
      </w:pPr>
    </w:p>
    <w:tbl>
      <w:tblPr>
        <w:tblW w:w="9209" w:type="dxa"/>
        <w:tblInd w:w="5" w:type="dxa"/>
        <w:tblLayout w:type="fixed"/>
        <w:tblLook w:val="0000" w:firstRow="0" w:lastRow="0" w:firstColumn="0" w:lastColumn="0" w:noHBand="0" w:noVBand="0"/>
      </w:tblPr>
      <w:tblGrid>
        <w:gridCol w:w="1403"/>
        <w:gridCol w:w="716"/>
        <w:gridCol w:w="1851"/>
        <w:gridCol w:w="1281"/>
        <w:gridCol w:w="850"/>
        <w:gridCol w:w="1339"/>
        <w:gridCol w:w="931"/>
        <w:gridCol w:w="838"/>
      </w:tblGrid>
      <w:tr w:rsidR="006842EE" w14:paraId="7D96CEE1" w14:textId="77777777">
        <w:trPr>
          <w:trHeight w:val="340"/>
        </w:trPr>
        <w:tc>
          <w:tcPr>
            <w:tcW w:w="1402" w:type="dxa"/>
            <w:vMerge w:val="restart"/>
            <w:tcBorders>
              <w:top w:val="single" w:sz="4" w:space="0" w:color="000000"/>
              <w:left w:val="single" w:sz="4" w:space="0" w:color="000000"/>
              <w:bottom w:val="single" w:sz="4" w:space="0" w:color="000000"/>
              <w:right w:val="single" w:sz="4" w:space="0" w:color="000000"/>
            </w:tcBorders>
            <w:shd w:val="clear" w:color="auto" w:fill="E4E4E4"/>
          </w:tcPr>
          <w:p w14:paraId="31AC02DB" w14:textId="77777777" w:rsidR="006842EE" w:rsidRDefault="006842EE">
            <w:pPr>
              <w:widowControl w:val="0"/>
              <w:jc w:val="center"/>
              <w:rPr>
                <w:rFonts w:ascii="Titillium" w:hAnsi="Titillium" w:cstheme="minorHAnsi"/>
                <w:b/>
                <w:i/>
                <w:sz w:val="18"/>
                <w:szCs w:val="18"/>
              </w:rPr>
            </w:pPr>
          </w:p>
          <w:p w14:paraId="2EF64FF8" w14:textId="77777777" w:rsidR="006842EE" w:rsidRDefault="008F2625">
            <w:pPr>
              <w:widowControl w:val="0"/>
              <w:ind w:left="117"/>
              <w:jc w:val="center"/>
              <w:rPr>
                <w:rFonts w:ascii="Titillium" w:hAnsi="Titillium" w:cstheme="minorHAnsi"/>
                <w:sz w:val="18"/>
                <w:szCs w:val="18"/>
              </w:rPr>
            </w:pPr>
            <w:r>
              <w:rPr>
                <w:rFonts w:ascii="Titillium" w:hAnsi="Titillium" w:cstheme="minorHAnsi"/>
                <w:sz w:val="18"/>
                <w:szCs w:val="18"/>
              </w:rPr>
              <w:t>CATEGORIE D’OPERA</w:t>
            </w:r>
          </w:p>
        </w:tc>
        <w:tc>
          <w:tcPr>
            <w:tcW w:w="2567" w:type="dxa"/>
            <w:gridSpan w:val="2"/>
            <w:tcBorders>
              <w:top w:val="single" w:sz="4" w:space="0" w:color="000000"/>
              <w:left w:val="single" w:sz="4" w:space="0" w:color="000000"/>
              <w:bottom w:val="single" w:sz="4" w:space="0" w:color="000000"/>
              <w:right w:val="single" w:sz="4" w:space="0" w:color="000000"/>
            </w:tcBorders>
            <w:shd w:val="clear" w:color="auto" w:fill="E4E4E4"/>
          </w:tcPr>
          <w:p w14:paraId="3A66B0B7" w14:textId="77777777" w:rsidR="006842EE" w:rsidRDefault="008F2625">
            <w:pPr>
              <w:widowControl w:val="0"/>
              <w:spacing w:before="67"/>
              <w:ind w:right="1765"/>
              <w:rPr>
                <w:rFonts w:ascii="Titillium" w:hAnsi="Titillium" w:cstheme="minorHAnsi"/>
                <w:sz w:val="18"/>
                <w:szCs w:val="18"/>
              </w:rPr>
            </w:pPr>
            <w:r>
              <w:rPr>
                <w:rFonts w:ascii="Titillium" w:hAnsi="Titillium" w:cstheme="minorHAnsi"/>
                <w:sz w:val="18"/>
                <w:szCs w:val="18"/>
              </w:rPr>
              <w:t>ID. OPERE</w:t>
            </w:r>
          </w:p>
        </w:tc>
        <w:tc>
          <w:tcPr>
            <w:tcW w:w="1281" w:type="dxa"/>
            <w:vMerge w:val="restart"/>
            <w:tcBorders>
              <w:top w:val="single" w:sz="4" w:space="0" w:color="000000"/>
              <w:left w:val="single" w:sz="4" w:space="0" w:color="000000"/>
              <w:bottom w:val="single" w:sz="4" w:space="0" w:color="000000"/>
              <w:right w:val="single" w:sz="4" w:space="0" w:color="000000"/>
            </w:tcBorders>
            <w:shd w:val="clear" w:color="auto" w:fill="E4E4E4"/>
          </w:tcPr>
          <w:p w14:paraId="10962B3C" w14:textId="77777777" w:rsidR="006842EE" w:rsidRDefault="008F2625">
            <w:pPr>
              <w:widowControl w:val="0"/>
              <w:spacing w:before="35"/>
              <w:ind w:right="85"/>
              <w:rPr>
                <w:rFonts w:ascii="Titillium" w:hAnsi="Titillium" w:cstheme="minorHAnsi"/>
                <w:sz w:val="18"/>
                <w:szCs w:val="18"/>
              </w:rPr>
            </w:pPr>
            <w:r>
              <w:rPr>
                <w:rFonts w:ascii="Titillium" w:hAnsi="Titillium" w:cstheme="minorHAnsi"/>
                <w:sz w:val="18"/>
                <w:szCs w:val="18"/>
              </w:rPr>
              <w:t xml:space="preserve">Grado Complessità </w:t>
            </w:r>
          </w:p>
          <w:p w14:paraId="6C054C99" w14:textId="77777777" w:rsidR="006842EE" w:rsidRDefault="008F2625">
            <w:pPr>
              <w:widowControl w:val="0"/>
              <w:spacing w:before="35"/>
              <w:ind w:right="85"/>
              <w:rPr>
                <w:rFonts w:ascii="Titillium" w:hAnsi="Titillium" w:cstheme="minorHAnsi"/>
                <w:sz w:val="18"/>
                <w:szCs w:val="18"/>
              </w:rPr>
            </w:pPr>
            <w:r>
              <w:rPr>
                <w:rFonts w:ascii="Titillium" w:hAnsi="Titillium" w:cstheme="minorHAnsi"/>
                <w:sz w:val="18"/>
                <w:szCs w:val="18"/>
              </w:rPr>
              <w:t>&lt;</w:t>
            </w:r>
            <w:r>
              <w:rPr>
                <w:rFonts w:ascii="Titillium" w:hAnsi="Titillium" w:cstheme="minorHAnsi"/>
                <w:b/>
                <w:sz w:val="18"/>
                <w:szCs w:val="18"/>
              </w:rPr>
              <w:t>G</w:t>
            </w:r>
            <w:r>
              <w:rPr>
                <w:rFonts w:ascii="Titillium" w:hAnsi="Titillium" w:cstheme="minorHAnsi"/>
                <w:sz w:val="18"/>
                <w:szCs w:val="18"/>
              </w:rPr>
              <w:t>&gt;&gt;</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E4E4E4"/>
          </w:tcPr>
          <w:p w14:paraId="22588571" w14:textId="77777777" w:rsidR="006842EE" w:rsidRDefault="008F2625">
            <w:pPr>
              <w:widowControl w:val="0"/>
              <w:rPr>
                <w:rFonts w:ascii="Titillium" w:hAnsi="Titillium" w:cstheme="minorHAnsi"/>
                <w:sz w:val="18"/>
                <w:szCs w:val="18"/>
              </w:rPr>
            </w:pPr>
            <w:r>
              <w:rPr>
                <w:rFonts w:ascii="Titillium" w:hAnsi="Titillium" w:cstheme="minorHAnsi"/>
                <w:sz w:val="18"/>
                <w:szCs w:val="18"/>
              </w:rPr>
              <w:t xml:space="preserve">Importo </w:t>
            </w:r>
          </w:p>
          <w:p w14:paraId="3903FD45" w14:textId="77777777" w:rsidR="006842EE" w:rsidRDefault="008F2625">
            <w:pPr>
              <w:widowControl w:val="0"/>
              <w:rPr>
                <w:rFonts w:ascii="Titillium" w:hAnsi="Titillium" w:cstheme="minorHAnsi"/>
                <w:sz w:val="18"/>
                <w:szCs w:val="18"/>
              </w:rPr>
            </w:pPr>
            <w:r>
              <w:rPr>
                <w:rFonts w:ascii="Titillium" w:hAnsi="Titillium" w:cstheme="minorHAnsi"/>
                <w:sz w:val="18"/>
                <w:szCs w:val="18"/>
              </w:rPr>
              <w:t>delle opere</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E4E4E4"/>
          </w:tcPr>
          <w:p w14:paraId="691802E6" w14:textId="77777777" w:rsidR="006842EE" w:rsidRDefault="008F2625">
            <w:pPr>
              <w:widowControl w:val="0"/>
              <w:spacing w:before="35"/>
              <w:ind w:right="109"/>
              <w:rPr>
                <w:rFonts w:ascii="Titillium" w:hAnsi="Titillium" w:cstheme="minorHAnsi"/>
                <w:sz w:val="18"/>
                <w:szCs w:val="18"/>
              </w:rPr>
            </w:pPr>
            <w:r>
              <w:rPr>
                <w:rFonts w:ascii="Titillium" w:hAnsi="Titillium" w:cstheme="minorHAnsi"/>
                <w:sz w:val="18"/>
                <w:szCs w:val="18"/>
              </w:rPr>
              <w:t>Specificità della prestazione</w:t>
            </w:r>
          </w:p>
        </w:tc>
        <w:tc>
          <w:tcPr>
            <w:tcW w:w="931" w:type="dxa"/>
            <w:vMerge w:val="restart"/>
            <w:tcBorders>
              <w:top w:val="single" w:sz="4" w:space="0" w:color="000000"/>
              <w:left w:val="single" w:sz="4" w:space="0" w:color="000000"/>
              <w:bottom w:val="single" w:sz="4" w:space="0" w:color="000000"/>
              <w:right w:val="single" w:sz="4" w:space="0" w:color="000000"/>
            </w:tcBorders>
            <w:shd w:val="clear" w:color="auto" w:fill="E4E4E4"/>
          </w:tcPr>
          <w:p w14:paraId="593432A8" w14:textId="77777777" w:rsidR="006842EE" w:rsidRDefault="008F2625">
            <w:pPr>
              <w:widowControl w:val="0"/>
              <w:spacing w:before="35"/>
              <w:ind w:right="109"/>
              <w:rPr>
                <w:rFonts w:ascii="Titillium" w:hAnsi="Titillium" w:cstheme="minorHAnsi"/>
                <w:sz w:val="18"/>
                <w:szCs w:val="18"/>
              </w:rPr>
            </w:pPr>
            <w:r>
              <w:rPr>
                <w:rFonts w:ascii="Titillium" w:hAnsi="Titillium" w:cstheme="minorHAnsi"/>
                <w:sz w:val="18"/>
                <w:szCs w:val="18"/>
              </w:rPr>
              <w:t>Importo</w:t>
            </w:r>
          </w:p>
        </w:tc>
        <w:tc>
          <w:tcPr>
            <w:tcW w:w="838" w:type="dxa"/>
            <w:vMerge w:val="restart"/>
            <w:tcBorders>
              <w:top w:val="single" w:sz="4" w:space="0" w:color="000000"/>
              <w:left w:val="single" w:sz="4" w:space="0" w:color="000000"/>
              <w:bottom w:val="single" w:sz="4" w:space="0" w:color="000000"/>
              <w:right w:val="single" w:sz="4" w:space="0" w:color="000000"/>
            </w:tcBorders>
            <w:shd w:val="clear" w:color="auto" w:fill="E4E4E4"/>
          </w:tcPr>
          <w:p w14:paraId="42882F99" w14:textId="77777777" w:rsidR="006842EE" w:rsidRDefault="008F2625">
            <w:pPr>
              <w:widowControl w:val="0"/>
              <w:spacing w:before="35"/>
              <w:ind w:right="109"/>
              <w:rPr>
                <w:rFonts w:ascii="Titillium" w:hAnsi="Titillium" w:cstheme="minorHAnsi"/>
                <w:sz w:val="18"/>
                <w:szCs w:val="18"/>
              </w:rPr>
            </w:pPr>
            <w:r>
              <w:rPr>
                <w:rFonts w:ascii="Titillium" w:hAnsi="Titillium" w:cstheme="minorHAnsi"/>
                <w:sz w:val="18"/>
                <w:szCs w:val="18"/>
              </w:rPr>
              <w:t>Spese e oneri</w:t>
            </w:r>
          </w:p>
        </w:tc>
      </w:tr>
      <w:tr w:rsidR="006842EE" w14:paraId="27F76EF9" w14:textId="77777777">
        <w:trPr>
          <w:trHeight w:val="340"/>
        </w:trPr>
        <w:tc>
          <w:tcPr>
            <w:tcW w:w="1402" w:type="dxa"/>
            <w:vMerge/>
            <w:tcBorders>
              <w:top w:val="single" w:sz="4" w:space="0" w:color="000000"/>
              <w:left w:val="single" w:sz="4" w:space="0" w:color="000000"/>
              <w:bottom w:val="single" w:sz="4" w:space="0" w:color="000000"/>
              <w:right w:val="single" w:sz="4" w:space="0" w:color="000000"/>
            </w:tcBorders>
            <w:shd w:val="clear" w:color="auto" w:fill="E4E4E4"/>
          </w:tcPr>
          <w:p w14:paraId="1D8B86D3" w14:textId="77777777" w:rsidR="006842EE" w:rsidRDefault="006842EE">
            <w:pPr>
              <w:widowControl w:val="0"/>
              <w:rPr>
                <w:rFonts w:ascii="Titillium" w:hAnsi="Titillium" w:cstheme="minorHAnsi"/>
                <w:sz w:val="18"/>
                <w:szCs w:val="18"/>
              </w:rPr>
            </w:pPr>
          </w:p>
        </w:tc>
        <w:tc>
          <w:tcPr>
            <w:tcW w:w="716" w:type="dxa"/>
            <w:tcBorders>
              <w:top w:val="single" w:sz="4" w:space="0" w:color="000000"/>
              <w:left w:val="single" w:sz="4" w:space="0" w:color="000000"/>
              <w:bottom w:val="single" w:sz="4" w:space="0" w:color="000000"/>
              <w:right w:val="single" w:sz="4" w:space="0" w:color="000000"/>
            </w:tcBorders>
            <w:shd w:val="clear" w:color="auto" w:fill="E4E4E4"/>
          </w:tcPr>
          <w:p w14:paraId="0CC01483" w14:textId="77777777" w:rsidR="006842EE" w:rsidRDefault="008F2625">
            <w:pPr>
              <w:widowControl w:val="0"/>
              <w:spacing w:before="67"/>
              <w:ind w:right="-38"/>
              <w:jc w:val="center"/>
              <w:rPr>
                <w:rFonts w:ascii="Titillium" w:hAnsi="Titillium" w:cstheme="minorHAnsi"/>
                <w:sz w:val="18"/>
                <w:szCs w:val="18"/>
              </w:rPr>
            </w:pPr>
            <w:r>
              <w:rPr>
                <w:rFonts w:ascii="Titillium" w:hAnsi="Titillium" w:cstheme="minorHAnsi"/>
                <w:sz w:val="18"/>
                <w:szCs w:val="18"/>
              </w:rPr>
              <w:t>Codice</w:t>
            </w:r>
          </w:p>
        </w:tc>
        <w:tc>
          <w:tcPr>
            <w:tcW w:w="1851" w:type="dxa"/>
            <w:tcBorders>
              <w:top w:val="single" w:sz="4" w:space="0" w:color="000000"/>
              <w:left w:val="single" w:sz="4" w:space="0" w:color="000000"/>
              <w:bottom w:val="single" w:sz="4" w:space="0" w:color="000000"/>
              <w:right w:val="single" w:sz="4" w:space="0" w:color="000000"/>
            </w:tcBorders>
            <w:shd w:val="clear" w:color="auto" w:fill="E4E4E4"/>
          </w:tcPr>
          <w:p w14:paraId="3FDFA07C" w14:textId="77777777" w:rsidR="006842EE" w:rsidRDefault="008F2625">
            <w:pPr>
              <w:widowControl w:val="0"/>
              <w:spacing w:before="67"/>
              <w:ind w:right="742"/>
              <w:jc w:val="center"/>
              <w:rPr>
                <w:rFonts w:ascii="Titillium" w:hAnsi="Titillium" w:cstheme="minorHAnsi"/>
                <w:sz w:val="18"/>
                <w:szCs w:val="18"/>
              </w:rPr>
            </w:pPr>
            <w:r>
              <w:rPr>
                <w:rFonts w:ascii="Titillium" w:hAnsi="Titillium" w:cstheme="minorHAnsi"/>
                <w:sz w:val="18"/>
                <w:szCs w:val="18"/>
              </w:rPr>
              <w:t>Descrizione</w:t>
            </w:r>
          </w:p>
        </w:tc>
        <w:tc>
          <w:tcPr>
            <w:tcW w:w="1281" w:type="dxa"/>
            <w:vMerge/>
            <w:tcBorders>
              <w:top w:val="single" w:sz="4" w:space="0" w:color="000000"/>
              <w:left w:val="single" w:sz="4" w:space="0" w:color="000000"/>
              <w:bottom w:val="single" w:sz="4" w:space="0" w:color="000000"/>
              <w:right w:val="single" w:sz="4" w:space="0" w:color="000000"/>
            </w:tcBorders>
            <w:shd w:val="clear" w:color="auto" w:fill="E4E4E4"/>
          </w:tcPr>
          <w:p w14:paraId="011C860C" w14:textId="77777777" w:rsidR="006842EE" w:rsidRDefault="006842EE">
            <w:pPr>
              <w:widowControl w:val="0"/>
              <w:rPr>
                <w:rFonts w:ascii="Titillium" w:hAnsi="Titillium" w:cstheme="minorHAnsi"/>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E4E4E4"/>
          </w:tcPr>
          <w:p w14:paraId="3E4F3B66" w14:textId="77777777" w:rsidR="006842EE" w:rsidRDefault="006842EE">
            <w:pPr>
              <w:widowControl w:val="0"/>
              <w:rPr>
                <w:rFonts w:ascii="Titillium" w:hAnsi="Titillium" w:cstheme="minorHAnsi"/>
                <w:sz w:val="18"/>
                <w:szCs w:val="18"/>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E4E4E4"/>
          </w:tcPr>
          <w:p w14:paraId="00A68503" w14:textId="77777777" w:rsidR="006842EE" w:rsidRDefault="006842EE">
            <w:pPr>
              <w:widowControl w:val="0"/>
              <w:rPr>
                <w:rFonts w:ascii="Titillium" w:hAnsi="Titillium" w:cstheme="minorHAnsi"/>
                <w:sz w:val="18"/>
                <w:szCs w:val="18"/>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E4E4E4"/>
          </w:tcPr>
          <w:p w14:paraId="0F497193" w14:textId="77777777" w:rsidR="006842EE" w:rsidRDefault="006842EE">
            <w:pPr>
              <w:widowControl w:val="0"/>
              <w:rPr>
                <w:rFonts w:ascii="Titillium" w:hAnsi="Titillium" w:cstheme="minorHAnsi"/>
                <w:sz w:val="18"/>
                <w:szCs w:val="18"/>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E4E4E4"/>
          </w:tcPr>
          <w:p w14:paraId="0F96D1B3" w14:textId="77777777" w:rsidR="006842EE" w:rsidRDefault="006842EE">
            <w:pPr>
              <w:widowControl w:val="0"/>
              <w:rPr>
                <w:rFonts w:ascii="Titillium" w:hAnsi="Titillium" w:cstheme="minorHAnsi"/>
                <w:sz w:val="18"/>
                <w:szCs w:val="18"/>
              </w:rPr>
            </w:pPr>
          </w:p>
        </w:tc>
      </w:tr>
      <w:tr w:rsidR="006842EE" w14:paraId="32B4C749" w14:textId="77777777">
        <w:trPr>
          <w:trHeight w:val="1034"/>
        </w:trPr>
        <w:tc>
          <w:tcPr>
            <w:tcW w:w="1402" w:type="dxa"/>
            <w:vMerge w:val="restart"/>
            <w:tcBorders>
              <w:top w:val="single" w:sz="4" w:space="0" w:color="000000"/>
              <w:left w:val="single" w:sz="4" w:space="0" w:color="000000"/>
              <w:bottom w:val="single" w:sz="4" w:space="0" w:color="000000"/>
              <w:right w:val="single" w:sz="4" w:space="0" w:color="000000"/>
            </w:tcBorders>
            <w:vAlign w:val="center"/>
          </w:tcPr>
          <w:p w14:paraId="5A69055C" w14:textId="77777777" w:rsidR="006842EE" w:rsidRDefault="008F2625">
            <w:pPr>
              <w:widowControl w:val="0"/>
              <w:spacing w:before="1"/>
              <w:ind w:right="484"/>
              <w:jc w:val="center"/>
              <w:rPr>
                <w:rFonts w:ascii="Titillium" w:hAnsi="Titillium" w:cstheme="minorHAnsi"/>
                <w:sz w:val="18"/>
                <w:szCs w:val="18"/>
              </w:rPr>
            </w:pPr>
            <w:r>
              <w:rPr>
                <w:rFonts w:ascii="Titillium" w:hAnsi="Titillium" w:cstheme="minorHAnsi"/>
                <w:sz w:val="18"/>
                <w:szCs w:val="18"/>
              </w:rPr>
              <w:t>Ad es. EDILIZIA</w:t>
            </w:r>
          </w:p>
          <w:p w14:paraId="09FF73C7" w14:textId="77777777" w:rsidR="006842EE" w:rsidRDefault="006842EE">
            <w:pPr>
              <w:widowControl w:val="0"/>
              <w:jc w:val="center"/>
              <w:rPr>
                <w:rFonts w:ascii="Titillium" w:hAnsi="Titillium" w:cstheme="minorHAnsi"/>
                <w:b/>
                <w:i/>
                <w:sz w:val="18"/>
                <w:szCs w:val="18"/>
              </w:rPr>
            </w:pPr>
          </w:p>
          <w:p w14:paraId="280950E4" w14:textId="77777777" w:rsidR="006842EE" w:rsidRDefault="006842EE">
            <w:pPr>
              <w:widowControl w:val="0"/>
              <w:spacing w:before="161"/>
              <w:ind w:right="484"/>
              <w:rPr>
                <w:rFonts w:ascii="Titillium" w:hAnsi="Titillium" w:cstheme="minorHAnsi"/>
                <w:sz w:val="18"/>
                <w:szCs w:val="18"/>
              </w:rPr>
            </w:pPr>
          </w:p>
        </w:tc>
        <w:tc>
          <w:tcPr>
            <w:tcW w:w="716" w:type="dxa"/>
            <w:vMerge w:val="restart"/>
            <w:tcBorders>
              <w:top w:val="single" w:sz="4" w:space="0" w:color="000000"/>
              <w:left w:val="single" w:sz="4" w:space="0" w:color="000000"/>
              <w:bottom w:val="single" w:sz="4" w:space="0" w:color="000000"/>
              <w:right w:val="single" w:sz="4" w:space="0" w:color="000000"/>
            </w:tcBorders>
            <w:vAlign w:val="center"/>
          </w:tcPr>
          <w:p w14:paraId="08710C21" w14:textId="77777777" w:rsidR="006842EE" w:rsidRDefault="008F2625">
            <w:pPr>
              <w:widowControl w:val="0"/>
              <w:spacing w:before="1"/>
              <w:ind w:right="227"/>
              <w:jc w:val="center"/>
              <w:rPr>
                <w:rFonts w:ascii="Titillium" w:hAnsi="Titillium" w:cstheme="minorHAnsi"/>
                <w:sz w:val="18"/>
                <w:szCs w:val="18"/>
              </w:rPr>
            </w:pPr>
            <w:r>
              <w:rPr>
                <w:rFonts w:ascii="Titillium" w:hAnsi="Titillium" w:cstheme="minorHAnsi"/>
                <w:sz w:val="18"/>
                <w:szCs w:val="18"/>
              </w:rPr>
              <w:t>[…]</w:t>
            </w:r>
          </w:p>
          <w:p w14:paraId="73EB0489" w14:textId="77777777" w:rsidR="006842EE" w:rsidRDefault="006842EE">
            <w:pPr>
              <w:widowControl w:val="0"/>
              <w:spacing w:before="1"/>
              <w:ind w:right="227"/>
              <w:rPr>
                <w:rFonts w:ascii="Titillium" w:hAnsi="Titillium" w:cstheme="minorHAnsi"/>
                <w:sz w:val="18"/>
                <w:szCs w:val="18"/>
              </w:rPr>
            </w:pPr>
          </w:p>
        </w:tc>
        <w:tc>
          <w:tcPr>
            <w:tcW w:w="1851" w:type="dxa"/>
            <w:vMerge w:val="restart"/>
            <w:tcBorders>
              <w:top w:val="single" w:sz="4" w:space="0" w:color="000000"/>
              <w:left w:val="single" w:sz="4" w:space="0" w:color="000000"/>
              <w:bottom w:val="single" w:sz="4" w:space="0" w:color="000000"/>
              <w:right w:val="single" w:sz="4" w:space="0" w:color="000000"/>
            </w:tcBorders>
            <w:vAlign w:val="center"/>
          </w:tcPr>
          <w:p w14:paraId="1A19DE9A" w14:textId="77777777" w:rsidR="006842EE" w:rsidRDefault="008F2625">
            <w:pPr>
              <w:widowControl w:val="0"/>
              <w:ind w:left="108"/>
              <w:jc w:val="center"/>
              <w:rPr>
                <w:rFonts w:ascii="Titillium" w:hAnsi="Titillium" w:cstheme="minorHAnsi"/>
                <w:i/>
                <w:sz w:val="18"/>
                <w:szCs w:val="18"/>
              </w:rPr>
            </w:pPr>
            <w:r>
              <w:rPr>
                <w:rFonts w:ascii="Titillium" w:hAnsi="Titillium" w:cstheme="minorHAnsi"/>
                <w:sz w:val="18"/>
                <w:szCs w:val="18"/>
              </w:rPr>
              <w:t>[…]</w:t>
            </w:r>
          </w:p>
          <w:p w14:paraId="6D7D83E6" w14:textId="77777777" w:rsidR="006842EE" w:rsidRDefault="006842EE">
            <w:pPr>
              <w:widowControl w:val="0"/>
              <w:ind w:left="108"/>
              <w:rPr>
                <w:rFonts w:ascii="Titillium" w:hAnsi="Titillium" w:cstheme="minorHAnsi"/>
                <w:i/>
                <w:sz w:val="18"/>
                <w:szCs w:val="18"/>
              </w:rPr>
            </w:pPr>
          </w:p>
        </w:tc>
        <w:tc>
          <w:tcPr>
            <w:tcW w:w="1281" w:type="dxa"/>
            <w:vMerge w:val="restart"/>
            <w:tcBorders>
              <w:top w:val="single" w:sz="4" w:space="0" w:color="000000"/>
              <w:left w:val="single" w:sz="4" w:space="0" w:color="000000"/>
              <w:bottom w:val="single" w:sz="4" w:space="0" w:color="000000"/>
              <w:right w:val="single" w:sz="4" w:space="0" w:color="000000"/>
            </w:tcBorders>
            <w:vAlign w:val="center"/>
          </w:tcPr>
          <w:p w14:paraId="0339F31D" w14:textId="77777777" w:rsidR="006842EE" w:rsidRDefault="008F2625">
            <w:pPr>
              <w:widowControl w:val="0"/>
              <w:jc w:val="center"/>
              <w:rPr>
                <w:rFonts w:ascii="Titillium" w:hAnsi="Titillium" w:cstheme="minorHAnsi"/>
                <w:sz w:val="18"/>
                <w:szCs w:val="18"/>
              </w:rPr>
            </w:pPr>
            <w:r>
              <w:rPr>
                <w:rFonts w:ascii="Titillium" w:hAnsi="Titillium" w:cstheme="minorHAnsi"/>
                <w:sz w:val="18"/>
                <w:szCs w:val="18"/>
              </w:rPr>
              <w:t>[…]</w:t>
            </w:r>
          </w:p>
          <w:p w14:paraId="61304A05" w14:textId="77777777" w:rsidR="006842EE" w:rsidRDefault="006842EE">
            <w:pPr>
              <w:widowControl w:val="0"/>
              <w:rPr>
                <w:rFonts w:ascii="Titillium" w:hAnsi="Titillium" w:cstheme="minorHAnsi"/>
                <w:sz w:val="18"/>
                <w:szCs w:val="18"/>
              </w:rPr>
            </w:pP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14947B49" w14:textId="77777777" w:rsidR="006842EE" w:rsidRDefault="008F2625">
            <w:pPr>
              <w:widowControl w:val="0"/>
              <w:jc w:val="center"/>
              <w:rPr>
                <w:rFonts w:ascii="Titillium" w:hAnsi="Titillium" w:cstheme="minorHAnsi"/>
                <w:sz w:val="18"/>
                <w:szCs w:val="18"/>
              </w:rPr>
            </w:pPr>
            <w:r>
              <w:rPr>
                <w:rFonts w:ascii="Titillium" w:hAnsi="Titillium" w:cstheme="minorHAnsi"/>
                <w:sz w:val="18"/>
                <w:szCs w:val="18"/>
              </w:rPr>
              <w:t>[…]</w:t>
            </w:r>
          </w:p>
          <w:p w14:paraId="1F4A655B" w14:textId="77777777" w:rsidR="006842EE" w:rsidRDefault="006842EE">
            <w:pPr>
              <w:widowControl w:val="0"/>
              <w:rPr>
                <w:rFonts w:ascii="Titillium" w:hAnsi="Titillium" w:cstheme="minorHAnsi"/>
                <w:sz w:val="18"/>
                <w:szCs w:val="18"/>
              </w:rPr>
            </w:pPr>
          </w:p>
        </w:tc>
        <w:tc>
          <w:tcPr>
            <w:tcW w:w="1339" w:type="dxa"/>
            <w:tcBorders>
              <w:top w:val="single" w:sz="4" w:space="0" w:color="000000"/>
              <w:left w:val="single" w:sz="4" w:space="0" w:color="000000"/>
              <w:bottom w:val="single" w:sz="4" w:space="0" w:color="000000"/>
              <w:right w:val="single" w:sz="4" w:space="0" w:color="000000"/>
            </w:tcBorders>
            <w:vAlign w:val="center"/>
          </w:tcPr>
          <w:p w14:paraId="041F12A1" w14:textId="77777777" w:rsidR="006842EE" w:rsidRDefault="008F2625">
            <w:pPr>
              <w:widowControl w:val="0"/>
              <w:jc w:val="center"/>
              <w:rPr>
                <w:rFonts w:ascii="Titillium" w:hAnsi="Titillium" w:cstheme="minorHAnsi"/>
                <w:sz w:val="18"/>
                <w:szCs w:val="18"/>
              </w:rPr>
            </w:pPr>
            <w:r>
              <w:rPr>
                <w:rFonts w:ascii="Titillium" w:hAnsi="Titillium" w:cstheme="minorHAnsi"/>
                <w:sz w:val="18"/>
                <w:szCs w:val="18"/>
              </w:rPr>
              <w:t>[…]</w:t>
            </w:r>
          </w:p>
        </w:tc>
        <w:tc>
          <w:tcPr>
            <w:tcW w:w="931" w:type="dxa"/>
            <w:tcBorders>
              <w:top w:val="single" w:sz="4" w:space="0" w:color="000000"/>
              <w:left w:val="single" w:sz="4" w:space="0" w:color="000000"/>
              <w:bottom w:val="single" w:sz="4" w:space="0" w:color="000000"/>
              <w:right w:val="single" w:sz="4" w:space="0" w:color="000000"/>
            </w:tcBorders>
          </w:tcPr>
          <w:p w14:paraId="371A514D" w14:textId="77777777" w:rsidR="006842EE" w:rsidRDefault="006842EE">
            <w:pPr>
              <w:widowControl w:val="0"/>
              <w:jc w:val="center"/>
              <w:rPr>
                <w:rFonts w:ascii="Titillium" w:hAnsi="Titillium" w:cstheme="minorHAnsi"/>
                <w:sz w:val="18"/>
                <w:szCs w:val="18"/>
              </w:rPr>
            </w:pPr>
          </w:p>
        </w:tc>
        <w:tc>
          <w:tcPr>
            <w:tcW w:w="838" w:type="dxa"/>
            <w:tcBorders>
              <w:top w:val="single" w:sz="4" w:space="0" w:color="000000"/>
              <w:left w:val="single" w:sz="4" w:space="0" w:color="000000"/>
              <w:bottom w:val="single" w:sz="4" w:space="0" w:color="000000"/>
              <w:right w:val="single" w:sz="4" w:space="0" w:color="000000"/>
            </w:tcBorders>
          </w:tcPr>
          <w:p w14:paraId="07ADD443" w14:textId="77777777" w:rsidR="006842EE" w:rsidRDefault="006842EE">
            <w:pPr>
              <w:widowControl w:val="0"/>
              <w:jc w:val="center"/>
              <w:rPr>
                <w:rFonts w:ascii="Titillium" w:hAnsi="Titillium" w:cstheme="minorHAnsi"/>
                <w:sz w:val="18"/>
                <w:szCs w:val="18"/>
              </w:rPr>
            </w:pPr>
          </w:p>
        </w:tc>
      </w:tr>
      <w:tr w:rsidR="006842EE" w14:paraId="136A3237" w14:textId="77777777">
        <w:trPr>
          <w:trHeight w:val="1449"/>
        </w:trPr>
        <w:tc>
          <w:tcPr>
            <w:tcW w:w="1402" w:type="dxa"/>
            <w:vMerge/>
            <w:tcBorders>
              <w:top w:val="single" w:sz="4" w:space="0" w:color="000000"/>
              <w:left w:val="single" w:sz="4" w:space="0" w:color="000000"/>
              <w:bottom w:val="single" w:sz="4" w:space="0" w:color="000000"/>
              <w:right w:val="single" w:sz="4" w:space="0" w:color="000000"/>
            </w:tcBorders>
            <w:vAlign w:val="center"/>
          </w:tcPr>
          <w:p w14:paraId="5C4E1728" w14:textId="77777777" w:rsidR="006842EE" w:rsidRDefault="006842EE">
            <w:pPr>
              <w:widowControl w:val="0"/>
              <w:rPr>
                <w:rFonts w:ascii="Titillium" w:hAnsi="Titillium" w:cstheme="minorHAnsi"/>
                <w:sz w:val="18"/>
                <w:szCs w:val="18"/>
              </w:rPr>
            </w:pP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3ADB38FE" w14:textId="77777777" w:rsidR="006842EE" w:rsidRDefault="006842EE">
            <w:pPr>
              <w:widowControl w:val="0"/>
              <w:rPr>
                <w:rFonts w:ascii="Titillium" w:hAnsi="Titillium" w:cstheme="minorHAnsi"/>
                <w:sz w:val="18"/>
                <w:szCs w:val="18"/>
              </w:rPr>
            </w:pPr>
          </w:p>
        </w:tc>
        <w:tc>
          <w:tcPr>
            <w:tcW w:w="1851" w:type="dxa"/>
            <w:vMerge/>
            <w:tcBorders>
              <w:top w:val="single" w:sz="4" w:space="0" w:color="000000"/>
              <w:left w:val="single" w:sz="4" w:space="0" w:color="000000"/>
              <w:bottom w:val="single" w:sz="4" w:space="0" w:color="000000"/>
              <w:right w:val="single" w:sz="4" w:space="0" w:color="000000"/>
            </w:tcBorders>
            <w:vAlign w:val="center"/>
          </w:tcPr>
          <w:p w14:paraId="07262B7D" w14:textId="77777777" w:rsidR="006842EE" w:rsidRDefault="006842EE">
            <w:pPr>
              <w:widowControl w:val="0"/>
              <w:rPr>
                <w:rFonts w:ascii="Titillium" w:hAnsi="Titillium" w:cstheme="minorHAnsi"/>
                <w:sz w:val="18"/>
                <w:szCs w:val="18"/>
              </w:rPr>
            </w:pPr>
          </w:p>
        </w:tc>
        <w:tc>
          <w:tcPr>
            <w:tcW w:w="1281" w:type="dxa"/>
            <w:vMerge/>
            <w:tcBorders>
              <w:top w:val="single" w:sz="4" w:space="0" w:color="000000"/>
              <w:left w:val="single" w:sz="4" w:space="0" w:color="000000"/>
              <w:bottom w:val="single" w:sz="4" w:space="0" w:color="000000"/>
              <w:right w:val="single" w:sz="4" w:space="0" w:color="000000"/>
            </w:tcBorders>
            <w:vAlign w:val="center"/>
          </w:tcPr>
          <w:p w14:paraId="5E5F0B43" w14:textId="77777777" w:rsidR="006842EE" w:rsidRDefault="006842EE">
            <w:pPr>
              <w:widowControl w:val="0"/>
              <w:rPr>
                <w:rFonts w:ascii="Titillium" w:hAnsi="Titillium" w:cstheme="minorHAnsi"/>
                <w:sz w:val="18"/>
                <w:szCs w:val="18"/>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7F3FF3A9" w14:textId="77777777" w:rsidR="006842EE" w:rsidRDefault="006842EE">
            <w:pPr>
              <w:widowControl w:val="0"/>
              <w:rPr>
                <w:rFonts w:ascii="Titillium" w:hAnsi="Titillium" w:cstheme="minorHAnsi"/>
                <w:sz w:val="18"/>
                <w:szCs w:val="18"/>
              </w:rPr>
            </w:pPr>
          </w:p>
        </w:tc>
        <w:tc>
          <w:tcPr>
            <w:tcW w:w="1339" w:type="dxa"/>
            <w:tcBorders>
              <w:top w:val="single" w:sz="4" w:space="0" w:color="000000"/>
              <w:left w:val="single" w:sz="4" w:space="0" w:color="000000"/>
              <w:bottom w:val="single" w:sz="4" w:space="0" w:color="000000"/>
              <w:right w:val="single" w:sz="4" w:space="0" w:color="000000"/>
            </w:tcBorders>
            <w:vAlign w:val="center"/>
          </w:tcPr>
          <w:p w14:paraId="537390EE" w14:textId="77777777" w:rsidR="006842EE" w:rsidRDefault="008F2625">
            <w:pPr>
              <w:widowControl w:val="0"/>
              <w:jc w:val="center"/>
              <w:rPr>
                <w:rFonts w:ascii="Titillium" w:hAnsi="Titillium" w:cstheme="minorHAnsi"/>
                <w:sz w:val="18"/>
                <w:szCs w:val="18"/>
              </w:rPr>
            </w:pPr>
            <w:r>
              <w:rPr>
                <w:rFonts w:ascii="Titillium" w:hAnsi="Titillium" w:cstheme="minorHAnsi"/>
                <w:sz w:val="18"/>
                <w:szCs w:val="18"/>
              </w:rPr>
              <w:t>[…]</w:t>
            </w:r>
          </w:p>
        </w:tc>
        <w:tc>
          <w:tcPr>
            <w:tcW w:w="931" w:type="dxa"/>
            <w:tcBorders>
              <w:top w:val="single" w:sz="4" w:space="0" w:color="000000"/>
              <w:left w:val="single" w:sz="4" w:space="0" w:color="000000"/>
              <w:bottom w:val="single" w:sz="4" w:space="0" w:color="000000"/>
              <w:right w:val="single" w:sz="4" w:space="0" w:color="000000"/>
            </w:tcBorders>
          </w:tcPr>
          <w:p w14:paraId="138BE217" w14:textId="77777777" w:rsidR="006842EE" w:rsidRDefault="006842EE">
            <w:pPr>
              <w:widowControl w:val="0"/>
              <w:jc w:val="center"/>
              <w:rPr>
                <w:rFonts w:ascii="Titillium" w:hAnsi="Titillium" w:cstheme="minorHAnsi"/>
                <w:sz w:val="18"/>
                <w:szCs w:val="18"/>
              </w:rPr>
            </w:pPr>
          </w:p>
        </w:tc>
        <w:tc>
          <w:tcPr>
            <w:tcW w:w="838" w:type="dxa"/>
            <w:tcBorders>
              <w:top w:val="single" w:sz="4" w:space="0" w:color="000000"/>
              <w:left w:val="single" w:sz="4" w:space="0" w:color="000000"/>
              <w:bottom w:val="single" w:sz="4" w:space="0" w:color="000000"/>
              <w:right w:val="single" w:sz="4" w:space="0" w:color="000000"/>
            </w:tcBorders>
          </w:tcPr>
          <w:p w14:paraId="786D47D8" w14:textId="77777777" w:rsidR="006842EE" w:rsidRDefault="006842EE">
            <w:pPr>
              <w:widowControl w:val="0"/>
              <w:jc w:val="center"/>
              <w:rPr>
                <w:rFonts w:ascii="Titillium" w:hAnsi="Titillium" w:cstheme="minorHAnsi"/>
                <w:sz w:val="18"/>
                <w:szCs w:val="18"/>
              </w:rPr>
            </w:pPr>
          </w:p>
        </w:tc>
      </w:tr>
      <w:tr w:rsidR="006842EE" w14:paraId="21126E4D" w14:textId="77777777">
        <w:trPr>
          <w:trHeight w:val="629"/>
        </w:trPr>
        <w:tc>
          <w:tcPr>
            <w:tcW w:w="7439" w:type="dxa"/>
            <w:gridSpan w:val="6"/>
            <w:tcBorders>
              <w:top w:val="single" w:sz="4" w:space="0" w:color="000000"/>
              <w:left w:val="single" w:sz="4" w:space="0" w:color="000000"/>
              <w:bottom w:val="single" w:sz="4" w:space="0" w:color="000000"/>
              <w:right w:val="single" w:sz="4" w:space="0" w:color="000000"/>
            </w:tcBorders>
          </w:tcPr>
          <w:p w14:paraId="6C152E7C" w14:textId="77777777" w:rsidR="006842EE" w:rsidRDefault="006842EE">
            <w:pPr>
              <w:widowControl w:val="0"/>
              <w:ind w:right="484"/>
              <w:rPr>
                <w:rFonts w:ascii="Titillium" w:hAnsi="Titillium" w:cstheme="minorHAnsi"/>
                <w:b/>
                <w:i/>
                <w:sz w:val="18"/>
                <w:szCs w:val="18"/>
              </w:rPr>
            </w:pPr>
          </w:p>
          <w:p w14:paraId="03A54855" w14:textId="77777777" w:rsidR="006842EE" w:rsidRDefault="008F2625">
            <w:pPr>
              <w:widowControl w:val="0"/>
              <w:ind w:right="484"/>
              <w:jc w:val="center"/>
              <w:rPr>
                <w:rFonts w:ascii="Titillium" w:hAnsi="Titillium" w:cstheme="minorHAnsi"/>
                <w:sz w:val="18"/>
                <w:szCs w:val="18"/>
              </w:rPr>
            </w:pPr>
            <w:r>
              <w:rPr>
                <w:rFonts w:ascii="Titillium" w:hAnsi="Titillium" w:cstheme="minorHAnsi"/>
                <w:sz w:val="18"/>
                <w:szCs w:val="18"/>
              </w:rPr>
              <w:t>SOMMA</w:t>
            </w:r>
          </w:p>
          <w:p w14:paraId="76D48CF6" w14:textId="77777777" w:rsidR="006842EE" w:rsidRDefault="006842EE">
            <w:pPr>
              <w:widowControl w:val="0"/>
              <w:rPr>
                <w:rFonts w:ascii="Titillium" w:hAnsi="Titillium" w:cstheme="minorHAnsi"/>
                <w:sz w:val="18"/>
                <w:szCs w:val="18"/>
              </w:rPr>
            </w:pPr>
          </w:p>
        </w:tc>
        <w:tc>
          <w:tcPr>
            <w:tcW w:w="931" w:type="dxa"/>
            <w:tcBorders>
              <w:top w:val="single" w:sz="4" w:space="0" w:color="000000"/>
              <w:left w:val="single" w:sz="4" w:space="0" w:color="000000"/>
              <w:bottom w:val="single" w:sz="4" w:space="0" w:color="000000"/>
              <w:right w:val="single" w:sz="4" w:space="0" w:color="000000"/>
            </w:tcBorders>
          </w:tcPr>
          <w:p w14:paraId="5330C063" w14:textId="77777777" w:rsidR="006842EE" w:rsidRDefault="006842EE">
            <w:pPr>
              <w:widowControl w:val="0"/>
              <w:jc w:val="center"/>
              <w:rPr>
                <w:rFonts w:ascii="Titillium" w:hAnsi="Titillium" w:cstheme="minorHAnsi"/>
                <w:sz w:val="18"/>
                <w:szCs w:val="18"/>
              </w:rPr>
            </w:pPr>
          </w:p>
        </w:tc>
        <w:tc>
          <w:tcPr>
            <w:tcW w:w="838" w:type="dxa"/>
            <w:tcBorders>
              <w:top w:val="single" w:sz="4" w:space="0" w:color="000000"/>
              <w:left w:val="single" w:sz="4" w:space="0" w:color="000000"/>
              <w:bottom w:val="single" w:sz="4" w:space="0" w:color="000000"/>
              <w:right w:val="single" w:sz="4" w:space="0" w:color="000000"/>
            </w:tcBorders>
          </w:tcPr>
          <w:p w14:paraId="10517C18" w14:textId="77777777" w:rsidR="006842EE" w:rsidRDefault="006842EE">
            <w:pPr>
              <w:widowControl w:val="0"/>
              <w:jc w:val="center"/>
              <w:rPr>
                <w:rFonts w:ascii="Titillium" w:hAnsi="Titillium" w:cstheme="minorHAnsi"/>
                <w:sz w:val="18"/>
                <w:szCs w:val="18"/>
              </w:rPr>
            </w:pPr>
          </w:p>
        </w:tc>
      </w:tr>
      <w:tr w:rsidR="006842EE" w14:paraId="26967065" w14:textId="77777777">
        <w:trPr>
          <w:trHeight w:val="625"/>
        </w:trPr>
        <w:tc>
          <w:tcPr>
            <w:tcW w:w="7439" w:type="dxa"/>
            <w:gridSpan w:val="6"/>
            <w:tcBorders>
              <w:top w:val="single" w:sz="4" w:space="0" w:color="000000"/>
              <w:left w:val="single" w:sz="4" w:space="0" w:color="000000"/>
              <w:bottom w:val="single" w:sz="4" w:space="0" w:color="000000"/>
              <w:right w:val="single" w:sz="4" w:space="0" w:color="000000"/>
            </w:tcBorders>
          </w:tcPr>
          <w:p w14:paraId="5B1E41AF" w14:textId="77777777" w:rsidR="006842EE" w:rsidRDefault="008F2625">
            <w:pPr>
              <w:widowControl w:val="0"/>
              <w:jc w:val="center"/>
              <w:rPr>
                <w:rFonts w:ascii="Titillium" w:hAnsi="Titillium" w:cstheme="minorHAnsi"/>
                <w:b/>
                <w:i/>
                <w:sz w:val="18"/>
                <w:szCs w:val="18"/>
              </w:rPr>
            </w:pPr>
            <w:r>
              <w:rPr>
                <w:rFonts w:ascii="Titillium" w:hAnsi="Titillium" w:cstheme="minorHAnsi"/>
                <w:b/>
                <w:i/>
                <w:sz w:val="18"/>
                <w:szCs w:val="18"/>
              </w:rPr>
              <w:t>Totale comprensivo di spese e oneri</w:t>
            </w:r>
          </w:p>
        </w:tc>
        <w:tc>
          <w:tcPr>
            <w:tcW w:w="1769" w:type="dxa"/>
            <w:gridSpan w:val="2"/>
            <w:tcBorders>
              <w:top w:val="single" w:sz="4" w:space="0" w:color="000000"/>
              <w:left w:val="single" w:sz="4" w:space="0" w:color="000000"/>
              <w:bottom w:val="single" w:sz="4" w:space="0" w:color="000000"/>
              <w:right w:val="single" w:sz="4" w:space="0" w:color="000000"/>
            </w:tcBorders>
          </w:tcPr>
          <w:p w14:paraId="32CABBE1" w14:textId="77777777" w:rsidR="006842EE" w:rsidRDefault="006842EE">
            <w:pPr>
              <w:widowControl w:val="0"/>
              <w:jc w:val="center"/>
              <w:rPr>
                <w:rFonts w:ascii="Titillium" w:hAnsi="Titillium" w:cstheme="minorHAnsi"/>
                <w:sz w:val="18"/>
                <w:szCs w:val="18"/>
              </w:rPr>
            </w:pPr>
          </w:p>
        </w:tc>
      </w:tr>
    </w:tbl>
    <w:p w14:paraId="74629B5E" w14:textId="77777777" w:rsidR="006842EE" w:rsidRDefault="006842EE">
      <w:pPr>
        <w:rPr>
          <w:rFonts w:ascii="Titillium" w:hAnsi="Titillium" w:cstheme="minorHAnsi"/>
          <w:b/>
          <w:i/>
          <w:sz w:val="18"/>
          <w:szCs w:val="18"/>
        </w:rPr>
      </w:pPr>
    </w:p>
    <w:p w14:paraId="05EF6CB3" w14:textId="77777777" w:rsidR="006842EE" w:rsidRDefault="006842EE">
      <w:pPr>
        <w:rPr>
          <w:rFonts w:ascii="Titillium" w:hAnsi="Titillium" w:cstheme="minorHAnsi"/>
          <w:b/>
          <w:i/>
          <w:sz w:val="18"/>
          <w:szCs w:val="18"/>
        </w:rPr>
      </w:pPr>
    </w:p>
    <w:p w14:paraId="4D29B2C5" w14:textId="009771DF" w:rsidR="006842EE" w:rsidRDefault="008F2625">
      <w:pPr>
        <w:rPr>
          <w:rFonts w:ascii="Titillium" w:hAnsi="Titillium" w:cstheme="minorHAnsi"/>
          <w:i/>
          <w:sz w:val="18"/>
          <w:szCs w:val="18"/>
        </w:rPr>
      </w:pPr>
      <w:r>
        <w:rPr>
          <w:rFonts w:ascii="Titillium" w:hAnsi="Titillium" w:cstheme="minorHAnsi"/>
          <w:b/>
          <w:i/>
          <w:sz w:val="18"/>
          <w:szCs w:val="18"/>
        </w:rPr>
        <w:t>Incarico di</w:t>
      </w:r>
      <w:r w:rsidR="0086099C">
        <w:rPr>
          <w:rFonts w:ascii="Titillium" w:hAnsi="Titillium" w:cstheme="minorHAnsi"/>
          <w:b/>
          <w:i/>
          <w:sz w:val="18"/>
          <w:szCs w:val="18"/>
        </w:rPr>
        <w:t xml:space="preserve"> … </w:t>
      </w:r>
      <w:r>
        <w:rPr>
          <w:rFonts w:ascii="Titillium" w:hAnsi="Titillium" w:cstheme="minorHAnsi"/>
          <w:i/>
          <w:sz w:val="18"/>
          <w:szCs w:val="18"/>
        </w:rPr>
        <w:t>(ad es. coordinamento sicurezza in fase di progettazione)</w:t>
      </w:r>
    </w:p>
    <w:p w14:paraId="48BB1B30" w14:textId="77777777" w:rsidR="00F54F85" w:rsidRDefault="00F54F85">
      <w:pPr>
        <w:rPr>
          <w:rFonts w:ascii="Titillium" w:hAnsi="Titillium" w:cstheme="minorHAnsi"/>
          <w:b/>
          <w:i/>
          <w:sz w:val="18"/>
          <w:szCs w:val="18"/>
        </w:rPr>
      </w:pPr>
    </w:p>
    <w:tbl>
      <w:tblPr>
        <w:tblW w:w="9209" w:type="dxa"/>
        <w:tblInd w:w="5" w:type="dxa"/>
        <w:tblLayout w:type="fixed"/>
        <w:tblLook w:val="0000" w:firstRow="0" w:lastRow="0" w:firstColumn="0" w:lastColumn="0" w:noHBand="0" w:noVBand="0"/>
      </w:tblPr>
      <w:tblGrid>
        <w:gridCol w:w="1421"/>
        <w:gridCol w:w="959"/>
        <w:gridCol w:w="1590"/>
        <w:gridCol w:w="1294"/>
        <w:gridCol w:w="854"/>
        <w:gridCol w:w="1372"/>
        <w:gridCol w:w="929"/>
        <w:gridCol w:w="790"/>
      </w:tblGrid>
      <w:tr w:rsidR="006842EE" w14:paraId="1BDF894B" w14:textId="77777777">
        <w:trPr>
          <w:trHeight w:val="340"/>
        </w:trPr>
        <w:tc>
          <w:tcPr>
            <w:tcW w:w="1420" w:type="dxa"/>
            <w:vMerge w:val="restart"/>
            <w:tcBorders>
              <w:top w:val="single" w:sz="4" w:space="0" w:color="000000"/>
              <w:left w:val="single" w:sz="4" w:space="0" w:color="000000"/>
              <w:bottom w:val="single" w:sz="4" w:space="0" w:color="000000"/>
              <w:right w:val="single" w:sz="4" w:space="0" w:color="000000"/>
            </w:tcBorders>
            <w:shd w:val="clear" w:color="auto" w:fill="E4E4E4"/>
          </w:tcPr>
          <w:p w14:paraId="53BBFBB1" w14:textId="77777777" w:rsidR="006842EE" w:rsidRDefault="006842EE">
            <w:pPr>
              <w:widowControl w:val="0"/>
              <w:jc w:val="center"/>
              <w:rPr>
                <w:rFonts w:ascii="Titillium" w:hAnsi="Titillium" w:cstheme="minorHAnsi"/>
                <w:b/>
                <w:i/>
                <w:sz w:val="18"/>
                <w:szCs w:val="18"/>
              </w:rPr>
            </w:pPr>
          </w:p>
          <w:p w14:paraId="6DB3A41E" w14:textId="77777777" w:rsidR="006842EE" w:rsidRDefault="008F2625">
            <w:pPr>
              <w:widowControl w:val="0"/>
              <w:ind w:left="117"/>
              <w:jc w:val="center"/>
              <w:rPr>
                <w:rFonts w:ascii="Titillium" w:hAnsi="Titillium" w:cstheme="minorHAnsi"/>
                <w:sz w:val="18"/>
                <w:szCs w:val="18"/>
              </w:rPr>
            </w:pPr>
            <w:r>
              <w:rPr>
                <w:rFonts w:ascii="Titillium" w:hAnsi="Titillium" w:cstheme="minorHAnsi"/>
                <w:sz w:val="18"/>
                <w:szCs w:val="18"/>
              </w:rPr>
              <w:t>CATEGORIE D’OPERA</w:t>
            </w: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E4E4E4"/>
          </w:tcPr>
          <w:p w14:paraId="1FAC058B" w14:textId="77777777" w:rsidR="006842EE" w:rsidRDefault="008F2625">
            <w:pPr>
              <w:widowControl w:val="0"/>
              <w:spacing w:before="67"/>
              <w:ind w:right="1765"/>
              <w:rPr>
                <w:rFonts w:ascii="Titillium" w:hAnsi="Titillium" w:cstheme="minorHAnsi"/>
                <w:sz w:val="18"/>
                <w:szCs w:val="18"/>
              </w:rPr>
            </w:pPr>
            <w:r>
              <w:rPr>
                <w:rFonts w:ascii="Titillium" w:hAnsi="Titillium" w:cstheme="minorHAnsi"/>
                <w:sz w:val="18"/>
                <w:szCs w:val="18"/>
              </w:rPr>
              <w:t>ID. OPERE</w:t>
            </w:r>
          </w:p>
        </w:tc>
        <w:tc>
          <w:tcPr>
            <w:tcW w:w="1294" w:type="dxa"/>
            <w:vMerge w:val="restart"/>
            <w:tcBorders>
              <w:top w:val="single" w:sz="4" w:space="0" w:color="000000"/>
              <w:left w:val="single" w:sz="4" w:space="0" w:color="000000"/>
              <w:bottom w:val="single" w:sz="4" w:space="0" w:color="000000"/>
              <w:right w:val="single" w:sz="4" w:space="0" w:color="000000"/>
            </w:tcBorders>
            <w:shd w:val="clear" w:color="auto" w:fill="E4E4E4"/>
          </w:tcPr>
          <w:p w14:paraId="255D55AD" w14:textId="77777777" w:rsidR="006842EE" w:rsidRDefault="008F2625">
            <w:pPr>
              <w:widowControl w:val="0"/>
              <w:spacing w:before="35"/>
              <w:ind w:right="85"/>
              <w:rPr>
                <w:rFonts w:ascii="Titillium" w:hAnsi="Titillium" w:cstheme="minorHAnsi"/>
                <w:sz w:val="18"/>
                <w:szCs w:val="18"/>
              </w:rPr>
            </w:pPr>
            <w:r>
              <w:rPr>
                <w:rFonts w:ascii="Titillium" w:hAnsi="Titillium" w:cstheme="minorHAnsi"/>
                <w:sz w:val="18"/>
                <w:szCs w:val="18"/>
              </w:rPr>
              <w:t xml:space="preserve">Grado Complessità </w:t>
            </w:r>
          </w:p>
          <w:p w14:paraId="08AC9FD3" w14:textId="77777777" w:rsidR="006842EE" w:rsidRDefault="008F2625">
            <w:pPr>
              <w:widowControl w:val="0"/>
              <w:spacing w:before="35"/>
              <w:ind w:right="85"/>
              <w:rPr>
                <w:rFonts w:ascii="Titillium" w:hAnsi="Titillium" w:cstheme="minorHAnsi"/>
                <w:sz w:val="18"/>
                <w:szCs w:val="18"/>
              </w:rPr>
            </w:pPr>
            <w:r>
              <w:rPr>
                <w:rFonts w:ascii="Titillium" w:hAnsi="Titillium" w:cstheme="minorHAnsi"/>
                <w:sz w:val="18"/>
                <w:szCs w:val="18"/>
              </w:rPr>
              <w:t>&lt;</w:t>
            </w:r>
            <w:r>
              <w:rPr>
                <w:rFonts w:ascii="Titillium" w:hAnsi="Titillium" w:cstheme="minorHAnsi"/>
                <w:b/>
                <w:sz w:val="18"/>
                <w:szCs w:val="18"/>
              </w:rPr>
              <w:t>G</w:t>
            </w:r>
            <w:r>
              <w:rPr>
                <w:rFonts w:ascii="Titillium" w:hAnsi="Titillium" w:cstheme="minorHAnsi"/>
                <w:sz w:val="18"/>
                <w:szCs w:val="18"/>
              </w:rPr>
              <w:t>&gt;&gt;</w:t>
            </w:r>
          </w:p>
        </w:tc>
        <w:tc>
          <w:tcPr>
            <w:tcW w:w="854" w:type="dxa"/>
            <w:vMerge w:val="restart"/>
            <w:tcBorders>
              <w:top w:val="single" w:sz="4" w:space="0" w:color="000000"/>
              <w:left w:val="single" w:sz="4" w:space="0" w:color="000000"/>
              <w:bottom w:val="single" w:sz="4" w:space="0" w:color="000000"/>
              <w:right w:val="single" w:sz="4" w:space="0" w:color="000000"/>
            </w:tcBorders>
            <w:shd w:val="clear" w:color="auto" w:fill="E4E4E4"/>
          </w:tcPr>
          <w:p w14:paraId="617C0A30" w14:textId="77777777" w:rsidR="006842EE" w:rsidRDefault="008F2625">
            <w:pPr>
              <w:widowControl w:val="0"/>
              <w:rPr>
                <w:rFonts w:ascii="Titillium" w:hAnsi="Titillium" w:cstheme="minorHAnsi"/>
                <w:sz w:val="18"/>
                <w:szCs w:val="18"/>
              </w:rPr>
            </w:pPr>
            <w:r>
              <w:rPr>
                <w:rFonts w:ascii="Titillium" w:hAnsi="Titillium" w:cstheme="minorHAnsi"/>
                <w:sz w:val="18"/>
                <w:szCs w:val="18"/>
              </w:rPr>
              <w:t xml:space="preserve">Importo </w:t>
            </w:r>
          </w:p>
          <w:p w14:paraId="6E9FB78A" w14:textId="77777777" w:rsidR="006842EE" w:rsidRDefault="008F2625">
            <w:pPr>
              <w:widowControl w:val="0"/>
              <w:rPr>
                <w:rFonts w:ascii="Titillium" w:hAnsi="Titillium" w:cstheme="minorHAnsi"/>
                <w:sz w:val="18"/>
                <w:szCs w:val="18"/>
              </w:rPr>
            </w:pPr>
            <w:r>
              <w:rPr>
                <w:rFonts w:ascii="Titillium" w:hAnsi="Titillium" w:cstheme="minorHAnsi"/>
                <w:sz w:val="18"/>
                <w:szCs w:val="18"/>
              </w:rPr>
              <w:t>delle opere</w:t>
            </w:r>
          </w:p>
        </w:tc>
        <w:tc>
          <w:tcPr>
            <w:tcW w:w="1372" w:type="dxa"/>
            <w:vMerge w:val="restart"/>
            <w:tcBorders>
              <w:top w:val="single" w:sz="4" w:space="0" w:color="000000"/>
              <w:left w:val="single" w:sz="4" w:space="0" w:color="000000"/>
              <w:bottom w:val="single" w:sz="4" w:space="0" w:color="000000"/>
              <w:right w:val="single" w:sz="4" w:space="0" w:color="000000"/>
            </w:tcBorders>
            <w:shd w:val="clear" w:color="auto" w:fill="E4E4E4"/>
          </w:tcPr>
          <w:p w14:paraId="00511CC0" w14:textId="77777777" w:rsidR="006842EE" w:rsidRDefault="008F2625">
            <w:pPr>
              <w:widowControl w:val="0"/>
              <w:spacing w:before="35"/>
              <w:ind w:right="109"/>
              <w:rPr>
                <w:rFonts w:ascii="Titillium" w:hAnsi="Titillium" w:cstheme="minorHAnsi"/>
                <w:sz w:val="18"/>
                <w:szCs w:val="18"/>
              </w:rPr>
            </w:pPr>
            <w:r>
              <w:rPr>
                <w:rFonts w:ascii="Titillium" w:hAnsi="Titillium" w:cstheme="minorHAnsi"/>
                <w:sz w:val="18"/>
                <w:szCs w:val="18"/>
              </w:rPr>
              <w:t>Specificità della prestazione</w:t>
            </w:r>
          </w:p>
        </w:tc>
        <w:tc>
          <w:tcPr>
            <w:tcW w:w="929" w:type="dxa"/>
            <w:vMerge w:val="restart"/>
            <w:tcBorders>
              <w:top w:val="single" w:sz="4" w:space="0" w:color="000000"/>
              <w:left w:val="single" w:sz="4" w:space="0" w:color="000000"/>
              <w:bottom w:val="single" w:sz="4" w:space="0" w:color="000000"/>
              <w:right w:val="single" w:sz="4" w:space="0" w:color="000000"/>
            </w:tcBorders>
            <w:shd w:val="clear" w:color="auto" w:fill="E4E4E4"/>
          </w:tcPr>
          <w:p w14:paraId="42C8AFB7" w14:textId="77777777" w:rsidR="006842EE" w:rsidRDefault="008F2625">
            <w:pPr>
              <w:widowControl w:val="0"/>
              <w:spacing w:before="35"/>
              <w:ind w:right="109"/>
              <w:rPr>
                <w:rFonts w:ascii="Titillium" w:hAnsi="Titillium" w:cstheme="minorHAnsi"/>
                <w:sz w:val="18"/>
                <w:szCs w:val="18"/>
              </w:rPr>
            </w:pPr>
            <w:r>
              <w:rPr>
                <w:rFonts w:ascii="Titillium" w:hAnsi="Titillium" w:cstheme="minorHAnsi"/>
                <w:sz w:val="18"/>
                <w:szCs w:val="18"/>
              </w:rPr>
              <w:t>Importo</w:t>
            </w:r>
          </w:p>
        </w:tc>
        <w:tc>
          <w:tcPr>
            <w:tcW w:w="790" w:type="dxa"/>
            <w:vMerge w:val="restart"/>
            <w:tcBorders>
              <w:top w:val="single" w:sz="4" w:space="0" w:color="000000"/>
              <w:left w:val="single" w:sz="4" w:space="0" w:color="000000"/>
              <w:bottom w:val="single" w:sz="4" w:space="0" w:color="000000"/>
              <w:right w:val="single" w:sz="4" w:space="0" w:color="000000"/>
            </w:tcBorders>
            <w:shd w:val="clear" w:color="auto" w:fill="E4E4E4"/>
          </w:tcPr>
          <w:p w14:paraId="2809E1A4" w14:textId="77777777" w:rsidR="006842EE" w:rsidRDefault="008F2625">
            <w:pPr>
              <w:widowControl w:val="0"/>
              <w:spacing w:before="35"/>
              <w:ind w:right="109"/>
              <w:rPr>
                <w:rFonts w:ascii="Titillium" w:hAnsi="Titillium" w:cstheme="minorHAnsi"/>
                <w:sz w:val="18"/>
                <w:szCs w:val="18"/>
              </w:rPr>
            </w:pPr>
            <w:r>
              <w:rPr>
                <w:rFonts w:ascii="Titillium" w:hAnsi="Titillium" w:cstheme="minorHAnsi"/>
                <w:sz w:val="18"/>
                <w:szCs w:val="18"/>
              </w:rPr>
              <w:t xml:space="preserve">Spese </w:t>
            </w:r>
          </w:p>
          <w:p w14:paraId="1E22107F" w14:textId="77777777" w:rsidR="006842EE" w:rsidRDefault="008F2625">
            <w:pPr>
              <w:widowControl w:val="0"/>
              <w:spacing w:before="35"/>
              <w:ind w:right="109"/>
              <w:rPr>
                <w:rFonts w:ascii="Titillium" w:hAnsi="Titillium" w:cstheme="minorHAnsi"/>
                <w:sz w:val="18"/>
                <w:szCs w:val="18"/>
              </w:rPr>
            </w:pPr>
            <w:r>
              <w:rPr>
                <w:rFonts w:ascii="Titillium" w:hAnsi="Titillium" w:cstheme="minorHAnsi"/>
                <w:sz w:val="18"/>
                <w:szCs w:val="18"/>
              </w:rPr>
              <w:t>e oneri</w:t>
            </w:r>
          </w:p>
        </w:tc>
      </w:tr>
      <w:tr w:rsidR="006842EE" w14:paraId="5B5845E0" w14:textId="77777777">
        <w:trPr>
          <w:trHeight w:val="340"/>
        </w:trPr>
        <w:tc>
          <w:tcPr>
            <w:tcW w:w="1420" w:type="dxa"/>
            <w:vMerge/>
            <w:tcBorders>
              <w:top w:val="single" w:sz="4" w:space="0" w:color="000000"/>
              <w:left w:val="single" w:sz="4" w:space="0" w:color="000000"/>
              <w:bottom w:val="single" w:sz="4" w:space="0" w:color="000000"/>
              <w:right w:val="single" w:sz="4" w:space="0" w:color="000000"/>
            </w:tcBorders>
            <w:shd w:val="clear" w:color="auto" w:fill="E4E4E4"/>
          </w:tcPr>
          <w:p w14:paraId="69A2BBB7" w14:textId="77777777" w:rsidR="006842EE" w:rsidRDefault="006842EE">
            <w:pPr>
              <w:widowControl w:val="0"/>
              <w:rPr>
                <w:rFonts w:ascii="Titillium" w:hAnsi="Titillium" w:cstheme="minorHAnsi"/>
                <w:sz w:val="18"/>
                <w:szCs w:val="18"/>
              </w:rPr>
            </w:pPr>
          </w:p>
        </w:tc>
        <w:tc>
          <w:tcPr>
            <w:tcW w:w="959" w:type="dxa"/>
            <w:tcBorders>
              <w:top w:val="single" w:sz="4" w:space="0" w:color="000000"/>
              <w:left w:val="single" w:sz="4" w:space="0" w:color="000000"/>
              <w:bottom w:val="single" w:sz="4" w:space="0" w:color="000000"/>
              <w:right w:val="single" w:sz="4" w:space="0" w:color="000000"/>
            </w:tcBorders>
            <w:shd w:val="clear" w:color="auto" w:fill="E4E4E4"/>
          </w:tcPr>
          <w:p w14:paraId="23084189" w14:textId="77777777" w:rsidR="006842EE" w:rsidRDefault="008F2625">
            <w:pPr>
              <w:widowControl w:val="0"/>
              <w:spacing w:before="67"/>
              <w:ind w:right="138"/>
              <w:jc w:val="center"/>
              <w:rPr>
                <w:rFonts w:ascii="Titillium" w:hAnsi="Titillium" w:cstheme="minorHAnsi"/>
                <w:sz w:val="18"/>
                <w:szCs w:val="18"/>
              </w:rPr>
            </w:pPr>
            <w:r>
              <w:rPr>
                <w:rFonts w:ascii="Titillium" w:hAnsi="Titillium" w:cstheme="minorHAnsi"/>
                <w:sz w:val="18"/>
                <w:szCs w:val="18"/>
              </w:rPr>
              <w:t>Codice</w:t>
            </w:r>
          </w:p>
        </w:tc>
        <w:tc>
          <w:tcPr>
            <w:tcW w:w="1590" w:type="dxa"/>
            <w:tcBorders>
              <w:top w:val="single" w:sz="4" w:space="0" w:color="000000"/>
              <w:left w:val="single" w:sz="4" w:space="0" w:color="000000"/>
              <w:bottom w:val="single" w:sz="4" w:space="0" w:color="000000"/>
              <w:right w:val="single" w:sz="4" w:space="0" w:color="000000"/>
            </w:tcBorders>
            <w:shd w:val="clear" w:color="auto" w:fill="E4E4E4"/>
          </w:tcPr>
          <w:p w14:paraId="0EC6E762" w14:textId="77777777" w:rsidR="006842EE" w:rsidRDefault="008F2625">
            <w:pPr>
              <w:widowControl w:val="0"/>
              <w:spacing w:before="67"/>
              <w:ind w:right="317"/>
              <w:jc w:val="center"/>
              <w:rPr>
                <w:rFonts w:ascii="Titillium" w:hAnsi="Titillium" w:cstheme="minorHAnsi"/>
                <w:sz w:val="18"/>
                <w:szCs w:val="18"/>
              </w:rPr>
            </w:pPr>
            <w:r>
              <w:rPr>
                <w:rFonts w:ascii="Titillium" w:hAnsi="Titillium" w:cstheme="minorHAnsi"/>
                <w:sz w:val="18"/>
                <w:szCs w:val="18"/>
              </w:rPr>
              <w:t>Descrizione</w:t>
            </w:r>
          </w:p>
        </w:tc>
        <w:tc>
          <w:tcPr>
            <w:tcW w:w="1294" w:type="dxa"/>
            <w:vMerge/>
            <w:tcBorders>
              <w:top w:val="single" w:sz="4" w:space="0" w:color="000000"/>
              <w:left w:val="single" w:sz="4" w:space="0" w:color="000000"/>
              <w:bottom w:val="single" w:sz="4" w:space="0" w:color="000000"/>
              <w:right w:val="single" w:sz="4" w:space="0" w:color="000000"/>
            </w:tcBorders>
            <w:shd w:val="clear" w:color="auto" w:fill="E4E4E4"/>
          </w:tcPr>
          <w:p w14:paraId="7FA7606E" w14:textId="77777777" w:rsidR="006842EE" w:rsidRDefault="006842EE">
            <w:pPr>
              <w:widowControl w:val="0"/>
              <w:rPr>
                <w:rFonts w:ascii="Titillium" w:hAnsi="Titillium" w:cstheme="minorHAnsi"/>
                <w:sz w:val="18"/>
                <w:szCs w:val="18"/>
              </w:rPr>
            </w:pPr>
          </w:p>
        </w:tc>
        <w:tc>
          <w:tcPr>
            <w:tcW w:w="854" w:type="dxa"/>
            <w:vMerge/>
            <w:tcBorders>
              <w:top w:val="single" w:sz="4" w:space="0" w:color="000000"/>
              <w:left w:val="single" w:sz="4" w:space="0" w:color="000000"/>
              <w:bottom w:val="single" w:sz="4" w:space="0" w:color="000000"/>
              <w:right w:val="single" w:sz="4" w:space="0" w:color="000000"/>
            </w:tcBorders>
            <w:shd w:val="clear" w:color="auto" w:fill="E4E4E4"/>
          </w:tcPr>
          <w:p w14:paraId="532B6740" w14:textId="77777777" w:rsidR="006842EE" w:rsidRDefault="006842EE">
            <w:pPr>
              <w:widowControl w:val="0"/>
              <w:rPr>
                <w:rFonts w:ascii="Titillium" w:hAnsi="Titillium" w:cstheme="minorHAnsi"/>
                <w:sz w:val="18"/>
                <w:szCs w:val="18"/>
              </w:rPr>
            </w:pPr>
          </w:p>
        </w:tc>
        <w:tc>
          <w:tcPr>
            <w:tcW w:w="1372" w:type="dxa"/>
            <w:vMerge/>
            <w:tcBorders>
              <w:top w:val="single" w:sz="4" w:space="0" w:color="000000"/>
              <w:left w:val="single" w:sz="4" w:space="0" w:color="000000"/>
              <w:bottom w:val="single" w:sz="4" w:space="0" w:color="000000"/>
              <w:right w:val="single" w:sz="4" w:space="0" w:color="000000"/>
            </w:tcBorders>
            <w:shd w:val="clear" w:color="auto" w:fill="E4E4E4"/>
          </w:tcPr>
          <w:p w14:paraId="4324F5DD" w14:textId="77777777" w:rsidR="006842EE" w:rsidRDefault="006842EE">
            <w:pPr>
              <w:widowControl w:val="0"/>
              <w:rPr>
                <w:rFonts w:ascii="Titillium" w:hAnsi="Titillium" w:cstheme="minorHAnsi"/>
                <w:sz w:val="18"/>
                <w:szCs w:val="18"/>
              </w:rPr>
            </w:pPr>
          </w:p>
        </w:tc>
        <w:tc>
          <w:tcPr>
            <w:tcW w:w="929" w:type="dxa"/>
            <w:vMerge/>
            <w:tcBorders>
              <w:top w:val="single" w:sz="4" w:space="0" w:color="000000"/>
              <w:left w:val="single" w:sz="4" w:space="0" w:color="000000"/>
              <w:bottom w:val="single" w:sz="4" w:space="0" w:color="000000"/>
              <w:right w:val="single" w:sz="4" w:space="0" w:color="000000"/>
            </w:tcBorders>
            <w:shd w:val="clear" w:color="auto" w:fill="E4E4E4"/>
          </w:tcPr>
          <w:p w14:paraId="7BF90389" w14:textId="77777777" w:rsidR="006842EE" w:rsidRDefault="006842EE">
            <w:pPr>
              <w:widowControl w:val="0"/>
              <w:rPr>
                <w:rFonts w:ascii="Titillium" w:hAnsi="Titillium" w:cstheme="minorHAnsi"/>
                <w:sz w:val="18"/>
                <w:szCs w:val="18"/>
              </w:rPr>
            </w:pPr>
          </w:p>
        </w:tc>
        <w:tc>
          <w:tcPr>
            <w:tcW w:w="790" w:type="dxa"/>
            <w:vMerge/>
            <w:tcBorders>
              <w:top w:val="single" w:sz="4" w:space="0" w:color="000000"/>
              <w:left w:val="single" w:sz="4" w:space="0" w:color="000000"/>
              <w:bottom w:val="single" w:sz="4" w:space="0" w:color="000000"/>
              <w:right w:val="single" w:sz="4" w:space="0" w:color="000000"/>
            </w:tcBorders>
            <w:shd w:val="clear" w:color="auto" w:fill="E4E4E4"/>
          </w:tcPr>
          <w:p w14:paraId="1B09A053" w14:textId="77777777" w:rsidR="006842EE" w:rsidRDefault="006842EE">
            <w:pPr>
              <w:widowControl w:val="0"/>
              <w:rPr>
                <w:rFonts w:ascii="Titillium" w:hAnsi="Titillium" w:cstheme="minorHAnsi"/>
                <w:sz w:val="18"/>
                <w:szCs w:val="18"/>
              </w:rPr>
            </w:pPr>
          </w:p>
        </w:tc>
      </w:tr>
      <w:tr w:rsidR="006842EE" w14:paraId="20D0C3B1" w14:textId="77777777">
        <w:trPr>
          <w:trHeight w:val="1034"/>
        </w:trPr>
        <w:tc>
          <w:tcPr>
            <w:tcW w:w="1420" w:type="dxa"/>
            <w:vMerge w:val="restart"/>
            <w:tcBorders>
              <w:top w:val="single" w:sz="4" w:space="0" w:color="000000"/>
              <w:left w:val="single" w:sz="4" w:space="0" w:color="000000"/>
              <w:bottom w:val="single" w:sz="4" w:space="0" w:color="000000"/>
              <w:right w:val="single" w:sz="4" w:space="0" w:color="000000"/>
            </w:tcBorders>
            <w:vAlign w:val="center"/>
          </w:tcPr>
          <w:p w14:paraId="647D8547" w14:textId="77777777" w:rsidR="006842EE" w:rsidRDefault="008F2625">
            <w:pPr>
              <w:widowControl w:val="0"/>
              <w:spacing w:before="1"/>
              <w:ind w:right="484"/>
              <w:jc w:val="center"/>
              <w:rPr>
                <w:rFonts w:ascii="Titillium" w:hAnsi="Titillium" w:cstheme="minorHAnsi"/>
                <w:sz w:val="18"/>
                <w:szCs w:val="18"/>
              </w:rPr>
            </w:pPr>
            <w:r>
              <w:rPr>
                <w:rFonts w:ascii="Titillium" w:hAnsi="Titillium" w:cstheme="minorHAnsi"/>
                <w:sz w:val="18"/>
                <w:szCs w:val="18"/>
              </w:rPr>
              <w:t>Ad es. EDILIZIA</w:t>
            </w:r>
          </w:p>
          <w:p w14:paraId="3E6EEC01" w14:textId="77777777" w:rsidR="006842EE" w:rsidRDefault="006842EE">
            <w:pPr>
              <w:widowControl w:val="0"/>
              <w:jc w:val="center"/>
              <w:rPr>
                <w:rFonts w:ascii="Titillium" w:hAnsi="Titillium" w:cstheme="minorHAnsi"/>
                <w:b/>
                <w:i/>
                <w:sz w:val="18"/>
                <w:szCs w:val="18"/>
              </w:rPr>
            </w:pPr>
          </w:p>
          <w:p w14:paraId="4060BBD4" w14:textId="77777777" w:rsidR="006842EE" w:rsidRDefault="006842EE">
            <w:pPr>
              <w:widowControl w:val="0"/>
              <w:spacing w:before="161"/>
              <w:ind w:right="484"/>
              <w:rPr>
                <w:rFonts w:ascii="Titillium" w:hAnsi="Titillium" w:cstheme="minorHAnsi"/>
                <w:sz w:val="18"/>
                <w:szCs w:val="18"/>
              </w:rPr>
            </w:pPr>
          </w:p>
        </w:tc>
        <w:tc>
          <w:tcPr>
            <w:tcW w:w="959" w:type="dxa"/>
            <w:vMerge w:val="restart"/>
            <w:tcBorders>
              <w:top w:val="single" w:sz="4" w:space="0" w:color="000000"/>
              <w:left w:val="single" w:sz="4" w:space="0" w:color="000000"/>
              <w:bottom w:val="single" w:sz="4" w:space="0" w:color="000000"/>
              <w:right w:val="single" w:sz="4" w:space="0" w:color="000000"/>
            </w:tcBorders>
            <w:vAlign w:val="center"/>
          </w:tcPr>
          <w:p w14:paraId="5A128935" w14:textId="77777777" w:rsidR="006842EE" w:rsidRDefault="008F2625">
            <w:pPr>
              <w:widowControl w:val="0"/>
              <w:spacing w:before="1"/>
              <w:ind w:right="227"/>
              <w:jc w:val="center"/>
              <w:rPr>
                <w:rFonts w:ascii="Titillium" w:hAnsi="Titillium" w:cstheme="minorHAnsi"/>
                <w:sz w:val="18"/>
                <w:szCs w:val="18"/>
              </w:rPr>
            </w:pPr>
            <w:r>
              <w:rPr>
                <w:rFonts w:ascii="Titillium" w:hAnsi="Titillium" w:cstheme="minorHAnsi"/>
                <w:sz w:val="18"/>
                <w:szCs w:val="18"/>
              </w:rPr>
              <w:t>[…]</w:t>
            </w:r>
          </w:p>
          <w:p w14:paraId="1426A440" w14:textId="77777777" w:rsidR="006842EE" w:rsidRDefault="006842EE">
            <w:pPr>
              <w:widowControl w:val="0"/>
              <w:spacing w:before="1"/>
              <w:ind w:right="227"/>
              <w:rPr>
                <w:rFonts w:ascii="Titillium" w:hAnsi="Titillium" w:cstheme="minorHAnsi"/>
                <w:sz w:val="18"/>
                <w:szCs w:val="18"/>
              </w:rPr>
            </w:pPr>
          </w:p>
        </w:tc>
        <w:tc>
          <w:tcPr>
            <w:tcW w:w="1590" w:type="dxa"/>
            <w:vMerge w:val="restart"/>
            <w:tcBorders>
              <w:top w:val="single" w:sz="4" w:space="0" w:color="000000"/>
              <w:left w:val="single" w:sz="4" w:space="0" w:color="000000"/>
              <w:bottom w:val="single" w:sz="4" w:space="0" w:color="000000"/>
              <w:right w:val="single" w:sz="4" w:space="0" w:color="000000"/>
            </w:tcBorders>
            <w:vAlign w:val="center"/>
          </w:tcPr>
          <w:p w14:paraId="2977F79B" w14:textId="77777777" w:rsidR="006842EE" w:rsidRDefault="008F2625">
            <w:pPr>
              <w:widowControl w:val="0"/>
              <w:ind w:left="108"/>
              <w:jc w:val="center"/>
              <w:rPr>
                <w:rFonts w:ascii="Titillium" w:hAnsi="Titillium" w:cstheme="minorHAnsi"/>
                <w:i/>
                <w:sz w:val="18"/>
                <w:szCs w:val="18"/>
              </w:rPr>
            </w:pPr>
            <w:r>
              <w:rPr>
                <w:rFonts w:ascii="Titillium" w:hAnsi="Titillium" w:cstheme="minorHAnsi"/>
                <w:sz w:val="18"/>
                <w:szCs w:val="18"/>
              </w:rPr>
              <w:t>[…]</w:t>
            </w:r>
          </w:p>
          <w:p w14:paraId="7A62AC4D" w14:textId="77777777" w:rsidR="006842EE" w:rsidRDefault="006842EE">
            <w:pPr>
              <w:widowControl w:val="0"/>
              <w:ind w:left="108"/>
              <w:rPr>
                <w:rFonts w:ascii="Titillium" w:hAnsi="Titillium" w:cstheme="minorHAnsi"/>
                <w:i/>
                <w:sz w:val="18"/>
                <w:szCs w:val="18"/>
              </w:rPr>
            </w:pPr>
          </w:p>
        </w:tc>
        <w:tc>
          <w:tcPr>
            <w:tcW w:w="1294" w:type="dxa"/>
            <w:vMerge w:val="restart"/>
            <w:tcBorders>
              <w:top w:val="single" w:sz="4" w:space="0" w:color="000000"/>
              <w:left w:val="single" w:sz="4" w:space="0" w:color="000000"/>
              <w:bottom w:val="single" w:sz="4" w:space="0" w:color="000000"/>
              <w:right w:val="single" w:sz="4" w:space="0" w:color="000000"/>
            </w:tcBorders>
            <w:vAlign w:val="center"/>
          </w:tcPr>
          <w:p w14:paraId="3679129D" w14:textId="77777777" w:rsidR="006842EE" w:rsidRDefault="008F2625">
            <w:pPr>
              <w:widowControl w:val="0"/>
              <w:jc w:val="center"/>
              <w:rPr>
                <w:rFonts w:ascii="Titillium" w:hAnsi="Titillium" w:cstheme="minorHAnsi"/>
                <w:sz w:val="18"/>
                <w:szCs w:val="18"/>
              </w:rPr>
            </w:pPr>
            <w:r>
              <w:rPr>
                <w:rFonts w:ascii="Titillium" w:hAnsi="Titillium" w:cstheme="minorHAnsi"/>
                <w:sz w:val="18"/>
                <w:szCs w:val="18"/>
              </w:rPr>
              <w:t>[…]</w:t>
            </w:r>
          </w:p>
          <w:p w14:paraId="5DCBE8A0" w14:textId="77777777" w:rsidR="006842EE" w:rsidRDefault="006842EE">
            <w:pPr>
              <w:widowControl w:val="0"/>
              <w:rPr>
                <w:rFonts w:ascii="Titillium" w:hAnsi="Titillium" w:cstheme="minorHAnsi"/>
                <w:sz w:val="18"/>
                <w:szCs w:val="18"/>
              </w:rPr>
            </w:pPr>
          </w:p>
        </w:tc>
        <w:tc>
          <w:tcPr>
            <w:tcW w:w="854" w:type="dxa"/>
            <w:vMerge w:val="restart"/>
            <w:tcBorders>
              <w:top w:val="single" w:sz="4" w:space="0" w:color="000000"/>
              <w:left w:val="single" w:sz="4" w:space="0" w:color="000000"/>
              <w:bottom w:val="single" w:sz="4" w:space="0" w:color="000000"/>
              <w:right w:val="single" w:sz="4" w:space="0" w:color="000000"/>
            </w:tcBorders>
            <w:vAlign w:val="center"/>
          </w:tcPr>
          <w:p w14:paraId="72A828ED" w14:textId="77777777" w:rsidR="006842EE" w:rsidRDefault="008F2625">
            <w:pPr>
              <w:widowControl w:val="0"/>
              <w:jc w:val="center"/>
              <w:rPr>
                <w:rFonts w:ascii="Titillium" w:hAnsi="Titillium" w:cstheme="minorHAnsi"/>
                <w:sz w:val="18"/>
                <w:szCs w:val="18"/>
              </w:rPr>
            </w:pPr>
            <w:r>
              <w:rPr>
                <w:rFonts w:ascii="Titillium" w:hAnsi="Titillium" w:cstheme="minorHAnsi"/>
                <w:sz w:val="18"/>
                <w:szCs w:val="18"/>
              </w:rPr>
              <w:t>[…]</w:t>
            </w:r>
          </w:p>
          <w:p w14:paraId="3836EE08" w14:textId="77777777" w:rsidR="006842EE" w:rsidRDefault="006842EE">
            <w:pPr>
              <w:widowControl w:val="0"/>
              <w:rPr>
                <w:rFonts w:ascii="Titillium" w:hAnsi="Titillium" w:cstheme="minorHAnsi"/>
                <w:sz w:val="18"/>
                <w:szCs w:val="18"/>
              </w:rPr>
            </w:pPr>
          </w:p>
        </w:tc>
        <w:tc>
          <w:tcPr>
            <w:tcW w:w="1372" w:type="dxa"/>
            <w:tcBorders>
              <w:top w:val="single" w:sz="4" w:space="0" w:color="000000"/>
              <w:left w:val="single" w:sz="4" w:space="0" w:color="000000"/>
              <w:bottom w:val="single" w:sz="4" w:space="0" w:color="000000"/>
              <w:right w:val="single" w:sz="4" w:space="0" w:color="000000"/>
            </w:tcBorders>
            <w:vAlign w:val="center"/>
          </w:tcPr>
          <w:p w14:paraId="2E566BF8" w14:textId="77777777" w:rsidR="006842EE" w:rsidRDefault="008F2625">
            <w:pPr>
              <w:widowControl w:val="0"/>
              <w:jc w:val="center"/>
              <w:rPr>
                <w:rFonts w:ascii="Titillium" w:hAnsi="Titillium" w:cstheme="minorHAnsi"/>
                <w:sz w:val="18"/>
                <w:szCs w:val="18"/>
              </w:rPr>
            </w:pPr>
            <w:r>
              <w:rPr>
                <w:rFonts w:ascii="Titillium" w:hAnsi="Titillium" w:cstheme="minorHAnsi"/>
                <w:sz w:val="18"/>
                <w:szCs w:val="18"/>
              </w:rPr>
              <w:t>[…]</w:t>
            </w:r>
          </w:p>
        </w:tc>
        <w:tc>
          <w:tcPr>
            <w:tcW w:w="929" w:type="dxa"/>
            <w:tcBorders>
              <w:top w:val="single" w:sz="4" w:space="0" w:color="000000"/>
              <w:left w:val="single" w:sz="4" w:space="0" w:color="000000"/>
              <w:bottom w:val="single" w:sz="4" w:space="0" w:color="000000"/>
              <w:right w:val="single" w:sz="4" w:space="0" w:color="000000"/>
            </w:tcBorders>
          </w:tcPr>
          <w:p w14:paraId="4478D260" w14:textId="77777777" w:rsidR="006842EE" w:rsidRDefault="006842EE">
            <w:pPr>
              <w:widowControl w:val="0"/>
              <w:jc w:val="center"/>
              <w:rPr>
                <w:rFonts w:ascii="Titillium" w:hAnsi="Titillium" w:cstheme="minorHAnsi"/>
                <w:sz w:val="18"/>
                <w:szCs w:val="18"/>
              </w:rPr>
            </w:pPr>
          </w:p>
        </w:tc>
        <w:tc>
          <w:tcPr>
            <w:tcW w:w="790" w:type="dxa"/>
            <w:tcBorders>
              <w:top w:val="single" w:sz="4" w:space="0" w:color="000000"/>
              <w:left w:val="single" w:sz="4" w:space="0" w:color="000000"/>
              <w:bottom w:val="single" w:sz="4" w:space="0" w:color="000000"/>
              <w:right w:val="single" w:sz="4" w:space="0" w:color="000000"/>
            </w:tcBorders>
          </w:tcPr>
          <w:p w14:paraId="6A2B7913" w14:textId="77777777" w:rsidR="006842EE" w:rsidRDefault="006842EE">
            <w:pPr>
              <w:widowControl w:val="0"/>
              <w:jc w:val="center"/>
              <w:rPr>
                <w:rFonts w:ascii="Titillium" w:hAnsi="Titillium" w:cstheme="minorHAnsi"/>
                <w:sz w:val="18"/>
                <w:szCs w:val="18"/>
              </w:rPr>
            </w:pPr>
          </w:p>
        </w:tc>
      </w:tr>
      <w:tr w:rsidR="006842EE" w14:paraId="2883F9C7" w14:textId="77777777">
        <w:trPr>
          <w:trHeight w:val="1449"/>
        </w:trPr>
        <w:tc>
          <w:tcPr>
            <w:tcW w:w="1420" w:type="dxa"/>
            <w:vMerge/>
            <w:tcBorders>
              <w:top w:val="single" w:sz="4" w:space="0" w:color="000000"/>
              <w:left w:val="single" w:sz="4" w:space="0" w:color="000000"/>
              <w:bottom w:val="single" w:sz="4" w:space="0" w:color="000000"/>
              <w:right w:val="single" w:sz="4" w:space="0" w:color="000000"/>
            </w:tcBorders>
            <w:vAlign w:val="center"/>
          </w:tcPr>
          <w:p w14:paraId="03F02576" w14:textId="77777777" w:rsidR="006842EE" w:rsidRDefault="006842EE">
            <w:pPr>
              <w:widowControl w:val="0"/>
              <w:rPr>
                <w:rFonts w:ascii="Titillium" w:hAnsi="Titillium" w:cstheme="minorHAnsi"/>
                <w:sz w:val="18"/>
                <w:szCs w:val="18"/>
              </w:rPr>
            </w:pPr>
          </w:p>
        </w:tc>
        <w:tc>
          <w:tcPr>
            <w:tcW w:w="959" w:type="dxa"/>
            <w:vMerge/>
            <w:tcBorders>
              <w:top w:val="single" w:sz="4" w:space="0" w:color="000000"/>
              <w:left w:val="single" w:sz="4" w:space="0" w:color="000000"/>
              <w:bottom w:val="single" w:sz="4" w:space="0" w:color="000000"/>
              <w:right w:val="single" w:sz="4" w:space="0" w:color="000000"/>
            </w:tcBorders>
            <w:vAlign w:val="center"/>
          </w:tcPr>
          <w:p w14:paraId="2ED9D046" w14:textId="77777777" w:rsidR="006842EE" w:rsidRDefault="006842EE">
            <w:pPr>
              <w:widowControl w:val="0"/>
              <w:rPr>
                <w:rFonts w:ascii="Titillium" w:hAnsi="Titillium" w:cstheme="minorHAnsi"/>
                <w:sz w:val="18"/>
                <w:szCs w:val="18"/>
              </w:rPr>
            </w:pPr>
          </w:p>
        </w:tc>
        <w:tc>
          <w:tcPr>
            <w:tcW w:w="1590" w:type="dxa"/>
            <w:vMerge/>
            <w:tcBorders>
              <w:top w:val="single" w:sz="4" w:space="0" w:color="000000"/>
              <w:left w:val="single" w:sz="4" w:space="0" w:color="000000"/>
              <w:bottom w:val="single" w:sz="4" w:space="0" w:color="000000"/>
              <w:right w:val="single" w:sz="4" w:space="0" w:color="000000"/>
            </w:tcBorders>
            <w:vAlign w:val="center"/>
          </w:tcPr>
          <w:p w14:paraId="7517CDF1" w14:textId="77777777" w:rsidR="006842EE" w:rsidRDefault="006842EE">
            <w:pPr>
              <w:widowControl w:val="0"/>
              <w:rPr>
                <w:rFonts w:ascii="Titillium" w:hAnsi="Titillium" w:cstheme="minorHAnsi"/>
                <w:sz w:val="18"/>
                <w:szCs w:val="18"/>
              </w:rPr>
            </w:pPr>
          </w:p>
        </w:tc>
        <w:tc>
          <w:tcPr>
            <w:tcW w:w="1294" w:type="dxa"/>
            <w:vMerge/>
            <w:tcBorders>
              <w:top w:val="single" w:sz="4" w:space="0" w:color="000000"/>
              <w:left w:val="single" w:sz="4" w:space="0" w:color="000000"/>
              <w:bottom w:val="single" w:sz="4" w:space="0" w:color="000000"/>
              <w:right w:val="single" w:sz="4" w:space="0" w:color="000000"/>
            </w:tcBorders>
            <w:vAlign w:val="center"/>
          </w:tcPr>
          <w:p w14:paraId="2D447F74" w14:textId="77777777" w:rsidR="006842EE" w:rsidRDefault="006842EE">
            <w:pPr>
              <w:widowControl w:val="0"/>
              <w:rPr>
                <w:rFonts w:ascii="Titillium" w:hAnsi="Titillium" w:cstheme="minorHAnsi"/>
                <w:sz w:val="18"/>
                <w:szCs w:val="18"/>
              </w:rPr>
            </w:pPr>
          </w:p>
        </w:tc>
        <w:tc>
          <w:tcPr>
            <w:tcW w:w="854" w:type="dxa"/>
            <w:vMerge/>
            <w:tcBorders>
              <w:top w:val="single" w:sz="4" w:space="0" w:color="000000"/>
              <w:left w:val="single" w:sz="4" w:space="0" w:color="000000"/>
              <w:bottom w:val="single" w:sz="4" w:space="0" w:color="000000"/>
              <w:right w:val="single" w:sz="4" w:space="0" w:color="000000"/>
            </w:tcBorders>
            <w:vAlign w:val="center"/>
          </w:tcPr>
          <w:p w14:paraId="37DA4402" w14:textId="77777777" w:rsidR="006842EE" w:rsidRDefault="006842EE">
            <w:pPr>
              <w:widowControl w:val="0"/>
              <w:rPr>
                <w:rFonts w:ascii="Titillium" w:hAnsi="Titillium" w:cstheme="minorHAnsi"/>
                <w:sz w:val="18"/>
                <w:szCs w:val="18"/>
              </w:rPr>
            </w:pPr>
          </w:p>
        </w:tc>
        <w:tc>
          <w:tcPr>
            <w:tcW w:w="1372" w:type="dxa"/>
            <w:tcBorders>
              <w:top w:val="single" w:sz="4" w:space="0" w:color="000000"/>
              <w:left w:val="single" w:sz="4" w:space="0" w:color="000000"/>
              <w:bottom w:val="single" w:sz="4" w:space="0" w:color="000000"/>
              <w:right w:val="single" w:sz="4" w:space="0" w:color="000000"/>
            </w:tcBorders>
            <w:vAlign w:val="center"/>
          </w:tcPr>
          <w:p w14:paraId="4B6FC36A" w14:textId="77777777" w:rsidR="006842EE" w:rsidRDefault="008F2625">
            <w:pPr>
              <w:widowControl w:val="0"/>
              <w:jc w:val="center"/>
              <w:rPr>
                <w:rFonts w:ascii="Titillium" w:hAnsi="Titillium" w:cstheme="minorHAnsi"/>
                <w:sz w:val="18"/>
                <w:szCs w:val="18"/>
              </w:rPr>
            </w:pPr>
            <w:r>
              <w:rPr>
                <w:rFonts w:ascii="Titillium" w:hAnsi="Titillium" w:cstheme="minorHAnsi"/>
                <w:sz w:val="18"/>
                <w:szCs w:val="18"/>
              </w:rPr>
              <w:t>[…]</w:t>
            </w:r>
          </w:p>
        </w:tc>
        <w:tc>
          <w:tcPr>
            <w:tcW w:w="929" w:type="dxa"/>
            <w:tcBorders>
              <w:top w:val="single" w:sz="4" w:space="0" w:color="000000"/>
              <w:left w:val="single" w:sz="4" w:space="0" w:color="000000"/>
              <w:bottom w:val="single" w:sz="4" w:space="0" w:color="000000"/>
              <w:right w:val="single" w:sz="4" w:space="0" w:color="000000"/>
            </w:tcBorders>
          </w:tcPr>
          <w:p w14:paraId="19A88650" w14:textId="77777777" w:rsidR="006842EE" w:rsidRDefault="006842EE">
            <w:pPr>
              <w:widowControl w:val="0"/>
              <w:jc w:val="center"/>
              <w:rPr>
                <w:rFonts w:ascii="Titillium" w:hAnsi="Titillium" w:cstheme="minorHAnsi"/>
                <w:sz w:val="18"/>
                <w:szCs w:val="18"/>
              </w:rPr>
            </w:pPr>
          </w:p>
        </w:tc>
        <w:tc>
          <w:tcPr>
            <w:tcW w:w="790" w:type="dxa"/>
            <w:tcBorders>
              <w:top w:val="single" w:sz="4" w:space="0" w:color="000000"/>
              <w:left w:val="single" w:sz="4" w:space="0" w:color="000000"/>
              <w:bottom w:val="single" w:sz="4" w:space="0" w:color="000000"/>
              <w:right w:val="single" w:sz="4" w:space="0" w:color="000000"/>
            </w:tcBorders>
          </w:tcPr>
          <w:p w14:paraId="71356581" w14:textId="77777777" w:rsidR="006842EE" w:rsidRDefault="006842EE">
            <w:pPr>
              <w:widowControl w:val="0"/>
              <w:jc w:val="center"/>
              <w:rPr>
                <w:rFonts w:ascii="Titillium" w:hAnsi="Titillium" w:cstheme="minorHAnsi"/>
                <w:sz w:val="18"/>
                <w:szCs w:val="18"/>
              </w:rPr>
            </w:pPr>
          </w:p>
        </w:tc>
      </w:tr>
      <w:tr w:rsidR="006842EE" w14:paraId="0795998F" w14:textId="77777777">
        <w:trPr>
          <w:trHeight w:val="629"/>
        </w:trPr>
        <w:tc>
          <w:tcPr>
            <w:tcW w:w="7489" w:type="dxa"/>
            <w:gridSpan w:val="6"/>
            <w:tcBorders>
              <w:top w:val="single" w:sz="4" w:space="0" w:color="000000"/>
              <w:left w:val="single" w:sz="4" w:space="0" w:color="000000"/>
              <w:bottom w:val="single" w:sz="4" w:space="0" w:color="000000"/>
              <w:right w:val="single" w:sz="4" w:space="0" w:color="000000"/>
            </w:tcBorders>
          </w:tcPr>
          <w:p w14:paraId="6A122121" w14:textId="77777777" w:rsidR="006842EE" w:rsidRDefault="006842EE">
            <w:pPr>
              <w:widowControl w:val="0"/>
              <w:ind w:right="484"/>
              <w:rPr>
                <w:rFonts w:ascii="Titillium" w:hAnsi="Titillium" w:cstheme="minorHAnsi"/>
                <w:b/>
                <w:i/>
                <w:sz w:val="18"/>
                <w:szCs w:val="18"/>
              </w:rPr>
            </w:pPr>
          </w:p>
          <w:p w14:paraId="548DE706" w14:textId="77777777" w:rsidR="006842EE" w:rsidRDefault="008F2625">
            <w:pPr>
              <w:widowControl w:val="0"/>
              <w:ind w:right="484"/>
              <w:jc w:val="center"/>
              <w:rPr>
                <w:rFonts w:ascii="Titillium" w:hAnsi="Titillium" w:cstheme="minorHAnsi"/>
                <w:sz w:val="18"/>
                <w:szCs w:val="18"/>
              </w:rPr>
            </w:pPr>
            <w:r>
              <w:rPr>
                <w:rFonts w:ascii="Titillium" w:hAnsi="Titillium" w:cstheme="minorHAnsi"/>
                <w:sz w:val="18"/>
                <w:szCs w:val="18"/>
              </w:rPr>
              <w:t>SOMMA</w:t>
            </w:r>
          </w:p>
          <w:p w14:paraId="62E4AA91" w14:textId="77777777" w:rsidR="006842EE" w:rsidRDefault="006842EE">
            <w:pPr>
              <w:widowControl w:val="0"/>
              <w:rPr>
                <w:rFonts w:ascii="Titillium" w:hAnsi="Titillium" w:cstheme="minorHAnsi"/>
                <w:sz w:val="18"/>
                <w:szCs w:val="18"/>
              </w:rPr>
            </w:pPr>
          </w:p>
        </w:tc>
        <w:tc>
          <w:tcPr>
            <w:tcW w:w="929" w:type="dxa"/>
            <w:tcBorders>
              <w:top w:val="single" w:sz="4" w:space="0" w:color="000000"/>
              <w:left w:val="single" w:sz="4" w:space="0" w:color="000000"/>
              <w:bottom w:val="single" w:sz="4" w:space="0" w:color="000000"/>
              <w:right w:val="single" w:sz="4" w:space="0" w:color="000000"/>
            </w:tcBorders>
          </w:tcPr>
          <w:p w14:paraId="79707143" w14:textId="77777777" w:rsidR="006842EE" w:rsidRDefault="006842EE">
            <w:pPr>
              <w:widowControl w:val="0"/>
              <w:jc w:val="center"/>
              <w:rPr>
                <w:rFonts w:ascii="Titillium" w:hAnsi="Titillium" w:cstheme="minorHAnsi"/>
                <w:sz w:val="18"/>
                <w:szCs w:val="18"/>
              </w:rPr>
            </w:pPr>
          </w:p>
        </w:tc>
        <w:tc>
          <w:tcPr>
            <w:tcW w:w="790" w:type="dxa"/>
            <w:tcBorders>
              <w:top w:val="single" w:sz="4" w:space="0" w:color="000000"/>
              <w:left w:val="single" w:sz="4" w:space="0" w:color="000000"/>
              <w:bottom w:val="single" w:sz="4" w:space="0" w:color="000000"/>
              <w:right w:val="single" w:sz="4" w:space="0" w:color="000000"/>
            </w:tcBorders>
          </w:tcPr>
          <w:p w14:paraId="69B60974" w14:textId="77777777" w:rsidR="006842EE" w:rsidRDefault="006842EE">
            <w:pPr>
              <w:widowControl w:val="0"/>
              <w:jc w:val="center"/>
              <w:rPr>
                <w:rFonts w:ascii="Titillium" w:hAnsi="Titillium" w:cstheme="minorHAnsi"/>
                <w:sz w:val="18"/>
                <w:szCs w:val="18"/>
              </w:rPr>
            </w:pPr>
          </w:p>
        </w:tc>
      </w:tr>
      <w:tr w:rsidR="006842EE" w14:paraId="15849B03" w14:textId="77777777">
        <w:trPr>
          <w:trHeight w:val="625"/>
        </w:trPr>
        <w:tc>
          <w:tcPr>
            <w:tcW w:w="7489" w:type="dxa"/>
            <w:gridSpan w:val="6"/>
            <w:tcBorders>
              <w:top w:val="single" w:sz="4" w:space="0" w:color="000000"/>
              <w:left w:val="single" w:sz="4" w:space="0" w:color="000000"/>
              <w:bottom w:val="single" w:sz="4" w:space="0" w:color="000000"/>
              <w:right w:val="single" w:sz="4" w:space="0" w:color="000000"/>
            </w:tcBorders>
          </w:tcPr>
          <w:p w14:paraId="1130C471" w14:textId="77777777" w:rsidR="006842EE" w:rsidRDefault="008F2625">
            <w:pPr>
              <w:widowControl w:val="0"/>
              <w:jc w:val="center"/>
              <w:rPr>
                <w:rFonts w:ascii="Titillium" w:hAnsi="Titillium" w:cstheme="minorHAnsi"/>
                <w:b/>
                <w:i/>
                <w:sz w:val="18"/>
                <w:szCs w:val="18"/>
              </w:rPr>
            </w:pPr>
            <w:r>
              <w:rPr>
                <w:rFonts w:ascii="Titillium" w:hAnsi="Titillium" w:cstheme="minorHAnsi"/>
                <w:b/>
                <w:i/>
                <w:sz w:val="18"/>
                <w:szCs w:val="18"/>
              </w:rPr>
              <w:t>Totale comprensivo di spese e oneri</w:t>
            </w:r>
          </w:p>
        </w:tc>
        <w:tc>
          <w:tcPr>
            <w:tcW w:w="1719" w:type="dxa"/>
            <w:gridSpan w:val="2"/>
            <w:tcBorders>
              <w:top w:val="single" w:sz="4" w:space="0" w:color="000000"/>
              <w:left w:val="single" w:sz="4" w:space="0" w:color="000000"/>
              <w:bottom w:val="single" w:sz="4" w:space="0" w:color="000000"/>
              <w:right w:val="single" w:sz="4" w:space="0" w:color="000000"/>
            </w:tcBorders>
          </w:tcPr>
          <w:p w14:paraId="16ECCD17" w14:textId="77777777" w:rsidR="006842EE" w:rsidRDefault="006842EE">
            <w:pPr>
              <w:widowControl w:val="0"/>
              <w:jc w:val="center"/>
              <w:rPr>
                <w:rFonts w:ascii="Titillium" w:hAnsi="Titillium" w:cstheme="minorHAnsi"/>
                <w:sz w:val="18"/>
                <w:szCs w:val="18"/>
              </w:rPr>
            </w:pPr>
          </w:p>
        </w:tc>
      </w:tr>
    </w:tbl>
    <w:p w14:paraId="1B3B89A6" w14:textId="77777777" w:rsidR="006842EE" w:rsidRDefault="006842EE">
      <w:pPr>
        <w:tabs>
          <w:tab w:val="left" w:pos="9025"/>
        </w:tabs>
        <w:rPr>
          <w:rFonts w:ascii="Titillium" w:hAnsi="Titillium" w:cstheme="minorHAnsi"/>
          <w:sz w:val="18"/>
          <w:szCs w:val="18"/>
        </w:rPr>
      </w:pPr>
    </w:p>
    <w:bookmarkEnd w:id="198"/>
    <w:p w14:paraId="73480294" w14:textId="4DE718B1" w:rsidR="006842EE" w:rsidRPr="00F06C2D" w:rsidRDefault="008F2625">
      <w:pPr>
        <w:spacing w:before="60" w:after="60"/>
        <w:rPr>
          <w:rFonts w:ascii="Titillium" w:hAnsi="Titillium"/>
          <w:b/>
          <w:iCs/>
          <w:sz w:val="18"/>
          <w:szCs w:val="18"/>
        </w:rPr>
      </w:pPr>
      <w:r w:rsidRPr="00F06C2D">
        <w:rPr>
          <w:rFonts w:ascii="Titillium" w:hAnsi="Titillium"/>
          <w:b/>
          <w:iCs/>
          <w:sz w:val="18"/>
          <w:szCs w:val="18"/>
        </w:rPr>
        <w:t>[</w:t>
      </w:r>
      <w:r w:rsidR="000D4075" w:rsidRPr="00F06C2D">
        <w:rPr>
          <w:rFonts w:ascii="Titillium" w:hAnsi="Titillium"/>
          <w:b/>
          <w:iCs/>
          <w:sz w:val="18"/>
          <w:szCs w:val="18"/>
        </w:rPr>
        <w:t>I</w:t>
      </w:r>
      <w:r w:rsidRPr="00F06C2D">
        <w:rPr>
          <w:rFonts w:ascii="Titillium" w:hAnsi="Titillium"/>
          <w:b/>
          <w:iCs/>
          <w:sz w:val="18"/>
          <w:szCs w:val="18"/>
        </w:rPr>
        <w:t xml:space="preserve">n caso di suddivisione </w:t>
      </w:r>
      <w:r w:rsidR="005E6D0C" w:rsidRPr="00F06C2D">
        <w:rPr>
          <w:rFonts w:ascii="Titillium" w:hAnsi="Titillium"/>
          <w:b/>
          <w:iCs/>
          <w:sz w:val="18"/>
          <w:szCs w:val="18"/>
        </w:rPr>
        <w:t>in più</w:t>
      </w:r>
      <w:r w:rsidR="000D4075" w:rsidRPr="00F06C2D">
        <w:rPr>
          <w:rFonts w:ascii="Titillium" w:hAnsi="Titillium"/>
          <w:b/>
          <w:iCs/>
          <w:sz w:val="18"/>
          <w:szCs w:val="18"/>
        </w:rPr>
        <w:t xml:space="preserve"> </w:t>
      </w:r>
      <w:r w:rsidRPr="00F06C2D">
        <w:rPr>
          <w:rFonts w:ascii="Titillium" w:hAnsi="Titillium"/>
          <w:b/>
          <w:iCs/>
          <w:sz w:val="18"/>
          <w:szCs w:val="18"/>
        </w:rPr>
        <w:t>lotti]</w:t>
      </w:r>
    </w:p>
    <w:p w14:paraId="34B5D4C5" w14:textId="5D8DB410" w:rsidR="00E828AC" w:rsidRPr="00FE0FE8" w:rsidRDefault="00E828AC">
      <w:pPr>
        <w:spacing w:before="60" w:after="60"/>
        <w:rPr>
          <w:rFonts w:ascii="Titillium" w:hAnsi="Titillium"/>
          <w:bCs/>
          <w:iCs/>
          <w:sz w:val="18"/>
          <w:szCs w:val="18"/>
        </w:rPr>
      </w:pPr>
      <w:r w:rsidRPr="00534170">
        <w:rPr>
          <w:rFonts w:ascii="Titillium" w:hAnsi="Titillium"/>
          <w:bCs/>
          <w:iCs/>
          <w:sz w:val="18"/>
          <w:szCs w:val="18"/>
        </w:rPr>
        <w:t xml:space="preserve">L’importo a base di gara è pari </w:t>
      </w:r>
      <w:r w:rsidR="005E6D0C" w:rsidRPr="00534170">
        <w:rPr>
          <w:rFonts w:ascii="Titillium" w:hAnsi="Titillium"/>
          <w:bCs/>
          <w:iCs/>
          <w:sz w:val="18"/>
          <w:szCs w:val="18"/>
        </w:rPr>
        <w:t xml:space="preserve">a </w:t>
      </w:r>
      <w:r w:rsidR="005E6D0C" w:rsidRPr="007C73B5">
        <w:rPr>
          <w:rFonts w:ascii="Titillium" w:hAnsi="Titillium"/>
          <w:bCs/>
          <w:iCs/>
          <w:sz w:val="18"/>
          <w:szCs w:val="18"/>
        </w:rPr>
        <w:t>…</w:t>
      </w:r>
      <w:r w:rsidRPr="007C73B5">
        <w:rPr>
          <w:rFonts w:ascii="Titillium" w:hAnsi="Titillium"/>
          <w:bCs/>
          <w:iCs/>
          <w:sz w:val="18"/>
          <w:szCs w:val="18"/>
        </w:rPr>
        <w:t>…… oltre IVA</w:t>
      </w:r>
      <w:r w:rsidR="00825D47" w:rsidRPr="007C73B5">
        <w:rPr>
          <w:rFonts w:ascii="Titillium" w:hAnsi="Titillium"/>
          <w:bCs/>
          <w:iCs/>
          <w:sz w:val="18"/>
          <w:szCs w:val="18"/>
        </w:rPr>
        <w:t>, oneri assistenziali e previdenziali</w:t>
      </w:r>
      <w:r w:rsidR="0002327E">
        <w:rPr>
          <w:rFonts w:ascii="Titillium" w:hAnsi="Titillium"/>
          <w:bCs/>
          <w:iCs/>
          <w:sz w:val="18"/>
          <w:szCs w:val="18"/>
        </w:rPr>
        <w:t>.</w:t>
      </w:r>
    </w:p>
    <w:p w14:paraId="2C97EEA3" w14:textId="77777777" w:rsidR="006842EE" w:rsidRDefault="008F2625">
      <w:pPr>
        <w:spacing w:before="60" w:after="60"/>
        <w:rPr>
          <w:rFonts w:ascii="Titillium" w:hAnsi="Titillium"/>
          <w:sz w:val="18"/>
          <w:szCs w:val="18"/>
        </w:rPr>
      </w:pPr>
      <w:r>
        <w:rPr>
          <w:rFonts w:ascii="Titillium" w:hAnsi="Titillium"/>
          <w:sz w:val="18"/>
          <w:szCs w:val="18"/>
        </w:rPr>
        <w:t>L’appalto è suddiviso nei seguenti lotti:</w:t>
      </w:r>
    </w:p>
    <w:tbl>
      <w:tblPr>
        <w:tblW w:w="5077" w:type="pct"/>
        <w:tblInd w:w="-5" w:type="dxa"/>
        <w:tblLayout w:type="fixed"/>
        <w:tblLook w:val="04A0" w:firstRow="1" w:lastRow="0" w:firstColumn="1" w:lastColumn="0" w:noHBand="0" w:noVBand="1"/>
      </w:tblPr>
      <w:tblGrid>
        <w:gridCol w:w="993"/>
        <w:gridCol w:w="2268"/>
        <w:gridCol w:w="1922"/>
        <w:gridCol w:w="1905"/>
        <w:gridCol w:w="2268"/>
      </w:tblGrid>
      <w:tr w:rsidR="004D7C72" w14:paraId="6130FD36" w14:textId="7BEA6D39" w:rsidTr="00155E20">
        <w:tc>
          <w:tcPr>
            <w:tcW w:w="9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DE96DD" w14:textId="77777777" w:rsidR="004D7C72" w:rsidRPr="00534170" w:rsidRDefault="004D7C72">
            <w:pPr>
              <w:widowControl w:val="0"/>
              <w:jc w:val="center"/>
              <w:rPr>
                <w:rFonts w:ascii="Titillium" w:hAnsi="Titillium"/>
                <w:sz w:val="18"/>
                <w:szCs w:val="18"/>
              </w:rPr>
            </w:pPr>
            <w:r w:rsidRPr="00534170">
              <w:rPr>
                <w:rFonts w:ascii="Titillium" w:hAnsi="Titillium"/>
                <w:sz w:val="18"/>
                <w:szCs w:val="18"/>
              </w:rPr>
              <w:t>Numero lotto</w:t>
            </w: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4E657D" w14:textId="77777777" w:rsidR="004D7C72" w:rsidRPr="00534170" w:rsidRDefault="004D7C72">
            <w:pPr>
              <w:widowControl w:val="0"/>
              <w:jc w:val="center"/>
              <w:rPr>
                <w:rFonts w:ascii="Titillium" w:hAnsi="Titillium"/>
                <w:sz w:val="18"/>
                <w:szCs w:val="18"/>
              </w:rPr>
            </w:pPr>
            <w:r w:rsidRPr="00534170">
              <w:rPr>
                <w:rFonts w:ascii="Titillium" w:hAnsi="Titillium"/>
                <w:sz w:val="18"/>
                <w:szCs w:val="18"/>
              </w:rPr>
              <w:t>Oggetto del lotto</w:t>
            </w:r>
          </w:p>
        </w:tc>
        <w:tc>
          <w:tcPr>
            <w:tcW w:w="192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985802" w14:textId="77777777" w:rsidR="004D7C72" w:rsidRPr="00534170" w:rsidRDefault="004D7C72">
            <w:pPr>
              <w:widowControl w:val="0"/>
              <w:jc w:val="center"/>
              <w:rPr>
                <w:rFonts w:ascii="Titillium" w:hAnsi="Titillium"/>
                <w:sz w:val="18"/>
                <w:szCs w:val="18"/>
              </w:rPr>
            </w:pPr>
            <w:r w:rsidRPr="00534170">
              <w:rPr>
                <w:rFonts w:ascii="Titillium" w:hAnsi="Titillium"/>
                <w:sz w:val="18"/>
                <w:szCs w:val="18"/>
              </w:rPr>
              <w:t>CIG</w:t>
            </w:r>
          </w:p>
        </w:tc>
        <w:tc>
          <w:tcPr>
            <w:tcW w:w="190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751847" w14:textId="4EE9220B" w:rsidR="004D7C72" w:rsidRPr="00534170" w:rsidRDefault="004D7C72">
            <w:pPr>
              <w:widowControl w:val="0"/>
              <w:jc w:val="center"/>
              <w:rPr>
                <w:rFonts w:ascii="Titillium" w:hAnsi="Titillium"/>
                <w:sz w:val="18"/>
                <w:szCs w:val="18"/>
              </w:rPr>
            </w:pPr>
            <w:r w:rsidRPr="00534170">
              <w:rPr>
                <w:rFonts w:ascii="Titillium" w:hAnsi="Titillium"/>
                <w:sz w:val="18"/>
                <w:szCs w:val="18"/>
              </w:rPr>
              <w:t>Importo (oltre IVA)</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B6D1A2B" w14:textId="31B5D6CF" w:rsidR="004D7C72" w:rsidRPr="00534170" w:rsidRDefault="004D7C72">
            <w:pPr>
              <w:widowControl w:val="0"/>
              <w:jc w:val="center"/>
              <w:rPr>
                <w:rFonts w:ascii="Titillium" w:hAnsi="Titillium"/>
                <w:sz w:val="18"/>
                <w:szCs w:val="18"/>
              </w:rPr>
            </w:pPr>
            <w:r w:rsidRPr="00534170">
              <w:rPr>
                <w:rFonts w:ascii="Titillium" w:hAnsi="Titillium"/>
                <w:b/>
                <w:bCs/>
                <w:sz w:val="18"/>
                <w:szCs w:val="18"/>
              </w:rPr>
              <w:t>Importo soggetto a ribasso</w:t>
            </w:r>
            <w:r w:rsidRPr="00534170">
              <w:rPr>
                <w:rFonts w:ascii="Titillium" w:hAnsi="Titillium"/>
                <w:sz w:val="18"/>
                <w:szCs w:val="18"/>
              </w:rPr>
              <w:t xml:space="preserve"> (35% dell’importo) </w:t>
            </w:r>
          </w:p>
        </w:tc>
      </w:tr>
      <w:tr w:rsidR="004D7C72" w14:paraId="1122F5AF" w14:textId="5391C434" w:rsidTr="00155E20">
        <w:tc>
          <w:tcPr>
            <w:tcW w:w="993" w:type="dxa"/>
            <w:tcBorders>
              <w:top w:val="single" w:sz="4" w:space="0" w:color="000000"/>
              <w:left w:val="single" w:sz="4" w:space="0" w:color="000000"/>
              <w:bottom w:val="single" w:sz="4" w:space="0" w:color="000000"/>
              <w:right w:val="single" w:sz="4" w:space="0" w:color="000000"/>
            </w:tcBorders>
          </w:tcPr>
          <w:p w14:paraId="2F6EDAE9" w14:textId="77777777" w:rsidR="004D7C72" w:rsidRPr="00E828AC" w:rsidRDefault="004D7C72">
            <w:pPr>
              <w:widowControl w:val="0"/>
              <w:rPr>
                <w:rFonts w:ascii="Titillium" w:hAnsi="Titillium"/>
                <w:sz w:val="18"/>
                <w:szCs w:val="18"/>
                <w:highlight w:val="yellow"/>
              </w:rPr>
            </w:pPr>
          </w:p>
        </w:tc>
        <w:tc>
          <w:tcPr>
            <w:tcW w:w="2268" w:type="dxa"/>
            <w:tcBorders>
              <w:top w:val="single" w:sz="4" w:space="0" w:color="000000"/>
              <w:left w:val="single" w:sz="4" w:space="0" w:color="000000"/>
              <w:bottom w:val="single" w:sz="4" w:space="0" w:color="000000"/>
              <w:right w:val="single" w:sz="4" w:space="0" w:color="000000"/>
            </w:tcBorders>
          </w:tcPr>
          <w:p w14:paraId="4AD0E267" w14:textId="77777777" w:rsidR="004D7C72" w:rsidRPr="00E828AC" w:rsidRDefault="004D7C72">
            <w:pPr>
              <w:widowControl w:val="0"/>
              <w:rPr>
                <w:highlight w:val="yellow"/>
              </w:rPr>
            </w:pPr>
          </w:p>
        </w:tc>
        <w:tc>
          <w:tcPr>
            <w:tcW w:w="1922" w:type="dxa"/>
            <w:tcBorders>
              <w:top w:val="single" w:sz="4" w:space="0" w:color="000000"/>
              <w:left w:val="single" w:sz="4" w:space="0" w:color="000000"/>
              <w:bottom w:val="single" w:sz="4" w:space="0" w:color="000000"/>
              <w:right w:val="single" w:sz="4" w:space="0" w:color="000000"/>
            </w:tcBorders>
          </w:tcPr>
          <w:p w14:paraId="4A8A6761" w14:textId="77777777" w:rsidR="004D7C72" w:rsidRPr="00E828AC" w:rsidRDefault="004D7C72">
            <w:pPr>
              <w:widowControl w:val="0"/>
              <w:rPr>
                <w:highlight w:val="yellow"/>
              </w:rPr>
            </w:pPr>
          </w:p>
        </w:tc>
        <w:tc>
          <w:tcPr>
            <w:tcW w:w="1905" w:type="dxa"/>
            <w:tcBorders>
              <w:top w:val="single" w:sz="4" w:space="0" w:color="000000"/>
              <w:left w:val="single" w:sz="4" w:space="0" w:color="000000"/>
              <w:bottom w:val="single" w:sz="4" w:space="0" w:color="000000"/>
              <w:right w:val="single" w:sz="4" w:space="0" w:color="000000"/>
            </w:tcBorders>
          </w:tcPr>
          <w:p w14:paraId="3AACC589" w14:textId="77777777" w:rsidR="004D7C72" w:rsidRPr="00E828AC" w:rsidRDefault="004D7C72">
            <w:pPr>
              <w:widowControl w:val="0"/>
              <w:rPr>
                <w:highlight w:val="yellow"/>
              </w:rPr>
            </w:pPr>
          </w:p>
        </w:tc>
        <w:tc>
          <w:tcPr>
            <w:tcW w:w="2268" w:type="dxa"/>
            <w:tcBorders>
              <w:top w:val="single" w:sz="4" w:space="0" w:color="000000"/>
              <w:left w:val="single" w:sz="4" w:space="0" w:color="000000"/>
              <w:bottom w:val="single" w:sz="4" w:space="0" w:color="000000"/>
              <w:right w:val="single" w:sz="4" w:space="0" w:color="000000"/>
            </w:tcBorders>
          </w:tcPr>
          <w:p w14:paraId="1A20DDFA" w14:textId="77777777" w:rsidR="004D7C72" w:rsidRPr="00E828AC" w:rsidRDefault="004D7C72">
            <w:pPr>
              <w:widowControl w:val="0"/>
              <w:rPr>
                <w:highlight w:val="yellow"/>
              </w:rPr>
            </w:pPr>
          </w:p>
        </w:tc>
      </w:tr>
      <w:tr w:rsidR="004D7C72" w14:paraId="7F49D696" w14:textId="79F0868D" w:rsidTr="00155E20">
        <w:tc>
          <w:tcPr>
            <w:tcW w:w="993" w:type="dxa"/>
            <w:tcBorders>
              <w:top w:val="single" w:sz="4" w:space="0" w:color="000000"/>
              <w:left w:val="single" w:sz="4" w:space="0" w:color="000000"/>
              <w:bottom w:val="single" w:sz="4" w:space="0" w:color="000000"/>
              <w:right w:val="single" w:sz="4" w:space="0" w:color="000000"/>
            </w:tcBorders>
          </w:tcPr>
          <w:p w14:paraId="0537F70C" w14:textId="77777777" w:rsidR="004D7C72" w:rsidRPr="00E828AC" w:rsidRDefault="004D7C72">
            <w:pPr>
              <w:widowControl w:val="0"/>
              <w:rPr>
                <w:rFonts w:ascii="Titillium" w:hAnsi="Titillium"/>
                <w:sz w:val="18"/>
                <w:szCs w:val="18"/>
                <w:highlight w:val="yellow"/>
              </w:rPr>
            </w:pPr>
          </w:p>
        </w:tc>
        <w:tc>
          <w:tcPr>
            <w:tcW w:w="2268" w:type="dxa"/>
            <w:tcBorders>
              <w:top w:val="single" w:sz="4" w:space="0" w:color="000000"/>
              <w:left w:val="single" w:sz="4" w:space="0" w:color="000000"/>
              <w:bottom w:val="single" w:sz="4" w:space="0" w:color="000000"/>
              <w:right w:val="single" w:sz="4" w:space="0" w:color="000000"/>
            </w:tcBorders>
          </w:tcPr>
          <w:p w14:paraId="4F0D2AE0" w14:textId="77777777" w:rsidR="004D7C72" w:rsidRPr="00E828AC" w:rsidRDefault="004D7C72">
            <w:pPr>
              <w:widowControl w:val="0"/>
              <w:rPr>
                <w:highlight w:val="yellow"/>
              </w:rPr>
            </w:pPr>
          </w:p>
        </w:tc>
        <w:tc>
          <w:tcPr>
            <w:tcW w:w="1922" w:type="dxa"/>
            <w:tcBorders>
              <w:top w:val="single" w:sz="4" w:space="0" w:color="000000"/>
              <w:left w:val="single" w:sz="4" w:space="0" w:color="000000"/>
              <w:bottom w:val="single" w:sz="4" w:space="0" w:color="000000"/>
              <w:right w:val="single" w:sz="4" w:space="0" w:color="000000"/>
            </w:tcBorders>
          </w:tcPr>
          <w:p w14:paraId="4732B0F6" w14:textId="77777777" w:rsidR="004D7C72" w:rsidRPr="00E828AC" w:rsidRDefault="004D7C72">
            <w:pPr>
              <w:widowControl w:val="0"/>
              <w:rPr>
                <w:highlight w:val="yellow"/>
              </w:rPr>
            </w:pPr>
          </w:p>
        </w:tc>
        <w:tc>
          <w:tcPr>
            <w:tcW w:w="1905" w:type="dxa"/>
            <w:tcBorders>
              <w:top w:val="single" w:sz="4" w:space="0" w:color="000000"/>
              <w:left w:val="single" w:sz="4" w:space="0" w:color="000000"/>
              <w:bottom w:val="single" w:sz="4" w:space="0" w:color="000000"/>
              <w:right w:val="single" w:sz="4" w:space="0" w:color="000000"/>
            </w:tcBorders>
          </w:tcPr>
          <w:p w14:paraId="7EBBA22F" w14:textId="77777777" w:rsidR="004D7C72" w:rsidRPr="00E828AC" w:rsidRDefault="004D7C72">
            <w:pPr>
              <w:widowControl w:val="0"/>
              <w:rPr>
                <w:highlight w:val="yellow"/>
              </w:rPr>
            </w:pPr>
          </w:p>
        </w:tc>
        <w:tc>
          <w:tcPr>
            <w:tcW w:w="2268" w:type="dxa"/>
            <w:tcBorders>
              <w:top w:val="single" w:sz="4" w:space="0" w:color="000000"/>
              <w:left w:val="single" w:sz="4" w:space="0" w:color="000000"/>
              <w:bottom w:val="single" w:sz="4" w:space="0" w:color="000000"/>
              <w:right w:val="single" w:sz="4" w:space="0" w:color="000000"/>
            </w:tcBorders>
          </w:tcPr>
          <w:p w14:paraId="1B66BB0C" w14:textId="77777777" w:rsidR="004D7C72" w:rsidRPr="00E828AC" w:rsidRDefault="004D7C72">
            <w:pPr>
              <w:widowControl w:val="0"/>
              <w:rPr>
                <w:highlight w:val="yellow"/>
              </w:rPr>
            </w:pPr>
          </w:p>
        </w:tc>
      </w:tr>
      <w:tr w:rsidR="004D7C72" w14:paraId="720949A4" w14:textId="4F227D85" w:rsidTr="00155E20">
        <w:tc>
          <w:tcPr>
            <w:tcW w:w="993" w:type="dxa"/>
            <w:tcBorders>
              <w:top w:val="single" w:sz="4" w:space="0" w:color="000000"/>
              <w:left w:val="single" w:sz="4" w:space="0" w:color="000000"/>
              <w:bottom w:val="single" w:sz="4" w:space="0" w:color="000000"/>
              <w:right w:val="single" w:sz="4" w:space="0" w:color="000000"/>
            </w:tcBorders>
          </w:tcPr>
          <w:p w14:paraId="4EBA3FE3" w14:textId="77777777" w:rsidR="004D7C72" w:rsidRPr="00E828AC" w:rsidRDefault="004D7C72">
            <w:pPr>
              <w:widowControl w:val="0"/>
              <w:rPr>
                <w:rFonts w:ascii="Titillium" w:hAnsi="Titillium"/>
                <w:sz w:val="18"/>
                <w:szCs w:val="18"/>
                <w:highlight w:val="yellow"/>
              </w:rPr>
            </w:pPr>
          </w:p>
        </w:tc>
        <w:tc>
          <w:tcPr>
            <w:tcW w:w="2268" w:type="dxa"/>
            <w:tcBorders>
              <w:top w:val="single" w:sz="4" w:space="0" w:color="000000"/>
              <w:left w:val="single" w:sz="4" w:space="0" w:color="000000"/>
              <w:bottom w:val="single" w:sz="4" w:space="0" w:color="000000"/>
              <w:right w:val="single" w:sz="4" w:space="0" w:color="000000"/>
            </w:tcBorders>
          </w:tcPr>
          <w:p w14:paraId="5A31C9FF" w14:textId="77777777" w:rsidR="004D7C72" w:rsidRPr="00E828AC" w:rsidRDefault="004D7C72">
            <w:pPr>
              <w:widowControl w:val="0"/>
              <w:rPr>
                <w:highlight w:val="yellow"/>
              </w:rPr>
            </w:pPr>
          </w:p>
        </w:tc>
        <w:tc>
          <w:tcPr>
            <w:tcW w:w="1922" w:type="dxa"/>
            <w:tcBorders>
              <w:top w:val="single" w:sz="4" w:space="0" w:color="000000"/>
              <w:left w:val="single" w:sz="4" w:space="0" w:color="000000"/>
              <w:bottom w:val="single" w:sz="4" w:space="0" w:color="000000"/>
              <w:right w:val="single" w:sz="4" w:space="0" w:color="000000"/>
            </w:tcBorders>
          </w:tcPr>
          <w:p w14:paraId="431F1002" w14:textId="77777777" w:rsidR="004D7C72" w:rsidRPr="00E828AC" w:rsidRDefault="004D7C72">
            <w:pPr>
              <w:widowControl w:val="0"/>
              <w:rPr>
                <w:highlight w:val="yellow"/>
              </w:rPr>
            </w:pPr>
          </w:p>
        </w:tc>
        <w:tc>
          <w:tcPr>
            <w:tcW w:w="1905" w:type="dxa"/>
            <w:tcBorders>
              <w:top w:val="single" w:sz="4" w:space="0" w:color="000000"/>
              <w:left w:val="single" w:sz="4" w:space="0" w:color="000000"/>
              <w:bottom w:val="single" w:sz="4" w:space="0" w:color="000000"/>
              <w:right w:val="single" w:sz="4" w:space="0" w:color="000000"/>
            </w:tcBorders>
          </w:tcPr>
          <w:p w14:paraId="19B5E470" w14:textId="77777777" w:rsidR="004D7C72" w:rsidRPr="00E828AC" w:rsidRDefault="004D7C72">
            <w:pPr>
              <w:widowControl w:val="0"/>
              <w:rPr>
                <w:highlight w:val="yellow"/>
              </w:rPr>
            </w:pPr>
          </w:p>
        </w:tc>
        <w:tc>
          <w:tcPr>
            <w:tcW w:w="2268" w:type="dxa"/>
            <w:tcBorders>
              <w:top w:val="single" w:sz="4" w:space="0" w:color="000000"/>
              <w:left w:val="single" w:sz="4" w:space="0" w:color="000000"/>
              <w:bottom w:val="single" w:sz="4" w:space="0" w:color="000000"/>
              <w:right w:val="single" w:sz="4" w:space="0" w:color="000000"/>
            </w:tcBorders>
          </w:tcPr>
          <w:p w14:paraId="79364010" w14:textId="77777777" w:rsidR="004D7C72" w:rsidRPr="00E828AC" w:rsidRDefault="004D7C72">
            <w:pPr>
              <w:widowControl w:val="0"/>
              <w:rPr>
                <w:highlight w:val="yellow"/>
              </w:rPr>
            </w:pPr>
          </w:p>
        </w:tc>
      </w:tr>
      <w:tr w:rsidR="004D7C72" w14:paraId="55F1973B" w14:textId="3144A378" w:rsidTr="00155E20">
        <w:tc>
          <w:tcPr>
            <w:tcW w:w="993" w:type="dxa"/>
            <w:tcBorders>
              <w:top w:val="single" w:sz="4" w:space="0" w:color="000000"/>
              <w:left w:val="single" w:sz="4" w:space="0" w:color="000000"/>
              <w:bottom w:val="single" w:sz="4" w:space="0" w:color="000000"/>
              <w:right w:val="single" w:sz="4" w:space="0" w:color="000000"/>
            </w:tcBorders>
          </w:tcPr>
          <w:p w14:paraId="695B182E" w14:textId="77777777" w:rsidR="004D7C72" w:rsidRPr="00E828AC" w:rsidRDefault="004D7C72">
            <w:pPr>
              <w:widowControl w:val="0"/>
              <w:rPr>
                <w:rFonts w:ascii="Titillium" w:hAnsi="Titillium"/>
                <w:sz w:val="18"/>
                <w:szCs w:val="18"/>
                <w:highlight w:val="yellow"/>
              </w:rPr>
            </w:pPr>
          </w:p>
        </w:tc>
        <w:tc>
          <w:tcPr>
            <w:tcW w:w="2268" w:type="dxa"/>
            <w:tcBorders>
              <w:top w:val="single" w:sz="4" w:space="0" w:color="000000"/>
              <w:left w:val="single" w:sz="4" w:space="0" w:color="000000"/>
              <w:bottom w:val="single" w:sz="4" w:space="0" w:color="000000"/>
              <w:right w:val="single" w:sz="4" w:space="0" w:color="000000"/>
            </w:tcBorders>
          </w:tcPr>
          <w:p w14:paraId="66BB8370" w14:textId="77777777" w:rsidR="004D7C72" w:rsidRPr="00E828AC" w:rsidRDefault="004D7C72">
            <w:pPr>
              <w:widowControl w:val="0"/>
              <w:rPr>
                <w:highlight w:val="yellow"/>
              </w:rPr>
            </w:pPr>
          </w:p>
        </w:tc>
        <w:tc>
          <w:tcPr>
            <w:tcW w:w="1922" w:type="dxa"/>
            <w:tcBorders>
              <w:top w:val="single" w:sz="4" w:space="0" w:color="000000"/>
              <w:left w:val="single" w:sz="4" w:space="0" w:color="000000"/>
              <w:bottom w:val="single" w:sz="4" w:space="0" w:color="000000"/>
              <w:right w:val="single" w:sz="4" w:space="0" w:color="000000"/>
            </w:tcBorders>
          </w:tcPr>
          <w:p w14:paraId="42AE3AA7" w14:textId="77777777" w:rsidR="004D7C72" w:rsidRPr="00E828AC" w:rsidRDefault="004D7C72">
            <w:pPr>
              <w:widowControl w:val="0"/>
              <w:rPr>
                <w:highlight w:val="yellow"/>
              </w:rPr>
            </w:pPr>
          </w:p>
        </w:tc>
        <w:tc>
          <w:tcPr>
            <w:tcW w:w="1905" w:type="dxa"/>
            <w:tcBorders>
              <w:top w:val="single" w:sz="4" w:space="0" w:color="000000"/>
              <w:left w:val="single" w:sz="4" w:space="0" w:color="000000"/>
              <w:bottom w:val="single" w:sz="4" w:space="0" w:color="000000"/>
              <w:right w:val="single" w:sz="4" w:space="0" w:color="000000"/>
            </w:tcBorders>
          </w:tcPr>
          <w:p w14:paraId="310CDFC7" w14:textId="77777777" w:rsidR="004D7C72" w:rsidRPr="00E828AC" w:rsidRDefault="004D7C72">
            <w:pPr>
              <w:widowControl w:val="0"/>
              <w:rPr>
                <w:highlight w:val="yellow"/>
              </w:rPr>
            </w:pPr>
          </w:p>
        </w:tc>
        <w:tc>
          <w:tcPr>
            <w:tcW w:w="2268" w:type="dxa"/>
            <w:tcBorders>
              <w:top w:val="single" w:sz="4" w:space="0" w:color="000000"/>
              <w:left w:val="single" w:sz="4" w:space="0" w:color="000000"/>
              <w:bottom w:val="single" w:sz="4" w:space="0" w:color="000000"/>
              <w:right w:val="single" w:sz="4" w:space="0" w:color="000000"/>
            </w:tcBorders>
          </w:tcPr>
          <w:p w14:paraId="313FFD99" w14:textId="77777777" w:rsidR="004D7C72" w:rsidRPr="00E828AC" w:rsidRDefault="004D7C72">
            <w:pPr>
              <w:widowControl w:val="0"/>
              <w:rPr>
                <w:highlight w:val="yellow"/>
              </w:rPr>
            </w:pPr>
          </w:p>
        </w:tc>
      </w:tr>
    </w:tbl>
    <w:p w14:paraId="30438648" w14:textId="77777777" w:rsidR="006842EE" w:rsidRDefault="006842EE"/>
    <w:tbl>
      <w:tblPr>
        <w:tblStyle w:val="Grigliatabella"/>
        <w:tblW w:w="9214" w:type="dxa"/>
        <w:tblLayout w:type="fixed"/>
        <w:tblLook w:val="04A0" w:firstRow="1" w:lastRow="0" w:firstColumn="1" w:lastColumn="0" w:noHBand="0" w:noVBand="1"/>
      </w:tblPr>
      <w:tblGrid>
        <w:gridCol w:w="9214"/>
      </w:tblGrid>
      <w:tr w:rsidR="006842EE" w14:paraId="29A64695" w14:textId="77777777">
        <w:tc>
          <w:tcPr>
            <w:tcW w:w="9214" w:type="dxa"/>
          </w:tcPr>
          <w:p w14:paraId="29833573" w14:textId="71AE32DB" w:rsidR="006842EE" w:rsidRDefault="008F2625">
            <w:pPr>
              <w:widowControl w:val="0"/>
              <w:rPr>
                <w:iCs/>
              </w:rPr>
            </w:pPr>
            <w:r>
              <w:rPr>
                <w:rFonts w:ascii="Titillium" w:hAnsi="Titillium"/>
                <w:iCs/>
                <w:sz w:val="18"/>
                <w:szCs w:val="18"/>
              </w:rPr>
              <w:t xml:space="preserve">N.B. </w:t>
            </w:r>
            <w:r w:rsidR="00DC4E16" w:rsidRPr="00BA535B">
              <w:rPr>
                <w:rFonts w:ascii="Titillium" w:hAnsi="Titillium"/>
                <w:i/>
                <w:sz w:val="18"/>
                <w:szCs w:val="18"/>
              </w:rPr>
              <w:t xml:space="preserve">Nel caso </w:t>
            </w:r>
            <w:r w:rsidRPr="00BA535B">
              <w:rPr>
                <w:rFonts w:ascii="Titillium" w:hAnsi="Titillium"/>
                <w:i/>
                <w:sz w:val="18"/>
                <w:szCs w:val="18"/>
              </w:rPr>
              <w:t>si opti per la scelta di non sottoporre a gara i lotti di importo complessivamente inferiore a 80.000,00 euro che non superino il venti per cento dell’importo complessivo di tutti i lotti in cui è stata frazionata la gara, la stazione appaltante riporta nell’elenco tali lotti, specificando che non sono soggetti a gara</w:t>
            </w:r>
            <w:r>
              <w:rPr>
                <w:rFonts w:ascii="Titillium" w:hAnsi="Titillium"/>
                <w:iCs/>
                <w:sz w:val="18"/>
                <w:szCs w:val="18"/>
              </w:rPr>
              <w:t>.</w:t>
            </w:r>
          </w:p>
        </w:tc>
      </w:tr>
    </w:tbl>
    <w:p w14:paraId="6AEE98BE" w14:textId="77777777" w:rsidR="006842EE" w:rsidRDefault="006842EE"/>
    <w:p w14:paraId="5E66B053" w14:textId="766D7BD2" w:rsidR="006842EE" w:rsidRDefault="008F2625">
      <w:pPr>
        <w:spacing w:before="60" w:after="60"/>
        <w:rPr>
          <w:rFonts w:ascii="Titillium" w:hAnsi="Titillium"/>
          <w:i/>
          <w:iCs/>
          <w:sz w:val="18"/>
          <w:szCs w:val="18"/>
        </w:rPr>
      </w:pPr>
      <w:r>
        <w:rPr>
          <w:rFonts w:ascii="Titillium" w:hAnsi="Titillium"/>
          <w:sz w:val="18"/>
          <w:szCs w:val="18"/>
        </w:rPr>
        <w:t xml:space="preserve">I </w:t>
      </w:r>
      <w:r w:rsidRPr="000B0E59">
        <w:rPr>
          <w:rFonts w:ascii="Titillium" w:hAnsi="Titillium"/>
          <w:sz w:val="18"/>
          <w:szCs w:val="18"/>
        </w:rPr>
        <w:t>lotti sono stati individuati utilizzando i seguenti criteri</w:t>
      </w:r>
      <w:r w:rsidRPr="000B0E59">
        <w:rPr>
          <w:rFonts w:ascii="Titillium" w:hAnsi="Titillium"/>
          <w:i/>
          <w:iCs/>
          <w:sz w:val="18"/>
          <w:szCs w:val="18"/>
        </w:rPr>
        <w:t xml:space="preserve"> …  [Indicare i criteri di natura qualitativa o quantitativa concretamente seguiti nella suddivisione in lotti</w:t>
      </w:r>
      <w:r w:rsidR="00B05B75" w:rsidRPr="000B0E59">
        <w:rPr>
          <w:rFonts w:ascii="Titillium" w:hAnsi="Titillium"/>
          <w:i/>
          <w:iCs/>
          <w:sz w:val="18"/>
          <w:szCs w:val="18"/>
        </w:rPr>
        <w:t>].</w:t>
      </w:r>
      <w:r w:rsidR="00B05B75">
        <w:rPr>
          <w:rFonts w:ascii="Titillium" w:hAnsi="Titillium"/>
          <w:i/>
          <w:iCs/>
          <w:sz w:val="18"/>
          <w:szCs w:val="18"/>
        </w:rPr>
        <w:t xml:space="preserve"> </w:t>
      </w:r>
    </w:p>
    <w:p w14:paraId="3FD0F196" w14:textId="77777777" w:rsidR="00E01F75" w:rsidRDefault="00E01F75">
      <w:pPr>
        <w:spacing w:before="60" w:after="60"/>
        <w:rPr>
          <w:rFonts w:ascii="Titillium" w:hAnsi="Titillium"/>
          <w:i/>
          <w:iCs/>
          <w:sz w:val="18"/>
          <w:szCs w:val="18"/>
        </w:rPr>
      </w:pPr>
    </w:p>
    <w:tbl>
      <w:tblPr>
        <w:tblStyle w:val="Grigliatabella"/>
        <w:tblW w:w="0" w:type="auto"/>
        <w:tblLook w:val="04A0" w:firstRow="1" w:lastRow="0" w:firstColumn="1" w:lastColumn="0" w:noHBand="0" w:noVBand="1"/>
      </w:tblPr>
      <w:tblGrid>
        <w:gridCol w:w="9214"/>
      </w:tblGrid>
      <w:tr w:rsidR="00E01F75" w14:paraId="41304000" w14:textId="77777777" w:rsidTr="00E01F75">
        <w:tc>
          <w:tcPr>
            <w:tcW w:w="9214" w:type="dxa"/>
          </w:tcPr>
          <w:p w14:paraId="6499A724" w14:textId="722EAFB0" w:rsidR="00E01F75" w:rsidRPr="00811057" w:rsidRDefault="00E01F75">
            <w:pPr>
              <w:spacing w:before="60" w:after="60"/>
              <w:rPr>
                <w:rFonts w:ascii="Titillium" w:hAnsi="Titillium"/>
                <w:i/>
                <w:iCs/>
                <w:sz w:val="18"/>
                <w:szCs w:val="18"/>
              </w:rPr>
            </w:pPr>
            <w:r w:rsidRPr="00534170">
              <w:rPr>
                <w:rFonts w:ascii="Titillium" w:hAnsi="Titillium"/>
                <w:i/>
                <w:iCs/>
                <w:sz w:val="18"/>
                <w:szCs w:val="18"/>
              </w:rPr>
              <w:t xml:space="preserve">N.B.  Nel caso in cui si intenda affidare </w:t>
            </w:r>
            <w:r w:rsidRPr="00811057">
              <w:rPr>
                <w:rFonts w:ascii="Titillium" w:hAnsi="Titillium"/>
                <w:i/>
                <w:iCs/>
                <w:sz w:val="18"/>
                <w:szCs w:val="18"/>
              </w:rPr>
              <w:t xml:space="preserve">contestualmente </w:t>
            </w:r>
            <w:r w:rsidR="00976C8D" w:rsidRPr="00811057">
              <w:rPr>
                <w:rFonts w:ascii="Titillium" w:hAnsi="Titillium"/>
                <w:i/>
                <w:iCs/>
                <w:sz w:val="18"/>
                <w:szCs w:val="18"/>
              </w:rPr>
              <w:t xml:space="preserve">ai lotti di progettazione </w:t>
            </w:r>
            <w:r w:rsidRPr="00811057">
              <w:rPr>
                <w:rFonts w:ascii="Titillium" w:hAnsi="Titillium"/>
                <w:i/>
                <w:iCs/>
                <w:sz w:val="18"/>
                <w:szCs w:val="18"/>
              </w:rPr>
              <w:t xml:space="preserve">anche </w:t>
            </w:r>
            <w:r w:rsidRPr="00811057">
              <w:rPr>
                <w:rFonts w:ascii="Titillium" w:hAnsi="Titillium"/>
                <w:b/>
                <w:bCs/>
                <w:i/>
                <w:iCs/>
                <w:sz w:val="18"/>
                <w:szCs w:val="18"/>
              </w:rPr>
              <w:t xml:space="preserve">il </w:t>
            </w:r>
            <w:r w:rsidRPr="00811057">
              <w:rPr>
                <w:rFonts w:ascii="Titillium" w:hAnsi="Titillium"/>
                <w:i/>
                <w:iCs/>
                <w:sz w:val="18"/>
                <w:szCs w:val="18"/>
              </w:rPr>
              <w:t xml:space="preserve">servizio di verifica della progettazione, stante la speciale disciplina prevista dall’Allegato 1.7 al </w:t>
            </w:r>
            <w:r w:rsidR="00613827">
              <w:rPr>
                <w:rFonts w:ascii="Titillium" w:hAnsi="Titillium"/>
                <w:i/>
                <w:iCs/>
                <w:sz w:val="18"/>
                <w:szCs w:val="18"/>
              </w:rPr>
              <w:t>C</w:t>
            </w:r>
            <w:r w:rsidRPr="00811057">
              <w:rPr>
                <w:rFonts w:ascii="Titillium" w:hAnsi="Titillium"/>
                <w:i/>
                <w:iCs/>
                <w:sz w:val="18"/>
                <w:szCs w:val="18"/>
              </w:rPr>
              <w:t xml:space="preserve">odice (SEZIONE IV – VERIFICA DELLA PROGETTAZIONE – articoli da 34 a 44 ) </w:t>
            </w:r>
            <w:r w:rsidR="002B3555" w:rsidRPr="00811057">
              <w:rPr>
                <w:rFonts w:ascii="Titillium" w:hAnsi="Titillium"/>
                <w:i/>
                <w:iCs/>
                <w:sz w:val="18"/>
                <w:szCs w:val="18"/>
              </w:rPr>
              <w:t>avuto riguardo, in particolare, ai soggetti  che ai sensi degli art</w:t>
            </w:r>
            <w:r w:rsidR="00A41978" w:rsidRPr="00811057">
              <w:rPr>
                <w:rFonts w:ascii="Titillium" w:hAnsi="Titillium"/>
                <w:i/>
                <w:iCs/>
                <w:sz w:val="18"/>
                <w:szCs w:val="18"/>
              </w:rPr>
              <w:t>icoli</w:t>
            </w:r>
            <w:r w:rsidR="002B3555" w:rsidRPr="00811057">
              <w:rPr>
                <w:rFonts w:ascii="Titillium" w:hAnsi="Titillium"/>
                <w:i/>
                <w:iCs/>
                <w:sz w:val="18"/>
                <w:szCs w:val="18"/>
              </w:rPr>
              <w:t xml:space="preserve"> 34 e 35 possono legittimamente espletare l’attività di verifica (da determinarsi in relazione al diverso importo dei lavori), ed ai </w:t>
            </w:r>
            <w:r w:rsidRPr="00811057">
              <w:rPr>
                <w:rFonts w:ascii="Titillium" w:hAnsi="Titillium"/>
                <w:i/>
                <w:iCs/>
                <w:sz w:val="18"/>
                <w:szCs w:val="18"/>
              </w:rPr>
              <w:t>requisiti per la partecipazione alle gare di cui all’articolo 38, è necessario prevedere un lotto separato, tenendo, altresì, conto dell’incompatibilità prevista all’articolo 34 del medesimo Allegato, tra lo svolgimento dell’attività di verifica della progettazione con l’attività di progettazione, del coordinamento della sicurezza, della direzione lavori e del collaudo</w:t>
            </w:r>
            <w:r w:rsidR="00452D49" w:rsidRPr="00811057">
              <w:rPr>
                <w:rFonts w:ascii="Titillium" w:hAnsi="Titillium"/>
                <w:i/>
                <w:iCs/>
                <w:sz w:val="18"/>
                <w:szCs w:val="18"/>
              </w:rPr>
              <w:t xml:space="preserve"> concernente il medesimo progetto</w:t>
            </w:r>
            <w:r w:rsidRPr="00811057">
              <w:rPr>
                <w:rFonts w:ascii="Titillium" w:hAnsi="Titillium"/>
                <w:i/>
                <w:iCs/>
                <w:sz w:val="18"/>
                <w:szCs w:val="18"/>
              </w:rPr>
              <w:t>. Nel caso in cui sia consentita la partecipazione a più lotti, l’aggiudicatario del servizio di verifica della progettazione non potrà risultare altresì aggiudicatario anche del lotto concernente i re</w:t>
            </w:r>
            <w:r w:rsidR="00537575" w:rsidRPr="00811057">
              <w:rPr>
                <w:rFonts w:ascii="Titillium" w:hAnsi="Titillium"/>
                <w:i/>
                <w:iCs/>
                <w:sz w:val="18"/>
                <w:szCs w:val="18"/>
              </w:rPr>
              <w:t xml:space="preserve">lativi </w:t>
            </w:r>
            <w:r w:rsidRPr="00811057">
              <w:rPr>
                <w:rFonts w:ascii="Titillium" w:hAnsi="Titillium"/>
                <w:i/>
                <w:iCs/>
                <w:sz w:val="18"/>
                <w:szCs w:val="18"/>
              </w:rPr>
              <w:t>servizi di progettazione. Pertanto, nel caso in cui un concorrente risulti primo in graduatoria per entrambi i lotti è onere della stazione appaltante definire nel bando il criterio, oggettivo e non discriminatorio, per determinare quale lotto sarà aggiudicato.</w:t>
            </w:r>
          </w:p>
          <w:p w14:paraId="5DDEA36C" w14:textId="77CAEEBB" w:rsidR="00B04690" w:rsidRDefault="00B04690" w:rsidP="00291EB1">
            <w:pPr>
              <w:spacing w:before="60" w:after="60"/>
              <w:rPr>
                <w:rFonts w:ascii="Titillium" w:hAnsi="Titillium"/>
                <w:i/>
                <w:iCs/>
                <w:sz w:val="18"/>
                <w:szCs w:val="18"/>
              </w:rPr>
            </w:pPr>
            <w:r w:rsidRPr="00811057">
              <w:rPr>
                <w:rFonts w:ascii="Titillium" w:hAnsi="Titillium"/>
                <w:i/>
                <w:iCs/>
                <w:sz w:val="18"/>
                <w:szCs w:val="18"/>
              </w:rPr>
              <w:t>Si richiama, altresì, il Comunicato del Presidente AN</w:t>
            </w:r>
            <w:r w:rsidR="00A12F69" w:rsidRPr="00811057">
              <w:rPr>
                <w:rFonts w:ascii="Titillium" w:hAnsi="Titillium"/>
                <w:i/>
                <w:iCs/>
                <w:sz w:val="18"/>
                <w:szCs w:val="18"/>
              </w:rPr>
              <w:t>A</w:t>
            </w:r>
            <w:r w:rsidRPr="00811057">
              <w:rPr>
                <w:rFonts w:ascii="Titillium" w:hAnsi="Titillium"/>
                <w:i/>
                <w:iCs/>
                <w:sz w:val="18"/>
                <w:szCs w:val="18"/>
              </w:rPr>
              <w:t>C del 30 aprile 2025</w:t>
            </w:r>
            <w:r w:rsidRPr="00811057">
              <w:rPr>
                <w:rFonts w:ascii="Titillium" w:hAnsi="Titillium"/>
                <w:sz w:val="18"/>
                <w:szCs w:val="18"/>
              </w:rPr>
              <w:t xml:space="preserve"> </w:t>
            </w:r>
            <w:r w:rsidR="00A12F69" w:rsidRPr="00811057">
              <w:rPr>
                <w:rFonts w:ascii="Titillium" w:hAnsi="Titillium"/>
                <w:sz w:val="18"/>
                <w:szCs w:val="18"/>
              </w:rPr>
              <w:t>con il quale sono stati forniti “</w:t>
            </w:r>
            <w:r w:rsidR="00A12F69" w:rsidRPr="00811057">
              <w:rPr>
                <w:rFonts w:ascii="Titillium" w:hAnsi="Titillium"/>
                <w:i/>
                <w:iCs/>
                <w:sz w:val="18"/>
                <w:szCs w:val="18"/>
              </w:rPr>
              <w:t>C</w:t>
            </w:r>
            <w:r w:rsidRPr="00811057">
              <w:rPr>
                <w:rFonts w:ascii="Titillium" w:hAnsi="Titillium"/>
                <w:i/>
                <w:iCs/>
                <w:sz w:val="18"/>
                <w:szCs w:val="18"/>
              </w:rPr>
              <w:t>hiarimenti e indicazioni operative in merito all’incompatibilità tra lo svolgimento dell’attività di verifica e l’attività di progettazione afferente al medesimo progetto</w:t>
            </w:r>
            <w:r w:rsidR="00613827" w:rsidRPr="00811057">
              <w:rPr>
                <w:rFonts w:ascii="Titillium" w:hAnsi="Titillium"/>
                <w:i/>
                <w:iCs/>
                <w:sz w:val="18"/>
                <w:szCs w:val="18"/>
              </w:rPr>
              <w:t>”</w:t>
            </w:r>
            <w:r w:rsidR="00613827" w:rsidRPr="00811057">
              <w:rPr>
                <w:rFonts w:ascii="Titillium" w:hAnsi="Titillium"/>
                <w:sz w:val="18"/>
                <w:szCs w:val="18"/>
              </w:rPr>
              <w:t>.</w:t>
            </w:r>
          </w:p>
        </w:tc>
      </w:tr>
    </w:tbl>
    <w:p w14:paraId="63A8D14C" w14:textId="77777777" w:rsidR="00E01F75" w:rsidRDefault="00E01F75">
      <w:pPr>
        <w:spacing w:before="60" w:after="60"/>
        <w:rPr>
          <w:rFonts w:ascii="Titillium" w:hAnsi="Titillium"/>
          <w:i/>
          <w:iCs/>
          <w:sz w:val="18"/>
          <w:szCs w:val="18"/>
        </w:rPr>
      </w:pPr>
    </w:p>
    <w:p w14:paraId="44C864DC" w14:textId="2C980A6B" w:rsidR="004D7C72" w:rsidRPr="00674A58" w:rsidRDefault="00E4528D">
      <w:pPr>
        <w:spacing w:before="60" w:after="60"/>
        <w:rPr>
          <w:rFonts w:ascii="Titillium" w:hAnsi="Titillium"/>
          <w:i/>
          <w:iCs/>
          <w:sz w:val="18"/>
          <w:szCs w:val="18"/>
        </w:rPr>
      </w:pPr>
      <w:r w:rsidRPr="00E4528D">
        <w:rPr>
          <w:rFonts w:ascii="Titillium" w:hAnsi="Titillium"/>
          <w:sz w:val="18"/>
          <w:szCs w:val="18"/>
        </w:rPr>
        <w:t>L’importo di ciascun lotto è stato calcolato ai sensi dell’</w:t>
      </w:r>
      <w:r w:rsidR="00BA535B">
        <w:rPr>
          <w:rFonts w:ascii="Titillium" w:hAnsi="Titillium"/>
          <w:sz w:val="18"/>
          <w:szCs w:val="18"/>
        </w:rPr>
        <w:t>A</w:t>
      </w:r>
      <w:r w:rsidRPr="00E4528D">
        <w:rPr>
          <w:rFonts w:ascii="Titillium" w:hAnsi="Titillium"/>
          <w:sz w:val="18"/>
          <w:szCs w:val="18"/>
        </w:rPr>
        <w:t>llegato I.13 al Codice "</w:t>
      </w:r>
      <w:r w:rsidRPr="00BA535B">
        <w:rPr>
          <w:rFonts w:ascii="Titillium" w:hAnsi="Titillium"/>
          <w:i/>
          <w:iCs/>
          <w:sz w:val="18"/>
          <w:szCs w:val="18"/>
        </w:rPr>
        <w:t>Determinazione dei parametri per la progettazione"</w:t>
      </w:r>
      <w:r w:rsidRPr="00E4528D">
        <w:rPr>
          <w:rFonts w:ascii="Titillium" w:hAnsi="Titillium"/>
          <w:sz w:val="18"/>
          <w:szCs w:val="18"/>
        </w:rPr>
        <w:t xml:space="preserve"> che richiama integralmente il DM 17.06.</w:t>
      </w:r>
      <w:r w:rsidRPr="00534170">
        <w:rPr>
          <w:rFonts w:ascii="Titillium" w:hAnsi="Titillium"/>
          <w:sz w:val="18"/>
          <w:szCs w:val="18"/>
        </w:rPr>
        <w:t>2016, come da schemi di determinazione dei corrispettivi allegati al presente disciplinare ivi inclusa la quantificazione delle spese</w:t>
      </w:r>
      <w:r w:rsidRPr="00E4528D">
        <w:rPr>
          <w:rFonts w:ascii="Titillium" w:hAnsi="Titillium"/>
          <w:sz w:val="18"/>
          <w:szCs w:val="18"/>
        </w:rPr>
        <w:t xml:space="preserve"> </w:t>
      </w:r>
      <w:r w:rsidR="00674A58" w:rsidRPr="007C73B5">
        <w:rPr>
          <w:rFonts w:ascii="Titillium" w:hAnsi="Titillium"/>
          <w:i/>
          <w:iCs/>
          <w:sz w:val="18"/>
          <w:szCs w:val="18"/>
        </w:rPr>
        <w:t>[indicare nel disciplinare od in un apposito allegato il procedimento adottato per il calcolo dell’importo di ciascun lotto, inteso come elenco dettagliato delle prestazioni e dei relativi corrispettivi].</w:t>
      </w:r>
    </w:p>
    <w:p w14:paraId="4602117D" w14:textId="77777777" w:rsidR="00E01F75" w:rsidRDefault="00E01F75">
      <w:pPr>
        <w:spacing w:before="60" w:after="60"/>
        <w:rPr>
          <w:rFonts w:ascii="Titillium" w:hAnsi="Titillium"/>
          <w:sz w:val="18"/>
          <w:szCs w:val="18"/>
        </w:rPr>
      </w:pPr>
    </w:p>
    <w:tbl>
      <w:tblPr>
        <w:tblStyle w:val="Grigliatabella"/>
        <w:tblW w:w="0" w:type="auto"/>
        <w:tblLook w:val="04A0" w:firstRow="1" w:lastRow="0" w:firstColumn="1" w:lastColumn="0" w:noHBand="0" w:noVBand="1"/>
      </w:tblPr>
      <w:tblGrid>
        <w:gridCol w:w="9214"/>
      </w:tblGrid>
      <w:tr w:rsidR="00E01F75" w14:paraId="220C4B1F" w14:textId="77777777" w:rsidTr="00E01F75">
        <w:tc>
          <w:tcPr>
            <w:tcW w:w="9214" w:type="dxa"/>
          </w:tcPr>
          <w:p w14:paraId="440F8273" w14:textId="79C7E45F" w:rsidR="00E01F75" w:rsidRPr="001F01E3" w:rsidRDefault="001F01E3">
            <w:pPr>
              <w:spacing w:before="60" w:after="60"/>
              <w:rPr>
                <w:rFonts w:ascii="Titillium" w:hAnsi="Titillium"/>
                <w:sz w:val="18"/>
                <w:szCs w:val="18"/>
              </w:rPr>
            </w:pPr>
            <w:r w:rsidRPr="001F01E3">
              <w:rPr>
                <w:rFonts w:ascii="Titillium" w:hAnsi="Titillium"/>
                <w:i/>
                <w:iCs/>
                <w:sz w:val="18"/>
                <w:szCs w:val="18"/>
              </w:rPr>
              <w:t xml:space="preserve">N.B. </w:t>
            </w:r>
            <w:r w:rsidR="00BA535B" w:rsidRPr="001F01E3">
              <w:rPr>
                <w:rFonts w:ascii="Titillium" w:hAnsi="Titillium"/>
                <w:i/>
                <w:iCs/>
                <w:sz w:val="18"/>
                <w:szCs w:val="18"/>
              </w:rPr>
              <w:t>V</w:t>
            </w:r>
            <w:r w:rsidR="00E01F75" w:rsidRPr="001F01E3">
              <w:rPr>
                <w:rFonts w:ascii="Titillium" w:hAnsi="Titillium"/>
                <w:i/>
                <w:iCs/>
                <w:sz w:val="18"/>
                <w:szCs w:val="18"/>
              </w:rPr>
              <w:t>algono le medesime considerazioni esposte ne</w:t>
            </w:r>
            <w:r w:rsidR="00BA535B" w:rsidRPr="001F01E3">
              <w:rPr>
                <w:rFonts w:ascii="Titillium" w:hAnsi="Titillium"/>
                <w:i/>
                <w:iCs/>
                <w:sz w:val="18"/>
                <w:szCs w:val="18"/>
              </w:rPr>
              <w:t>i box relativi a</w:t>
            </w:r>
            <w:r w:rsidR="00E01F75" w:rsidRPr="001F01E3">
              <w:rPr>
                <w:rFonts w:ascii="Titillium" w:hAnsi="Titillium"/>
                <w:i/>
                <w:iCs/>
                <w:sz w:val="18"/>
                <w:szCs w:val="18"/>
              </w:rPr>
              <w:t>l caso di gara ad un solo lotto</w:t>
            </w:r>
            <w:r w:rsidR="00913E19" w:rsidRPr="001F01E3">
              <w:rPr>
                <w:i/>
                <w:iCs/>
              </w:rPr>
              <w:t xml:space="preserve"> </w:t>
            </w:r>
            <w:r w:rsidR="00913E19" w:rsidRPr="001F01E3">
              <w:rPr>
                <w:rFonts w:ascii="Titillium" w:hAnsi="Titillium"/>
                <w:i/>
                <w:iCs/>
                <w:sz w:val="18"/>
                <w:szCs w:val="18"/>
              </w:rPr>
              <w:t>che si intendono integralmente richiamate e/o da richiamare</w:t>
            </w:r>
            <w:r w:rsidR="00E01F75" w:rsidRPr="001F01E3">
              <w:rPr>
                <w:rFonts w:ascii="Titillium" w:hAnsi="Titillium"/>
                <w:i/>
                <w:iCs/>
                <w:sz w:val="18"/>
                <w:szCs w:val="18"/>
              </w:rPr>
              <w:t>.</w:t>
            </w:r>
            <w:r w:rsidR="00E01F75" w:rsidRPr="001F01E3">
              <w:rPr>
                <w:rFonts w:ascii="Titillium" w:hAnsi="Titillium"/>
                <w:sz w:val="18"/>
                <w:szCs w:val="18"/>
              </w:rPr>
              <w:t xml:space="preserve">  </w:t>
            </w:r>
          </w:p>
        </w:tc>
      </w:tr>
    </w:tbl>
    <w:p w14:paraId="500E2320" w14:textId="77777777" w:rsidR="00E01F75" w:rsidRDefault="00E01F75">
      <w:pPr>
        <w:spacing w:before="60" w:after="60"/>
        <w:rPr>
          <w:rFonts w:ascii="Titillium" w:hAnsi="Titillium"/>
          <w:sz w:val="18"/>
          <w:szCs w:val="18"/>
        </w:rPr>
      </w:pPr>
    </w:p>
    <w:p w14:paraId="50E39D69" w14:textId="26D46FC0" w:rsidR="00E4528D" w:rsidRDefault="00E4528D" w:rsidP="00E4528D">
      <w:pPr>
        <w:spacing w:before="60" w:after="60"/>
        <w:rPr>
          <w:rFonts w:ascii="Titillium" w:hAnsi="Titillium"/>
          <w:sz w:val="18"/>
          <w:szCs w:val="18"/>
        </w:rPr>
      </w:pPr>
      <w:r w:rsidRPr="00E4528D">
        <w:rPr>
          <w:rFonts w:ascii="Titillium" w:hAnsi="Titillium"/>
          <w:sz w:val="18"/>
          <w:szCs w:val="18"/>
        </w:rPr>
        <w:t>In considerazione della natura intellettuale de</w:t>
      </w:r>
      <w:r>
        <w:rPr>
          <w:rFonts w:ascii="Titillium" w:hAnsi="Titillium"/>
          <w:sz w:val="18"/>
          <w:szCs w:val="18"/>
        </w:rPr>
        <w:t>i servizi oggetto dei singoli lott</w:t>
      </w:r>
      <w:r w:rsidR="00C74BD2">
        <w:rPr>
          <w:rFonts w:ascii="Titillium" w:hAnsi="Titillium"/>
          <w:sz w:val="18"/>
          <w:szCs w:val="18"/>
        </w:rPr>
        <w:t>i</w:t>
      </w:r>
      <w:r w:rsidRPr="00E4528D">
        <w:rPr>
          <w:rFonts w:ascii="Titillium" w:hAnsi="Titillium"/>
          <w:sz w:val="18"/>
          <w:szCs w:val="18"/>
        </w:rPr>
        <w:t xml:space="preserve"> non ricorrono rischi di interferenze e, pertanto, non sussiste l’obbligo di redazione del DUVRI, ai sensi dell’articolo 26, comma 3-bis, del decreto legislativo 81/2008. </w:t>
      </w:r>
      <w:r w:rsidR="000501BF" w:rsidRPr="000501BF">
        <w:rPr>
          <w:rFonts w:ascii="Titillium" w:hAnsi="Titillium"/>
          <w:sz w:val="18"/>
          <w:szCs w:val="18"/>
        </w:rPr>
        <w:t>I costi della sicurezza da interferenza</w:t>
      </w:r>
      <w:r w:rsidRPr="00E4528D">
        <w:rPr>
          <w:rFonts w:ascii="Titillium" w:hAnsi="Titillium"/>
          <w:sz w:val="18"/>
          <w:szCs w:val="18"/>
        </w:rPr>
        <w:t xml:space="preserve"> relativi al servizio da affidare,</w:t>
      </w:r>
      <w:r>
        <w:rPr>
          <w:rFonts w:ascii="Titillium" w:hAnsi="Titillium"/>
          <w:sz w:val="18"/>
          <w:szCs w:val="18"/>
        </w:rPr>
        <w:t xml:space="preserve"> per ciascun lotto</w:t>
      </w:r>
      <w:r w:rsidRPr="00E4528D">
        <w:rPr>
          <w:rFonts w:ascii="Titillium" w:hAnsi="Titillium"/>
          <w:sz w:val="18"/>
          <w:szCs w:val="18"/>
        </w:rPr>
        <w:t xml:space="preserve"> sono pertanto pari a </w:t>
      </w:r>
      <w:r w:rsidR="000501BF" w:rsidRPr="000501BF">
        <w:rPr>
          <w:rFonts w:ascii="Titillium" w:hAnsi="Titillium"/>
          <w:sz w:val="18"/>
          <w:szCs w:val="18"/>
        </w:rPr>
        <w:t xml:space="preserve">€ </w:t>
      </w:r>
      <w:r w:rsidRPr="00E4528D">
        <w:rPr>
          <w:rFonts w:ascii="Titillium" w:hAnsi="Titillium"/>
          <w:sz w:val="18"/>
          <w:szCs w:val="18"/>
        </w:rPr>
        <w:t>0,00 (euro zero/00). I costi della manodopera</w:t>
      </w:r>
      <w:r>
        <w:rPr>
          <w:rFonts w:ascii="Titillium" w:hAnsi="Titillium"/>
          <w:sz w:val="18"/>
          <w:szCs w:val="18"/>
        </w:rPr>
        <w:t xml:space="preserve"> per ciascun lotto</w:t>
      </w:r>
      <w:r w:rsidRPr="00E4528D">
        <w:rPr>
          <w:rFonts w:ascii="Titillium" w:hAnsi="Titillium"/>
          <w:sz w:val="18"/>
          <w:szCs w:val="18"/>
        </w:rPr>
        <w:t xml:space="preserve"> sono pari ad € 0,00.</w:t>
      </w:r>
      <w:r w:rsidR="004079FD" w:rsidRPr="004079FD">
        <w:t xml:space="preserve"> </w:t>
      </w:r>
      <w:r w:rsidR="004079FD" w:rsidRPr="004079FD">
        <w:rPr>
          <w:rFonts w:ascii="Titillium" w:hAnsi="Titillium"/>
          <w:sz w:val="18"/>
          <w:szCs w:val="18"/>
        </w:rPr>
        <w:t>(euro zero/00)</w:t>
      </w:r>
      <w:r w:rsidR="004079FD">
        <w:rPr>
          <w:rFonts w:ascii="Titillium" w:hAnsi="Titillium"/>
          <w:sz w:val="18"/>
          <w:szCs w:val="18"/>
        </w:rPr>
        <w:t>.</w:t>
      </w:r>
    </w:p>
    <w:p w14:paraId="6E8A1B61" w14:textId="77777777" w:rsidR="00537B1C" w:rsidRDefault="00537B1C" w:rsidP="00E4528D">
      <w:pPr>
        <w:spacing w:before="60" w:after="60"/>
        <w:rPr>
          <w:rFonts w:ascii="Titillium" w:hAnsi="Titillium"/>
          <w:sz w:val="18"/>
          <w:szCs w:val="18"/>
        </w:rPr>
      </w:pPr>
    </w:p>
    <w:tbl>
      <w:tblPr>
        <w:tblStyle w:val="Grigliatabella"/>
        <w:tblW w:w="0" w:type="auto"/>
        <w:tblLook w:val="04A0" w:firstRow="1" w:lastRow="0" w:firstColumn="1" w:lastColumn="0" w:noHBand="0" w:noVBand="1"/>
      </w:tblPr>
      <w:tblGrid>
        <w:gridCol w:w="9214"/>
      </w:tblGrid>
      <w:tr w:rsidR="00537B1C" w14:paraId="281E2414" w14:textId="77777777" w:rsidTr="00537B1C">
        <w:tc>
          <w:tcPr>
            <w:tcW w:w="9214" w:type="dxa"/>
          </w:tcPr>
          <w:p w14:paraId="15CB0226" w14:textId="15647562" w:rsidR="00196EE3" w:rsidRPr="000B0E59" w:rsidRDefault="00537B1C" w:rsidP="00196EE3">
            <w:pPr>
              <w:spacing w:before="60" w:after="60"/>
              <w:rPr>
                <w:rFonts w:ascii="Titillium" w:hAnsi="Titillium"/>
                <w:sz w:val="18"/>
                <w:szCs w:val="18"/>
              </w:rPr>
            </w:pPr>
            <w:r w:rsidRPr="000B0E59">
              <w:rPr>
                <w:rFonts w:ascii="Titillium" w:hAnsi="Titillium"/>
                <w:i/>
                <w:iCs/>
                <w:sz w:val="18"/>
                <w:szCs w:val="18"/>
              </w:rPr>
              <w:t xml:space="preserve">N.B. Nel caso in cui in cui l’affidamento comprenda anche prestazioni di natura diversa dai servizi di ingegneria ed </w:t>
            </w:r>
            <w:r w:rsidR="00A41978" w:rsidRPr="000B0E59">
              <w:rPr>
                <w:rFonts w:ascii="Titillium" w:hAnsi="Titillium"/>
                <w:i/>
                <w:iCs/>
                <w:sz w:val="18"/>
                <w:szCs w:val="18"/>
              </w:rPr>
              <w:t>architettura</w:t>
            </w:r>
            <w:r w:rsidR="00122FB2" w:rsidRPr="000B0E59">
              <w:rPr>
                <w:rFonts w:ascii="Titillium" w:hAnsi="Titillium"/>
                <w:i/>
                <w:iCs/>
                <w:sz w:val="18"/>
                <w:szCs w:val="18"/>
              </w:rPr>
              <w:t>,</w:t>
            </w:r>
            <w:r w:rsidR="00A41978" w:rsidRPr="000B0E59">
              <w:rPr>
                <w:rFonts w:ascii="Titillium" w:hAnsi="Titillium"/>
                <w:i/>
                <w:iCs/>
                <w:sz w:val="18"/>
                <w:szCs w:val="18"/>
              </w:rPr>
              <w:t xml:space="preserve"> </w:t>
            </w:r>
            <w:r w:rsidR="006E3BC2" w:rsidRPr="000B0E59">
              <w:rPr>
                <w:rFonts w:ascii="Titillium" w:hAnsi="Titillium"/>
                <w:i/>
                <w:iCs/>
                <w:sz w:val="18"/>
                <w:szCs w:val="18"/>
              </w:rPr>
              <w:t>in conformità a quanto previsto dall’art. 41 comma 14 del Codice, per tali prestazioni</w:t>
            </w:r>
            <w:r w:rsidR="00672430" w:rsidRPr="000B0E59">
              <w:rPr>
                <w:rFonts w:ascii="Titillium" w:hAnsi="Titillium"/>
                <w:i/>
                <w:iCs/>
                <w:sz w:val="18"/>
                <w:szCs w:val="18"/>
              </w:rPr>
              <w:t xml:space="preserve"> di natura non intellettuale</w:t>
            </w:r>
            <w:r w:rsidR="006E3BC2" w:rsidRPr="000B0E59">
              <w:rPr>
                <w:rFonts w:ascii="Titillium" w:hAnsi="Titillium"/>
                <w:i/>
                <w:iCs/>
                <w:sz w:val="18"/>
                <w:szCs w:val="18"/>
              </w:rPr>
              <w:t xml:space="preserve">, è necessario indicare </w:t>
            </w:r>
            <w:r w:rsidRPr="000B0E59">
              <w:rPr>
                <w:rFonts w:ascii="Titillium" w:hAnsi="Titillium"/>
                <w:i/>
                <w:iCs/>
                <w:sz w:val="18"/>
                <w:szCs w:val="18"/>
              </w:rPr>
              <w:t>i</w:t>
            </w:r>
            <w:r w:rsidR="000B6A7C" w:rsidRPr="000B0E59">
              <w:rPr>
                <w:rFonts w:ascii="Titillium" w:hAnsi="Titillium"/>
                <w:i/>
                <w:iCs/>
                <w:sz w:val="18"/>
                <w:szCs w:val="18"/>
              </w:rPr>
              <w:t xml:space="preserve"> relativi costi della</w:t>
            </w:r>
            <w:r w:rsidR="006E3BC2" w:rsidRPr="000B0E59">
              <w:rPr>
                <w:rFonts w:ascii="Titillium" w:hAnsi="Titillium"/>
                <w:i/>
                <w:iCs/>
                <w:sz w:val="18"/>
                <w:szCs w:val="18"/>
              </w:rPr>
              <w:t xml:space="preserve"> manodopera e della</w:t>
            </w:r>
            <w:r w:rsidR="000B6A7C" w:rsidRPr="000B0E59">
              <w:rPr>
                <w:rFonts w:ascii="Titillium" w:hAnsi="Titillium"/>
                <w:i/>
                <w:iCs/>
                <w:sz w:val="18"/>
                <w:szCs w:val="18"/>
              </w:rPr>
              <w:t xml:space="preserve"> sicurezza non soggetti a ribasso oltre </w:t>
            </w:r>
            <w:r w:rsidR="006E3BC2" w:rsidRPr="000B0E59">
              <w:rPr>
                <w:rFonts w:ascii="Titillium" w:hAnsi="Titillium"/>
                <w:i/>
                <w:iCs/>
                <w:sz w:val="18"/>
                <w:szCs w:val="18"/>
              </w:rPr>
              <w:t>al</w:t>
            </w:r>
            <w:r w:rsidR="000B6A7C" w:rsidRPr="000B0E59">
              <w:rPr>
                <w:rFonts w:ascii="Titillium" w:hAnsi="Titillium"/>
                <w:i/>
                <w:iCs/>
                <w:sz w:val="18"/>
                <w:szCs w:val="18"/>
              </w:rPr>
              <w:t xml:space="preserve"> CCNL applicabile</w:t>
            </w:r>
            <w:r w:rsidR="006E3BC2" w:rsidRPr="000B0E59">
              <w:rPr>
                <w:rFonts w:ascii="Titillium" w:hAnsi="Titillium"/>
                <w:i/>
                <w:iCs/>
                <w:sz w:val="18"/>
                <w:szCs w:val="18"/>
              </w:rPr>
              <w:t xml:space="preserve"> al personale dipendente impiegato nell'attività in questione, ai sensi dell’art. 11 comma del Codice ed in conformità al comma 1 del medesimo articolo e all'allegato I.01.</w:t>
            </w:r>
            <w:r w:rsidR="000B6A7C" w:rsidRPr="000B0E59">
              <w:rPr>
                <w:rFonts w:ascii="Titillium" w:hAnsi="Titillium"/>
                <w:sz w:val="18"/>
                <w:szCs w:val="18"/>
              </w:rPr>
              <w:t xml:space="preserve"> </w:t>
            </w:r>
          </w:p>
        </w:tc>
      </w:tr>
    </w:tbl>
    <w:p w14:paraId="7000B6BA" w14:textId="77777777" w:rsidR="00537B1C" w:rsidRPr="00E4528D" w:rsidRDefault="00537B1C" w:rsidP="00E4528D">
      <w:pPr>
        <w:spacing w:before="60" w:after="60"/>
        <w:rPr>
          <w:rFonts w:ascii="Titillium" w:hAnsi="Titillium"/>
          <w:sz w:val="18"/>
          <w:szCs w:val="18"/>
        </w:rPr>
      </w:pPr>
    </w:p>
    <w:p w14:paraId="7A24A930" w14:textId="5543F05E" w:rsidR="006842EE" w:rsidRPr="00E4528D" w:rsidRDefault="008F2625">
      <w:pPr>
        <w:spacing w:before="60" w:after="60"/>
        <w:rPr>
          <w:rFonts w:ascii="Titillium" w:hAnsi="Titillium"/>
          <w:b/>
          <w:bCs/>
          <w:i/>
          <w:sz w:val="18"/>
          <w:szCs w:val="18"/>
        </w:rPr>
      </w:pPr>
      <w:r w:rsidRPr="00E4528D">
        <w:rPr>
          <w:rFonts w:ascii="Titillium" w:hAnsi="Titillium"/>
          <w:b/>
          <w:bCs/>
          <w:i/>
          <w:sz w:val="18"/>
          <w:szCs w:val="18"/>
        </w:rPr>
        <w:t>[Ripetere per ogni lotto]</w:t>
      </w:r>
    </w:p>
    <w:p w14:paraId="181BE108" w14:textId="3E9817FD" w:rsidR="004D7C72" w:rsidRDefault="00E4528D">
      <w:pPr>
        <w:spacing w:before="60" w:after="60"/>
        <w:rPr>
          <w:rFonts w:ascii="Titillium" w:hAnsi="Titillium"/>
          <w:i/>
          <w:sz w:val="18"/>
          <w:szCs w:val="18"/>
        </w:rPr>
      </w:pPr>
      <w:r w:rsidRPr="00B1289A">
        <w:rPr>
          <w:rFonts w:ascii="Titillium" w:hAnsi="Titillium"/>
          <w:iCs/>
          <w:sz w:val="18"/>
          <w:szCs w:val="18"/>
        </w:rPr>
        <w:t>Il dettaglio delle prestazioni oggetto del lotto è il seguente</w:t>
      </w:r>
      <w:r w:rsidRPr="00E4528D">
        <w:rPr>
          <w:rFonts w:ascii="Titillium" w:hAnsi="Titillium"/>
          <w:i/>
          <w:sz w:val="18"/>
          <w:szCs w:val="18"/>
        </w:rPr>
        <w:t>:</w:t>
      </w:r>
    </w:p>
    <w:p w14:paraId="13AE23D2" w14:textId="7B73A082" w:rsidR="004D7C72" w:rsidRDefault="004D7C72" w:rsidP="004D7C72">
      <w:pPr>
        <w:spacing w:before="60" w:after="60"/>
        <w:rPr>
          <w:rFonts w:ascii="Titillium" w:hAnsi="Titillium"/>
          <w:b/>
          <w:sz w:val="18"/>
          <w:szCs w:val="18"/>
        </w:rPr>
      </w:pPr>
      <w:r>
        <w:rPr>
          <w:rFonts w:ascii="Titillium" w:hAnsi="Titillium"/>
          <w:b/>
          <w:sz w:val="18"/>
          <w:szCs w:val="18"/>
        </w:rPr>
        <w:t xml:space="preserve">Tabella </w:t>
      </w:r>
      <w:r w:rsidR="001F01E3">
        <w:rPr>
          <w:rFonts w:ascii="Titillium" w:hAnsi="Titillium"/>
          <w:b/>
          <w:sz w:val="18"/>
          <w:szCs w:val="18"/>
        </w:rPr>
        <w:t>1</w:t>
      </w:r>
    </w:p>
    <w:p w14:paraId="1AA0E0D2" w14:textId="77777777" w:rsidR="004D7C72" w:rsidRDefault="004D7C72" w:rsidP="004D7C72">
      <w:pPr>
        <w:rPr>
          <w:rFonts w:asciiTheme="minorHAnsi" w:hAnsiTheme="minorHAnsi" w:cstheme="minorHAnsi"/>
          <w:b/>
          <w:i/>
          <w:szCs w:val="24"/>
        </w:rPr>
      </w:pPr>
    </w:p>
    <w:tbl>
      <w:tblPr>
        <w:tblW w:w="9206" w:type="dxa"/>
        <w:jc w:val="center"/>
        <w:tblLayout w:type="fixed"/>
        <w:tblLook w:val="0000" w:firstRow="0" w:lastRow="0" w:firstColumn="0" w:lastColumn="0" w:noHBand="0" w:noVBand="0"/>
      </w:tblPr>
      <w:tblGrid>
        <w:gridCol w:w="4349"/>
        <w:gridCol w:w="2621"/>
        <w:gridCol w:w="2236"/>
      </w:tblGrid>
      <w:tr w:rsidR="004D7C72" w14:paraId="07146D20" w14:textId="77777777" w:rsidTr="00862788">
        <w:trPr>
          <w:trHeight w:val="305"/>
          <w:jc w:val="center"/>
        </w:trPr>
        <w:tc>
          <w:tcPr>
            <w:tcW w:w="4349" w:type="dxa"/>
            <w:tcBorders>
              <w:top w:val="single" w:sz="6" w:space="0" w:color="000000"/>
              <w:left w:val="single" w:sz="6" w:space="0" w:color="000000"/>
              <w:bottom w:val="single" w:sz="4" w:space="0" w:color="000000"/>
              <w:right w:val="single" w:sz="6" w:space="0" w:color="000000"/>
            </w:tcBorders>
            <w:shd w:val="clear" w:color="auto" w:fill="D9D9D9"/>
          </w:tcPr>
          <w:p w14:paraId="28DD8E3D" w14:textId="77777777" w:rsidR="004D7C72" w:rsidRDefault="004D7C72" w:rsidP="003C6266">
            <w:pPr>
              <w:widowControl w:val="0"/>
              <w:spacing w:before="60" w:after="60"/>
              <w:jc w:val="center"/>
              <w:rPr>
                <w:rFonts w:ascii="Titillium" w:hAnsi="Titillium"/>
                <w:sz w:val="18"/>
                <w:szCs w:val="18"/>
              </w:rPr>
            </w:pPr>
            <w:r>
              <w:rPr>
                <w:rFonts w:ascii="Titillium" w:hAnsi="Titillium"/>
                <w:sz w:val="18"/>
                <w:szCs w:val="18"/>
              </w:rPr>
              <w:t>Descrizione delle prestazioni</w:t>
            </w:r>
          </w:p>
        </w:tc>
        <w:tc>
          <w:tcPr>
            <w:tcW w:w="2621" w:type="dxa"/>
            <w:tcBorders>
              <w:top w:val="single" w:sz="6" w:space="0" w:color="000000"/>
              <w:left w:val="single" w:sz="6" w:space="0" w:color="000000"/>
              <w:bottom w:val="single" w:sz="6" w:space="0" w:color="000000"/>
              <w:right w:val="single" w:sz="6" w:space="0" w:color="000000"/>
            </w:tcBorders>
            <w:shd w:val="clear" w:color="auto" w:fill="D9D9D9"/>
          </w:tcPr>
          <w:p w14:paraId="56A68B9B" w14:textId="77777777" w:rsidR="004D7C72" w:rsidRDefault="004D7C72" w:rsidP="003C6266">
            <w:pPr>
              <w:widowControl w:val="0"/>
              <w:spacing w:before="60" w:after="60"/>
              <w:jc w:val="center"/>
              <w:rPr>
                <w:rFonts w:ascii="Titillium" w:hAnsi="Titillium"/>
                <w:sz w:val="18"/>
                <w:szCs w:val="18"/>
              </w:rPr>
            </w:pPr>
            <w:r>
              <w:rPr>
                <w:rFonts w:ascii="Titillium" w:hAnsi="Titillium"/>
                <w:sz w:val="18"/>
                <w:szCs w:val="18"/>
              </w:rPr>
              <w:t>CPV</w:t>
            </w:r>
          </w:p>
        </w:tc>
        <w:tc>
          <w:tcPr>
            <w:tcW w:w="2236" w:type="dxa"/>
            <w:tcBorders>
              <w:top w:val="single" w:sz="6" w:space="0" w:color="000000"/>
              <w:left w:val="single" w:sz="6" w:space="0" w:color="000000"/>
              <w:bottom w:val="single" w:sz="4" w:space="0" w:color="000000"/>
              <w:right w:val="single" w:sz="6" w:space="0" w:color="000000"/>
            </w:tcBorders>
            <w:shd w:val="clear" w:color="auto" w:fill="D9D9D9"/>
          </w:tcPr>
          <w:p w14:paraId="4E46A428" w14:textId="77777777" w:rsidR="004D7C72" w:rsidRDefault="004D7C72" w:rsidP="003C6266">
            <w:pPr>
              <w:widowControl w:val="0"/>
              <w:spacing w:before="60" w:after="60"/>
              <w:jc w:val="center"/>
              <w:rPr>
                <w:rFonts w:ascii="Titillium" w:hAnsi="Titillium"/>
                <w:sz w:val="18"/>
                <w:szCs w:val="18"/>
              </w:rPr>
            </w:pPr>
            <w:r>
              <w:rPr>
                <w:rFonts w:ascii="Titillium" w:hAnsi="Titillium"/>
                <w:sz w:val="18"/>
                <w:szCs w:val="18"/>
              </w:rPr>
              <w:t>Importo</w:t>
            </w:r>
          </w:p>
        </w:tc>
      </w:tr>
      <w:tr w:rsidR="004D7C72" w14:paraId="05436B1A" w14:textId="77777777" w:rsidTr="00862788">
        <w:trPr>
          <w:trHeight w:val="855"/>
          <w:jc w:val="center"/>
        </w:trPr>
        <w:tc>
          <w:tcPr>
            <w:tcW w:w="4349" w:type="dxa"/>
            <w:tcBorders>
              <w:top w:val="single" w:sz="4" w:space="0" w:color="000000"/>
              <w:left w:val="single" w:sz="4" w:space="0" w:color="000000"/>
              <w:bottom w:val="single" w:sz="4" w:space="0" w:color="000000"/>
              <w:right w:val="single" w:sz="4" w:space="0" w:color="000000"/>
            </w:tcBorders>
          </w:tcPr>
          <w:p w14:paraId="35AB08E4" w14:textId="77777777" w:rsidR="004D7C72" w:rsidRDefault="004D7C72" w:rsidP="003C6266">
            <w:pPr>
              <w:widowControl w:val="0"/>
              <w:spacing w:before="60" w:after="60"/>
              <w:jc w:val="center"/>
              <w:rPr>
                <w:rFonts w:ascii="Titillium" w:hAnsi="Titillium"/>
                <w:sz w:val="18"/>
                <w:szCs w:val="18"/>
              </w:rPr>
            </w:pPr>
            <w:r>
              <w:rPr>
                <w:rFonts w:ascii="Titillium" w:hAnsi="Titillium"/>
                <w:sz w:val="18"/>
                <w:szCs w:val="18"/>
              </w:rPr>
              <w:t>[</w:t>
            </w:r>
            <w:r>
              <w:rPr>
                <w:rFonts w:ascii="Titillium" w:hAnsi="Titillium"/>
                <w:i/>
                <w:sz w:val="18"/>
                <w:szCs w:val="18"/>
              </w:rPr>
              <w:t xml:space="preserve">ad es. </w:t>
            </w:r>
            <w:r w:rsidRPr="009C3D82">
              <w:rPr>
                <w:rFonts w:ascii="Titillium" w:hAnsi="Titillium"/>
                <w:i/>
                <w:sz w:val="18"/>
                <w:szCs w:val="18"/>
              </w:rPr>
              <w:t>Progetto di fattibilità tecnica economica</w:t>
            </w:r>
            <w:r>
              <w:rPr>
                <w:rFonts w:ascii="Titillium" w:hAnsi="Titillium"/>
                <w:sz w:val="18"/>
                <w:szCs w:val="18"/>
              </w:rPr>
              <w:t>]</w:t>
            </w:r>
          </w:p>
        </w:tc>
        <w:tc>
          <w:tcPr>
            <w:tcW w:w="2621" w:type="dxa"/>
            <w:tcBorders>
              <w:top w:val="single" w:sz="6" w:space="0" w:color="000000"/>
              <w:left w:val="single" w:sz="4" w:space="0" w:color="000000"/>
              <w:bottom w:val="single" w:sz="4" w:space="0" w:color="000000"/>
              <w:right w:val="single" w:sz="4" w:space="0" w:color="000000"/>
            </w:tcBorders>
          </w:tcPr>
          <w:p w14:paraId="7D80E95E" w14:textId="77777777" w:rsidR="004D7C72" w:rsidRDefault="004D7C72" w:rsidP="003C6266">
            <w:pPr>
              <w:widowControl w:val="0"/>
              <w:spacing w:before="60" w:after="60"/>
              <w:jc w:val="center"/>
              <w:rPr>
                <w:rFonts w:ascii="Titillium" w:hAnsi="Titillium"/>
                <w:sz w:val="18"/>
                <w:szCs w:val="18"/>
              </w:rPr>
            </w:pPr>
            <w:r>
              <w:rPr>
                <w:rFonts w:ascii="Titillium" w:hAnsi="Titillium"/>
                <w:sz w:val="18"/>
                <w:szCs w:val="18"/>
              </w:rPr>
              <w:t>…</w:t>
            </w:r>
          </w:p>
        </w:tc>
        <w:tc>
          <w:tcPr>
            <w:tcW w:w="2236" w:type="dxa"/>
            <w:tcBorders>
              <w:top w:val="single" w:sz="4" w:space="0" w:color="000000"/>
              <w:left w:val="single" w:sz="4" w:space="0" w:color="000000"/>
              <w:bottom w:val="single" w:sz="4" w:space="0" w:color="000000"/>
              <w:right w:val="single" w:sz="4" w:space="0" w:color="000000"/>
            </w:tcBorders>
          </w:tcPr>
          <w:p w14:paraId="5585B37B" w14:textId="77777777" w:rsidR="004D7C72" w:rsidRDefault="004D7C72" w:rsidP="003C6266">
            <w:pPr>
              <w:widowControl w:val="0"/>
              <w:spacing w:before="60" w:after="60"/>
              <w:jc w:val="center"/>
              <w:rPr>
                <w:rFonts w:ascii="Titillium" w:hAnsi="Titillium"/>
                <w:sz w:val="18"/>
                <w:szCs w:val="18"/>
              </w:rPr>
            </w:pPr>
          </w:p>
        </w:tc>
      </w:tr>
      <w:tr w:rsidR="004D7C72" w14:paraId="4C3CBCE3" w14:textId="77777777" w:rsidTr="00862788">
        <w:trPr>
          <w:trHeight w:val="854"/>
          <w:jc w:val="center"/>
        </w:trPr>
        <w:tc>
          <w:tcPr>
            <w:tcW w:w="4349" w:type="dxa"/>
            <w:tcBorders>
              <w:top w:val="single" w:sz="4" w:space="0" w:color="000000"/>
              <w:left w:val="single" w:sz="4" w:space="0" w:color="000000"/>
              <w:bottom w:val="single" w:sz="4" w:space="0" w:color="000000"/>
              <w:right w:val="single" w:sz="4" w:space="0" w:color="000000"/>
            </w:tcBorders>
          </w:tcPr>
          <w:p w14:paraId="067069C3" w14:textId="2A691D24" w:rsidR="004D7C72" w:rsidRDefault="004D7C72" w:rsidP="003C6266">
            <w:pPr>
              <w:widowControl w:val="0"/>
              <w:spacing w:before="60" w:after="60"/>
              <w:jc w:val="center"/>
              <w:rPr>
                <w:rFonts w:ascii="Titillium" w:hAnsi="Titillium"/>
                <w:sz w:val="18"/>
                <w:szCs w:val="18"/>
              </w:rPr>
            </w:pPr>
            <w:r>
              <w:rPr>
                <w:rFonts w:ascii="Titillium" w:hAnsi="Titillium"/>
                <w:sz w:val="18"/>
                <w:szCs w:val="18"/>
              </w:rPr>
              <w:t>[</w:t>
            </w:r>
            <w:r>
              <w:rPr>
                <w:rFonts w:ascii="Titillium" w:hAnsi="Titillium"/>
                <w:i/>
                <w:sz w:val="18"/>
                <w:szCs w:val="18"/>
              </w:rPr>
              <w:t xml:space="preserve">ad es. </w:t>
            </w:r>
            <w:r w:rsidRPr="009C3D82">
              <w:rPr>
                <w:rFonts w:ascii="Titillium" w:hAnsi="Titillium"/>
                <w:i/>
                <w:sz w:val="18"/>
                <w:szCs w:val="18"/>
              </w:rPr>
              <w:t>progettazione esecutiva</w:t>
            </w:r>
            <w:r>
              <w:rPr>
                <w:rFonts w:ascii="Titillium" w:hAnsi="Titillium"/>
                <w:sz w:val="18"/>
                <w:szCs w:val="18"/>
              </w:rPr>
              <w:t>]</w:t>
            </w:r>
          </w:p>
        </w:tc>
        <w:tc>
          <w:tcPr>
            <w:tcW w:w="2621" w:type="dxa"/>
            <w:tcBorders>
              <w:top w:val="single" w:sz="4" w:space="0" w:color="000000"/>
              <w:left w:val="single" w:sz="4" w:space="0" w:color="000000"/>
              <w:bottom w:val="single" w:sz="4" w:space="0" w:color="000000"/>
              <w:right w:val="single" w:sz="4" w:space="0" w:color="000000"/>
            </w:tcBorders>
          </w:tcPr>
          <w:p w14:paraId="219622DA" w14:textId="77777777" w:rsidR="004D7C72" w:rsidRDefault="004D7C72" w:rsidP="003C6266">
            <w:pPr>
              <w:widowControl w:val="0"/>
              <w:spacing w:before="60" w:after="60"/>
              <w:jc w:val="center"/>
              <w:rPr>
                <w:rFonts w:ascii="Titillium" w:hAnsi="Titillium"/>
                <w:sz w:val="18"/>
                <w:szCs w:val="18"/>
              </w:rPr>
            </w:pPr>
            <w:r>
              <w:rPr>
                <w:rFonts w:ascii="Titillium" w:hAnsi="Titillium"/>
                <w:sz w:val="18"/>
                <w:szCs w:val="18"/>
              </w:rPr>
              <w:t>…</w:t>
            </w:r>
          </w:p>
        </w:tc>
        <w:tc>
          <w:tcPr>
            <w:tcW w:w="2236" w:type="dxa"/>
            <w:tcBorders>
              <w:top w:val="single" w:sz="4" w:space="0" w:color="000000"/>
              <w:left w:val="single" w:sz="4" w:space="0" w:color="000000"/>
              <w:bottom w:val="single" w:sz="4" w:space="0" w:color="000000"/>
              <w:right w:val="single" w:sz="4" w:space="0" w:color="000000"/>
            </w:tcBorders>
          </w:tcPr>
          <w:p w14:paraId="17C3C3D7" w14:textId="77777777" w:rsidR="004D7C72" w:rsidRDefault="004D7C72" w:rsidP="003C6266">
            <w:pPr>
              <w:widowControl w:val="0"/>
              <w:spacing w:before="60" w:after="60"/>
              <w:jc w:val="center"/>
              <w:rPr>
                <w:rFonts w:ascii="Titillium" w:hAnsi="Titillium"/>
                <w:sz w:val="18"/>
                <w:szCs w:val="18"/>
              </w:rPr>
            </w:pPr>
          </w:p>
        </w:tc>
      </w:tr>
      <w:tr w:rsidR="004D7C72" w14:paraId="6D992D4C" w14:textId="77777777" w:rsidTr="00862788">
        <w:trPr>
          <w:trHeight w:val="456"/>
          <w:jc w:val="center"/>
        </w:trPr>
        <w:tc>
          <w:tcPr>
            <w:tcW w:w="4349" w:type="dxa"/>
            <w:tcBorders>
              <w:top w:val="single" w:sz="4" w:space="0" w:color="000000"/>
              <w:left w:val="single" w:sz="4" w:space="0" w:color="000000"/>
              <w:bottom w:val="single" w:sz="4" w:space="0" w:color="000000"/>
              <w:right w:val="single" w:sz="4" w:space="0" w:color="000000"/>
            </w:tcBorders>
          </w:tcPr>
          <w:p w14:paraId="512729A1" w14:textId="2F4BBBAD" w:rsidR="004D7C72" w:rsidRDefault="004D7C72" w:rsidP="003C6266">
            <w:pPr>
              <w:widowControl w:val="0"/>
              <w:spacing w:before="60" w:after="60"/>
              <w:jc w:val="center"/>
              <w:rPr>
                <w:rFonts w:ascii="Titillium" w:hAnsi="Titillium"/>
                <w:sz w:val="18"/>
                <w:szCs w:val="18"/>
              </w:rPr>
            </w:pPr>
            <w:r w:rsidRPr="009C3D82">
              <w:rPr>
                <w:rFonts w:ascii="Titillium" w:hAnsi="Titillium"/>
                <w:sz w:val="18"/>
                <w:szCs w:val="18"/>
              </w:rPr>
              <w:t>[</w:t>
            </w:r>
            <w:r>
              <w:rPr>
                <w:rFonts w:ascii="Titillium" w:hAnsi="Titillium"/>
                <w:sz w:val="18"/>
                <w:szCs w:val="18"/>
              </w:rPr>
              <w:t xml:space="preserve">ad es. </w:t>
            </w:r>
            <w:r w:rsidRPr="009C3D82">
              <w:rPr>
                <w:rFonts w:ascii="Titillium" w:hAnsi="Titillium"/>
                <w:sz w:val="18"/>
                <w:szCs w:val="18"/>
              </w:rPr>
              <w:t>coordinamento sicurezza in fase di progettazione</w:t>
            </w:r>
            <w:r w:rsidR="00C74BD2">
              <w:rPr>
                <w:rFonts w:ascii="Titillium" w:hAnsi="Titillium"/>
                <w:sz w:val="18"/>
                <w:szCs w:val="18"/>
              </w:rPr>
              <w:t>]</w:t>
            </w:r>
          </w:p>
        </w:tc>
        <w:tc>
          <w:tcPr>
            <w:tcW w:w="2621" w:type="dxa"/>
            <w:tcBorders>
              <w:top w:val="single" w:sz="4" w:space="0" w:color="000000"/>
              <w:left w:val="single" w:sz="4" w:space="0" w:color="000000"/>
              <w:bottom w:val="single" w:sz="4" w:space="0" w:color="000000"/>
              <w:right w:val="single" w:sz="4" w:space="0" w:color="000000"/>
            </w:tcBorders>
          </w:tcPr>
          <w:p w14:paraId="6674E52B" w14:textId="77777777" w:rsidR="004D7C72" w:rsidRDefault="004D7C72" w:rsidP="003C6266">
            <w:pPr>
              <w:widowControl w:val="0"/>
              <w:spacing w:before="60" w:after="60"/>
              <w:jc w:val="center"/>
              <w:rPr>
                <w:rFonts w:ascii="Titillium" w:hAnsi="Titillium"/>
                <w:sz w:val="18"/>
                <w:szCs w:val="18"/>
              </w:rPr>
            </w:pPr>
            <w:r>
              <w:rPr>
                <w:rFonts w:ascii="Titillium" w:hAnsi="Titillium"/>
                <w:sz w:val="18"/>
                <w:szCs w:val="18"/>
              </w:rPr>
              <w:t>…</w:t>
            </w:r>
          </w:p>
        </w:tc>
        <w:tc>
          <w:tcPr>
            <w:tcW w:w="2236" w:type="dxa"/>
            <w:tcBorders>
              <w:top w:val="single" w:sz="4" w:space="0" w:color="000000"/>
              <w:left w:val="single" w:sz="4" w:space="0" w:color="000000"/>
              <w:bottom w:val="single" w:sz="4" w:space="0" w:color="000000"/>
              <w:right w:val="single" w:sz="4" w:space="0" w:color="000000"/>
            </w:tcBorders>
          </w:tcPr>
          <w:p w14:paraId="2D88A11A" w14:textId="77777777" w:rsidR="004D7C72" w:rsidRDefault="004D7C72" w:rsidP="003C6266">
            <w:pPr>
              <w:widowControl w:val="0"/>
              <w:spacing w:before="60" w:after="60"/>
              <w:jc w:val="center"/>
              <w:rPr>
                <w:rFonts w:ascii="Titillium" w:hAnsi="Titillium"/>
                <w:sz w:val="18"/>
                <w:szCs w:val="18"/>
              </w:rPr>
            </w:pPr>
            <w:r>
              <w:rPr>
                <w:rFonts w:ascii="Titillium" w:hAnsi="Titillium"/>
                <w:sz w:val="18"/>
                <w:szCs w:val="18"/>
              </w:rPr>
              <w:t>…</w:t>
            </w:r>
          </w:p>
        </w:tc>
      </w:tr>
      <w:tr w:rsidR="004D7C72" w14:paraId="76347746" w14:textId="77777777" w:rsidTr="00862788">
        <w:trPr>
          <w:trHeight w:val="456"/>
          <w:jc w:val="center"/>
        </w:trPr>
        <w:tc>
          <w:tcPr>
            <w:tcW w:w="4349" w:type="dxa"/>
            <w:tcBorders>
              <w:top w:val="single" w:sz="4" w:space="0" w:color="000000"/>
              <w:left w:val="single" w:sz="4" w:space="0" w:color="000000"/>
              <w:bottom w:val="single" w:sz="4" w:space="0" w:color="000000"/>
              <w:right w:val="single" w:sz="4" w:space="0" w:color="000000"/>
            </w:tcBorders>
          </w:tcPr>
          <w:p w14:paraId="286BA80F" w14:textId="77777777" w:rsidR="004D7C72" w:rsidRDefault="004D7C72" w:rsidP="003C6266">
            <w:pPr>
              <w:widowControl w:val="0"/>
              <w:spacing w:before="60" w:after="60"/>
              <w:jc w:val="center"/>
              <w:rPr>
                <w:rFonts w:ascii="Titillium" w:hAnsi="Titillium"/>
                <w:sz w:val="18"/>
                <w:szCs w:val="18"/>
              </w:rPr>
            </w:pPr>
            <w:r>
              <w:rPr>
                <w:rFonts w:ascii="Titillium" w:hAnsi="Titillium"/>
                <w:sz w:val="18"/>
                <w:szCs w:val="18"/>
              </w:rPr>
              <w:t>……..</w:t>
            </w:r>
          </w:p>
        </w:tc>
        <w:tc>
          <w:tcPr>
            <w:tcW w:w="2621" w:type="dxa"/>
            <w:tcBorders>
              <w:top w:val="single" w:sz="4" w:space="0" w:color="000000"/>
              <w:left w:val="single" w:sz="4" w:space="0" w:color="000000"/>
              <w:bottom w:val="single" w:sz="4" w:space="0" w:color="000000"/>
              <w:right w:val="single" w:sz="4" w:space="0" w:color="000000"/>
            </w:tcBorders>
          </w:tcPr>
          <w:p w14:paraId="451B0D35" w14:textId="77777777" w:rsidR="004D7C72" w:rsidRDefault="004D7C72" w:rsidP="003C6266">
            <w:pPr>
              <w:widowControl w:val="0"/>
              <w:spacing w:before="60" w:after="60"/>
              <w:jc w:val="center"/>
              <w:rPr>
                <w:rFonts w:ascii="Titillium" w:hAnsi="Titillium"/>
                <w:sz w:val="18"/>
                <w:szCs w:val="18"/>
              </w:rPr>
            </w:pPr>
            <w:r>
              <w:rPr>
                <w:rFonts w:ascii="Titillium" w:hAnsi="Titillium"/>
                <w:sz w:val="18"/>
                <w:szCs w:val="18"/>
              </w:rPr>
              <w:t>…</w:t>
            </w:r>
          </w:p>
        </w:tc>
        <w:tc>
          <w:tcPr>
            <w:tcW w:w="2236" w:type="dxa"/>
            <w:tcBorders>
              <w:top w:val="single" w:sz="4" w:space="0" w:color="000000"/>
              <w:left w:val="single" w:sz="4" w:space="0" w:color="000000"/>
              <w:bottom w:val="single" w:sz="4" w:space="0" w:color="000000"/>
              <w:right w:val="single" w:sz="4" w:space="0" w:color="000000"/>
            </w:tcBorders>
          </w:tcPr>
          <w:p w14:paraId="39D68837" w14:textId="77777777" w:rsidR="004D7C72" w:rsidRDefault="004D7C72" w:rsidP="003C6266">
            <w:pPr>
              <w:widowControl w:val="0"/>
              <w:spacing w:before="60" w:after="60"/>
              <w:jc w:val="center"/>
              <w:rPr>
                <w:rFonts w:ascii="Titillium" w:hAnsi="Titillium"/>
                <w:sz w:val="18"/>
                <w:szCs w:val="18"/>
              </w:rPr>
            </w:pPr>
            <w:r>
              <w:rPr>
                <w:rFonts w:ascii="Titillium" w:hAnsi="Titillium"/>
                <w:sz w:val="18"/>
                <w:szCs w:val="18"/>
              </w:rPr>
              <w:t>…</w:t>
            </w:r>
          </w:p>
        </w:tc>
      </w:tr>
      <w:tr w:rsidR="004D7C72" w14:paraId="632A1396" w14:textId="77777777" w:rsidTr="00862788">
        <w:trPr>
          <w:trHeight w:val="456"/>
          <w:jc w:val="center"/>
        </w:trPr>
        <w:tc>
          <w:tcPr>
            <w:tcW w:w="6970" w:type="dxa"/>
            <w:gridSpan w:val="2"/>
            <w:tcBorders>
              <w:top w:val="single" w:sz="4" w:space="0" w:color="000000"/>
              <w:left w:val="single" w:sz="4" w:space="0" w:color="000000"/>
              <w:bottom w:val="single" w:sz="4" w:space="0" w:color="000000"/>
              <w:right w:val="single" w:sz="4" w:space="0" w:color="000000"/>
            </w:tcBorders>
          </w:tcPr>
          <w:p w14:paraId="55D0BBB4" w14:textId="424A5BF9" w:rsidR="004D7C72" w:rsidRDefault="004D7C72" w:rsidP="003C6266">
            <w:pPr>
              <w:widowControl w:val="0"/>
              <w:spacing w:before="60" w:after="60"/>
              <w:jc w:val="center"/>
              <w:rPr>
                <w:rFonts w:ascii="Titillium" w:hAnsi="Titillium"/>
                <w:b/>
                <w:sz w:val="18"/>
                <w:szCs w:val="18"/>
              </w:rPr>
            </w:pPr>
            <w:r>
              <w:rPr>
                <w:rFonts w:ascii="Titillium" w:hAnsi="Titillium"/>
                <w:b/>
                <w:sz w:val="18"/>
                <w:szCs w:val="18"/>
              </w:rPr>
              <w:t xml:space="preserve">Importo totale (del lotto) </w:t>
            </w:r>
          </w:p>
        </w:tc>
        <w:tc>
          <w:tcPr>
            <w:tcW w:w="2236" w:type="dxa"/>
            <w:tcBorders>
              <w:top w:val="single" w:sz="4" w:space="0" w:color="000000"/>
              <w:left w:val="single" w:sz="4" w:space="0" w:color="000000"/>
              <w:bottom w:val="single" w:sz="4" w:space="0" w:color="000000"/>
              <w:right w:val="single" w:sz="4" w:space="0" w:color="000000"/>
            </w:tcBorders>
          </w:tcPr>
          <w:p w14:paraId="43BDCB39" w14:textId="77777777" w:rsidR="004D7C72" w:rsidRDefault="004D7C72" w:rsidP="003C6266">
            <w:pPr>
              <w:widowControl w:val="0"/>
              <w:spacing w:before="60" w:after="60"/>
              <w:jc w:val="center"/>
              <w:rPr>
                <w:rFonts w:ascii="Titillium" w:hAnsi="Titillium"/>
                <w:sz w:val="18"/>
                <w:szCs w:val="18"/>
              </w:rPr>
            </w:pPr>
            <w:r>
              <w:rPr>
                <w:rFonts w:ascii="Titillium" w:hAnsi="Titillium"/>
                <w:sz w:val="18"/>
                <w:szCs w:val="18"/>
              </w:rPr>
              <w:t>....</w:t>
            </w:r>
          </w:p>
        </w:tc>
      </w:tr>
    </w:tbl>
    <w:p w14:paraId="68C06048" w14:textId="77777777" w:rsidR="004D7C72" w:rsidRDefault="004D7C72">
      <w:pPr>
        <w:spacing w:before="60" w:after="60"/>
        <w:rPr>
          <w:rFonts w:ascii="Titillium" w:hAnsi="Titillium"/>
          <w:i/>
          <w:sz w:val="18"/>
          <w:szCs w:val="18"/>
        </w:rPr>
      </w:pPr>
    </w:p>
    <w:p w14:paraId="5FF704FB" w14:textId="77777777" w:rsidR="004D7C72" w:rsidRDefault="004D7C72">
      <w:pPr>
        <w:spacing w:before="60" w:after="60"/>
        <w:rPr>
          <w:rFonts w:ascii="Titillium" w:hAnsi="Titillium"/>
          <w:i/>
          <w:sz w:val="18"/>
          <w:szCs w:val="18"/>
        </w:rPr>
      </w:pPr>
    </w:p>
    <w:p w14:paraId="61BE3255" w14:textId="2BF910F0" w:rsidR="00E4528D" w:rsidRPr="00721E36" w:rsidRDefault="00E4528D" w:rsidP="00E4528D">
      <w:pPr>
        <w:rPr>
          <w:rFonts w:ascii="Titillium" w:hAnsi="Titillium"/>
          <w:sz w:val="18"/>
          <w:szCs w:val="18"/>
        </w:rPr>
      </w:pPr>
      <w:r w:rsidRPr="00721E36">
        <w:rPr>
          <w:rFonts w:ascii="Titillium" w:hAnsi="Titillium"/>
          <w:sz w:val="18"/>
          <w:szCs w:val="18"/>
        </w:rPr>
        <w:t xml:space="preserve">La prestazione principale </w:t>
      </w:r>
      <w:r>
        <w:rPr>
          <w:rFonts w:ascii="Titillium" w:hAnsi="Titillium"/>
          <w:sz w:val="18"/>
          <w:szCs w:val="18"/>
        </w:rPr>
        <w:t xml:space="preserve">del lotto </w:t>
      </w:r>
      <w:r w:rsidRPr="00721E36">
        <w:rPr>
          <w:rFonts w:ascii="Titillium" w:hAnsi="Titillium"/>
          <w:sz w:val="18"/>
          <w:szCs w:val="18"/>
        </w:rPr>
        <w:t>è quella relativa a ………… [la stazione appaltante indica la categoria e ID opere].</w:t>
      </w:r>
    </w:p>
    <w:p w14:paraId="589DDE9D" w14:textId="77777777" w:rsidR="00E4528D" w:rsidRPr="00721E36" w:rsidRDefault="00E4528D" w:rsidP="00E4528D">
      <w:pPr>
        <w:rPr>
          <w:rFonts w:ascii="Titillium" w:hAnsi="Titillium"/>
          <w:sz w:val="18"/>
          <w:szCs w:val="18"/>
        </w:rPr>
      </w:pPr>
    </w:p>
    <w:p w14:paraId="6B6AC018" w14:textId="0193ECE9" w:rsidR="00E4528D" w:rsidRDefault="00E4528D" w:rsidP="00E4528D">
      <w:pPr>
        <w:rPr>
          <w:rFonts w:asciiTheme="minorHAnsi" w:hAnsiTheme="minorHAnsi" w:cstheme="minorHAnsi"/>
          <w:szCs w:val="24"/>
        </w:rPr>
      </w:pPr>
      <w:r w:rsidRPr="00721E36">
        <w:rPr>
          <w:rFonts w:ascii="Titillium" w:hAnsi="Titillium"/>
          <w:sz w:val="18"/>
          <w:szCs w:val="18"/>
        </w:rPr>
        <w:t>Si riporta nelle successive tabelle, l’elenco dettagliato delle prestazioni</w:t>
      </w:r>
      <w:r>
        <w:rPr>
          <w:rFonts w:ascii="Titillium" w:hAnsi="Titillium"/>
          <w:sz w:val="18"/>
          <w:szCs w:val="18"/>
        </w:rPr>
        <w:t xml:space="preserve"> oggetto del </w:t>
      </w:r>
      <w:r w:rsidR="006F12B7">
        <w:rPr>
          <w:rFonts w:ascii="Titillium" w:hAnsi="Titillium"/>
          <w:sz w:val="18"/>
          <w:szCs w:val="18"/>
        </w:rPr>
        <w:t xml:space="preserve">lotto </w:t>
      </w:r>
      <w:r w:rsidR="006F12B7" w:rsidRPr="00721E36">
        <w:rPr>
          <w:rFonts w:ascii="Titillium" w:hAnsi="Titillium"/>
          <w:sz w:val="18"/>
          <w:szCs w:val="18"/>
        </w:rPr>
        <w:t>e</w:t>
      </w:r>
      <w:r w:rsidRPr="00721E36">
        <w:rPr>
          <w:rFonts w:ascii="Titillium" w:hAnsi="Titillium"/>
          <w:sz w:val="18"/>
          <w:szCs w:val="18"/>
        </w:rPr>
        <w:t xml:space="preserve"> dei relativi corrispettivi</w:t>
      </w:r>
      <w:r>
        <w:rPr>
          <w:rFonts w:ascii="Titillium" w:hAnsi="Titillium"/>
          <w:sz w:val="18"/>
          <w:szCs w:val="18"/>
        </w:rPr>
        <w:t>:</w:t>
      </w:r>
      <w:r w:rsidRPr="00721E36">
        <w:rPr>
          <w:rFonts w:ascii="Titillium" w:hAnsi="Titillium"/>
          <w:sz w:val="18"/>
          <w:szCs w:val="18"/>
        </w:rPr>
        <w:t xml:space="preserve"> </w:t>
      </w:r>
    </w:p>
    <w:p w14:paraId="79585925" w14:textId="77777777" w:rsidR="00E4528D" w:rsidRDefault="00E4528D" w:rsidP="00E4528D">
      <w:pPr>
        <w:rPr>
          <w:rFonts w:asciiTheme="minorHAnsi" w:hAnsiTheme="minorHAnsi" w:cstheme="minorHAnsi"/>
          <w:szCs w:val="24"/>
        </w:rPr>
      </w:pPr>
      <w:r>
        <w:rPr>
          <w:rFonts w:asciiTheme="minorHAnsi" w:hAnsiTheme="minorHAnsi" w:cstheme="minorHAnsi"/>
          <w:szCs w:val="24"/>
        </w:rPr>
        <w:t xml:space="preserve"> </w:t>
      </w:r>
    </w:p>
    <w:p w14:paraId="4D60C72B" w14:textId="77777777" w:rsidR="00E4528D" w:rsidRDefault="00E4528D" w:rsidP="00E4528D">
      <w:pPr>
        <w:rPr>
          <w:rFonts w:ascii="Titillium" w:hAnsi="Titillium" w:cstheme="minorHAnsi"/>
          <w:b/>
          <w:i/>
          <w:sz w:val="18"/>
          <w:szCs w:val="18"/>
        </w:rPr>
      </w:pPr>
      <w:r>
        <w:rPr>
          <w:rFonts w:ascii="Titillium" w:hAnsi="Titillium" w:cstheme="minorHAnsi"/>
          <w:b/>
          <w:i/>
          <w:sz w:val="18"/>
          <w:szCs w:val="18"/>
        </w:rPr>
        <w:t>Tabella n. 2 –Categorie, ID e tariffe</w:t>
      </w:r>
    </w:p>
    <w:p w14:paraId="14C597A9" w14:textId="77777777" w:rsidR="00E4528D" w:rsidRDefault="00E4528D" w:rsidP="00E4528D">
      <w:pPr>
        <w:rPr>
          <w:rFonts w:ascii="Titillium" w:hAnsi="Titillium" w:cstheme="minorHAnsi"/>
          <w:b/>
          <w:i/>
          <w:sz w:val="18"/>
          <w:szCs w:val="18"/>
        </w:rPr>
      </w:pPr>
    </w:p>
    <w:p w14:paraId="7B57FC77" w14:textId="77777777" w:rsidR="00E4528D" w:rsidRDefault="00E4528D" w:rsidP="00E4528D">
      <w:pPr>
        <w:rPr>
          <w:rFonts w:ascii="Titillium" w:hAnsi="Titillium" w:cstheme="minorHAnsi"/>
          <w:i/>
          <w:sz w:val="18"/>
          <w:szCs w:val="18"/>
        </w:rPr>
      </w:pPr>
      <w:r>
        <w:rPr>
          <w:rFonts w:ascii="Titillium" w:hAnsi="Titillium" w:cstheme="minorHAnsi"/>
          <w:b/>
          <w:i/>
          <w:sz w:val="18"/>
          <w:szCs w:val="18"/>
        </w:rPr>
        <w:t>Incarico di</w:t>
      </w:r>
      <w:r w:rsidRPr="0086099C">
        <w:rPr>
          <w:rFonts w:ascii="Titillium" w:hAnsi="Titillium" w:cstheme="minorHAnsi"/>
          <w:i/>
          <w:sz w:val="18"/>
          <w:szCs w:val="18"/>
        </w:rPr>
        <w:t xml:space="preserve"> .</w:t>
      </w:r>
      <w:r>
        <w:rPr>
          <w:rFonts w:ascii="Titillium" w:hAnsi="Titillium" w:cstheme="minorHAnsi"/>
          <w:i/>
          <w:sz w:val="18"/>
          <w:szCs w:val="18"/>
        </w:rPr>
        <w:t>.. (ad es. progettazione)</w:t>
      </w:r>
    </w:p>
    <w:p w14:paraId="797D6BC5" w14:textId="77777777" w:rsidR="00E4528D" w:rsidRDefault="00E4528D" w:rsidP="00E4528D">
      <w:pPr>
        <w:rPr>
          <w:rFonts w:ascii="Titillium" w:hAnsi="Titillium" w:cstheme="minorHAnsi"/>
          <w:b/>
          <w:i/>
          <w:sz w:val="18"/>
          <w:szCs w:val="18"/>
        </w:rPr>
      </w:pPr>
    </w:p>
    <w:tbl>
      <w:tblPr>
        <w:tblW w:w="9209" w:type="dxa"/>
        <w:tblInd w:w="5" w:type="dxa"/>
        <w:tblLayout w:type="fixed"/>
        <w:tblLook w:val="0000" w:firstRow="0" w:lastRow="0" w:firstColumn="0" w:lastColumn="0" w:noHBand="0" w:noVBand="0"/>
      </w:tblPr>
      <w:tblGrid>
        <w:gridCol w:w="1403"/>
        <w:gridCol w:w="716"/>
        <w:gridCol w:w="1851"/>
        <w:gridCol w:w="1281"/>
        <w:gridCol w:w="850"/>
        <w:gridCol w:w="1339"/>
        <w:gridCol w:w="931"/>
        <w:gridCol w:w="838"/>
      </w:tblGrid>
      <w:tr w:rsidR="00E4528D" w14:paraId="5A6BB0A8" w14:textId="77777777" w:rsidTr="003C6266">
        <w:trPr>
          <w:trHeight w:val="340"/>
        </w:trPr>
        <w:tc>
          <w:tcPr>
            <w:tcW w:w="1402" w:type="dxa"/>
            <w:vMerge w:val="restart"/>
            <w:tcBorders>
              <w:top w:val="single" w:sz="4" w:space="0" w:color="000000"/>
              <w:left w:val="single" w:sz="4" w:space="0" w:color="000000"/>
              <w:bottom w:val="single" w:sz="4" w:space="0" w:color="000000"/>
              <w:right w:val="single" w:sz="4" w:space="0" w:color="000000"/>
            </w:tcBorders>
            <w:shd w:val="clear" w:color="auto" w:fill="E4E4E4"/>
          </w:tcPr>
          <w:p w14:paraId="5B9C5F39" w14:textId="77777777" w:rsidR="00E4528D" w:rsidRDefault="00E4528D" w:rsidP="003C6266">
            <w:pPr>
              <w:widowControl w:val="0"/>
              <w:jc w:val="center"/>
              <w:rPr>
                <w:rFonts w:ascii="Titillium" w:hAnsi="Titillium" w:cstheme="minorHAnsi"/>
                <w:b/>
                <w:i/>
                <w:sz w:val="18"/>
                <w:szCs w:val="18"/>
              </w:rPr>
            </w:pPr>
          </w:p>
          <w:p w14:paraId="18FDF4E3" w14:textId="77777777" w:rsidR="00E4528D" w:rsidRDefault="00E4528D" w:rsidP="003C6266">
            <w:pPr>
              <w:widowControl w:val="0"/>
              <w:ind w:left="117"/>
              <w:jc w:val="center"/>
              <w:rPr>
                <w:rFonts w:ascii="Titillium" w:hAnsi="Titillium" w:cstheme="minorHAnsi"/>
                <w:sz w:val="18"/>
                <w:szCs w:val="18"/>
              </w:rPr>
            </w:pPr>
            <w:r>
              <w:rPr>
                <w:rFonts w:ascii="Titillium" w:hAnsi="Titillium" w:cstheme="minorHAnsi"/>
                <w:sz w:val="18"/>
                <w:szCs w:val="18"/>
              </w:rPr>
              <w:t>CATEGORIE D’OPERA</w:t>
            </w:r>
          </w:p>
        </w:tc>
        <w:tc>
          <w:tcPr>
            <w:tcW w:w="2567" w:type="dxa"/>
            <w:gridSpan w:val="2"/>
            <w:tcBorders>
              <w:top w:val="single" w:sz="4" w:space="0" w:color="000000"/>
              <w:left w:val="single" w:sz="4" w:space="0" w:color="000000"/>
              <w:bottom w:val="single" w:sz="4" w:space="0" w:color="000000"/>
              <w:right w:val="single" w:sz="4" w:space="0" w:color="000000"/>
            </w:tcBorders>
            <w:shd w:val="clear" w:color="auto" w:fill="E4E4E4"/>
          </w:tcPr>
          <w:p w14:paraId="61A86082" w14:textId="77777777" w:rsidR="00E4528D" w:rsidRDefault="00E4528D" w:rsidP="003C6266">
            <w:pPr>
              <w:widowControl w:val="0"/>
              <w:spacing w:before="67"/>
              <w:ind w:right="1765"/>
              <w:rPr>
                <w:rFonts w:ascii="Titillium" w:hAnsi="Titillium" w:cstheme="minorHAnsi"/>
                <w:sz w:val="18"/>
                <w:szCs w:val="18"/>
              </w:rPr>
            </w:pPr>
            <w:r>
              <w:rPr>
                <w:rFonts w:ascii="Titillium" w:hAnsi="Titillium" w:cstheme="minorHAnsi"/>
                <w:sz w:val="18"/>
                <w:szCs w:val="18"/>
              </w:rPr>
              <w:t>ID. OPERE</w:t>
            </w:r>
          </w:p>
        </w:tc>
        <w:tc>
          <w:tcPr>
            <w:tcW w:w="1281" w:type="dxa"/>
            <w:vMerge w:val="restart"/>
            <w:tcBorders>
              <w:top w:val="single" w:sz="4" w:space="0" w:color="000000"/>
              <w:left w:val="single" w:sz="4" w:space="0" w:color="000000"/>
              <w:bottom w:val="single" w:sz="4" w:space="0" w:color="000000"/>
              <w:right w:val="single" w:sz="4" w:space="0" w:color="000000"/>
            </w:tcBorders>
            <w:shd w:val="clear" w:color="auto" w:fill="E4E4E4"/>
          </w:tcPr>
          <w:p w14:paraId="138B5656" w14:textId="77777777" w:rsidR="00E4528D" w:rsidRDefault="00E4528D" w:rsidP="003C6266">
            <w:pPr>
              <w:widowControl w:val="0"/>
              <w:spacing w:before="35"/>
              <w:ind w:right="85"/>
              <w:rPr>
                <w:rFonts w:ascii="Titillium" w:hAnsi="Titillium" w:cstheme="minorHAnsi"/>
                <w:sz w:val="18"/>
                <w:szCs w:val="18"/>
              </w:rPr>
            </w:pPr>
            <w:r>
              <w:rPr>
                <w:rFonts w:ascii="Titillium" w:hAnsi="Titillium" w:cstheme="minorHAnsi"/>
                <w:sz w:val="18"/>
                <w:szCs w:val="18"/>
              </w:rPr>
              <w:t xml:space="preserve">Grado Complessità </w:t>
            </w:r>
          </w:p>
          <w:p w14:paraId="637BE56D" w14:textId="77777777" w:rsidR="00E4528D" w:rsidRDefault="00E4528D" w:rsidP="003C6266">
            <w:pPr>
              <w:widowControl w:val="0"/>
              <w:spacing w:before="35"/>
              <w:ind w:right="85"/>
              <w:rPr>
                <w:rFonts w:ascii="Titillium" w:hAnsi="Titillium" w:cstheme="minorHAnsi"/>
                <w:sz w:val="18"/>
                <w:szCs w:val="18"/>
              </w:rPr>
            </w:pPr>
            <w:r>
              <w:rPr>
                <w:rFonts w:ascii="Titillium" w:hAnsi="Titillium" w:cstheme="minorHAnsi"/>
                <w:sz w:val="18"/>
                <w:szCs w:val="18"/>
              </w:rPr>
              <w:t>&lt;</w:t>
            </w:r>
            <w:r>
              <w:rPr>
                <w:rFonts w:ascii="Titillium" w:hAnsi="Titillium" w:cstheme="minorHAnsi"/>
                <w:b/>
                <w:sz w:val="18"/>
                <w:szCs w:val="18"/>
              </w:rPr>
              <w:t>G</w:t>
            </w:r>
            <w:r>
              <w:rPr>
                <w:rFonts w:ascii="Titillium" w:hAnsi="Titillium" w:cstheme="minorHAnsi"/>
                <w:sz w:val="18"/>
                <w:szCs w:val="18"/>
              </w:rPr>
              <w:t>&gt;&gt;</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E4E4E4"/>
          </w:tcPr>
          <w:p w14:paraId="231D6BAE" w14:textId="77777777" w:rsidR="00E4528D" w:rsidRDefault="00E4528D" w:rsidP="003C6266">
            <w:pPr>
              <w:widowControl w:val="0"/>
              <w:rPr>
                <w:rFonts w:ascii="Titillium" w:hAnsi="Titillium" w:cstheme="minorHAnsi"/>
                <w:sz w:val="18"/>
                <w:szCs w:val="18"/>
              </w:rPr>
            </w:pPr>
            <w:r>
              <w:rPr>
                <w:rFonts w:ascii="Titillium" w:hAnsi="Titillium" w:cstheme="minorHAnsi"/>
                <w:sz w:val="18"/>
                <w:szCs w:val="18"/>
              </w:rPr>
              <w:t xml:space="preserve">Importo </w:t>
            </w:r>
          </w:p>
          <w:p w14:paraId="3AB8A6F6" w14:textId="77777777" w:rsidR="00E4528D" w:rsidRDefault="00E4528D" w:rsidP="003C6266">
            <w:pPr>
              <w:widowControl w:val="0"/>
              <w:rPr>
                <w:rFonts w:ascii="Titillium" w:hAnsi="Titillium" w:cstheme="minorHAnsi"/>
                <w:sz w:val="18"/>
                <w:szCs w:val="18"/>
              </w:rPr>
            </w:pPr>
            <w:r>
              <w:rPr>
                <w:rFonts w:ascii="Titillium" w:hAnsi="Titillium" w:cstheme="minorHAnsi"/>
                <w:sz w:val="18"/>
                <w:szCs w:val="18"/>
              </w:rPr>
              <w:t>delle opere</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E4E4E4"/>
          </w:tcPr>
          <w:p w14:paraId="58EA0069" w14:textId="77777777" w:rsidR="00E4528D" w:rsidRDefault="00E4528D" w:rsidP="003C6266">
            <w:pPr>
              <w:widowControl w:val="0"/>
              <w:spacing w:before="35"/>
              <w:ind w:right="109"/>
              <w:rPr>
                <w:rFonts w:ascii="Titillium" w:hAnsi="Titillium" w:cstheme="minorHAnsi"/>
                <w:sz w:val="18"/>
                <w:szCs w:val="18"/>
              </w:rPr>
            </w:pPr>
            <w:r>
              <w:rPr>
                <w:rFonts w:ascii="Titillium" w:hAnsi="Titillium" w:cstheme="minorHAnsi"/>
                <w:sz w:val="18"/>
                <w:szCs w:val="18"/>
              </w:rPr>
              <w:t>Specificità della prestazione</w:t>
            </w:r>
          </w:p>
        </w:tc>
        <w:tc>
          <w:tcPr>
            <w:tcW w:w="931" w:type="dxa"/>
            <w:vMerge w:val="restart"/>
            <w:tcBorders>
              <w:top w:val="single" w:sz="4" w:space="0" w:color="000000"/>
              <w:left w:val="single" w:sz="4" w:space="0" w:color="000000"/>
              <w:bottom w:val="single" w:sz="4" w:space="0" w:color="000000"/>
              <w:right w:val="single" w:sz="4" w:space="0" w:color="000000"/>
            </w:tcBorders>
            <w:shd w:val="clear" w:color="auto" w:fill="E4E4E4"/>
          </w:tcPr>
          <w:p w14:paraId="241E9C34" w14:textId="77777777" w:rsidR="00E4528D" w:rsidRDefault="00E4528D" w:rsidP="003C6266">
            <w:pPr>
              <w:widowControl w:val="0"/>
              <w:spacing w:before="35"/>
              <w:ind w:right="109"/>
              <w:rPr>
                <w:rFonts w:ascii="Titillium" w:hAnsi="Titillium" w:cstheme="minorHAnsi"/>
                <w:sz w:val="18"/>
                <w:szCs w:val="18"/>
              </w:rPr>
            </w:pPr>
            <w:r>
              <w:rPr>
                <w:rFonts w:ascii="Titillium" w:hAnsi="Titillium" w:cstheme="minorHAnsi"/>
                <w:sz w:val="18"/>
                <w:szCs w:val="18"/>
              </w:rPr>
              <w:t>Importo</w:t>
            </w:r>
          </w:p>
        </w:tc>
        <w:tc>
          <w:tcPr>
            <w:tcW w:w="838" w:type="dxa"/>
            <w:vMerge w:val="restart"/>
            <w:tcBorders>
              <w:top w:val="single" w:sz="4" w:space="0" w:color="000000"/>
              <w:left w:val="single" w:sz="4" w:space="0" w:color="000000"/>
              <w:bottom w:val="single" w:sz="4" w:space="0" w:color="000000"/>
              <w:right w:val="single" w:sz="4" w:space="0" w:color="000000"/>
            </w:tcBorders>
            <w:shd w:val="clear" w:color="auto" w:fill="E4E4E4"/>
          </w:tcPr>
          <w:p w14:paraId="455B4B7C" w14:textId="77777777" w:rsidR="00E4528D" w:rsidRDefault="00E4528D" w:rsidP="003C6266">
            <w:pPr>
              <w:widowControl w:val="0"/>
              <w:spacing w:before="35"/>
              <w:ind w:right="109"/>
              <w:rPr>
                <w:rFonts w:ascii="Titillium" w:hAnsi="Titillium" w:cstheme="minorHAnsi"/>
                <w:sz w:val="18"/>
                <w:szCs w:val="18"/>
              </w:rPr>
            </w:pPr>
            <w:r>
              <w:rPr>
                <w:rFonts w:ascii="Titillium" w:hAnsi="Titillium" w:cstheme="minorHAnsi"/>
                <w:sz w:val="18"/>
                <w:szCs w:val="18"/>
              </w:rPr>
              <w:t>Spese e oneri</w:t>
            </w:r>
          </w:p>
        </w:tc>
      </w:tr>
      <w:tr w:rsidR="00E4528D" w14:paraId="1F465553" w14:textId="77777777" w:rsidTr="003C6266">
        <w:trPr>
          <w:trHeight w:val="340"/>
        </w:trPr>
        <w:tc>
          <w:tcPr>
            <w:tcW w:w="1402" w:type="dxa"/>
            <w:vMerge/>
            <w:tcBorders>
              <w:top w:val="single" w:sz="4" w:space="0" w:color="000000"/>
              <w:left w:val="single" w:sz="4" w:space="0" w:color="000000"/>
              <w:bottom w:val="single" w:sz="4" w:space="0" w:color="000000"/>
              <w:right w:val="single" w:sz="4" w:space="0" w:color="000000"/>
            </w:tcBorders>
            <w:shd w:val="clear" w:color="auto" w:fill="E4E4E4"/>
          </w:tcPr>
          <w:p w14:paraId="70650A59" w14:textId="77777777" w:rsidR="00E4528D" w:rsidRDefault="00E4528D" w:rsidP="003C6266">
            <w:pPr>
              <w:widowControl w:val="0"/>
              <w:rPr>
                <w:rFonts w:ascii="Titillium" w:hAnsi="Titillium" w:cstheme="minorHAnsi"/>
                <w:sz w:val="18"/>
                <w:szCs w:val="18"/>
              </w:rPr>
            </w:pPr>
          </w:p>
        </w:tc>
        <w:tc>
          <w:tcPr>
            <w:tcW w:w="716" w:type="dxa"/>
            <w:tcBorders>
              <w:top w:val="single" w:sz="4" w:space="0" w:color="000000"/>
              <w:left w:val="single" w:sz="4" w:space="0" w:color="000000"/>
              <w:bottom w:val="single" w:sz="4" w:space="0" w:color="000000"/>
              <w:right w:val="single" w:sz="4" w:space="0" w:color="000000"/>
            </w:tcBorders>
            <w:shd w:val="clear" w:color="auto" w:fill="E4E4E4"/>
          </w:tcPr>
          <w:p w14:paraId="6F4AF90E" w14:textId="77777777" w:rsidR="00E4528D" w:rsidRDefault="00E4528D" w:rsidP="003C6266">
            <w:pPr>
              <w:widowControl w:val="0"/>
              <w:spacing w:before="67"/>
              <w:ind w:right="-38"/>
              <w:jc w:val="center"/>
              <w:rPr>
                <w:rFonts w:ascii="Titillium" w:hAnsi="Titillium" w:cstheme="minorHAnsi"/>
                <w:sz w:val="18"/>
                <w:szCs w:val="18"/>
              </w:rPr>
            </w:pPr>
            <w:r>
              <w:rPr>
                <w:rFonts w:ascii="Titillium" w:hAnsi="Titillium" w:cstheme="minorHAnsi"/>
                <w:sz w:val="18"/>
                <w:szCs w:val="18"/>
              </w:rPr>
              <w:t>Codice</w:t>
            </w:r>
          </w:p>
        </w:tc>
        <w:tc>
          <w:tcPr>
            <w:tcW w:w="1851" w:type="dxa"/>
            <w:tcBorders>
              <w:top w:val="single" w:sz="4" w:space="0" w:color="000000"/>
              <w:left w:val="single" w:sz="4" w:space="0" w:color="000000"/>
              <w:bottom w:val="single" w:sz="4" w:space="0" w:color="000000"/>
              <w:right w:val="single" w:sz="4" w:space="0" w:color="000000"/>
            </w:tcBorders>
            <w:shd w:val="clear" w:color="auto" w:fill="E4E4E4"/>
          </w:tcPr>
          <w:p w14:paraId="2A4190B0" w14:textId="77777777" w:rsidR="00E4528D" w:rsidRDefault="00E4528D" w:rsidP="003C6266">
            <w:pPr>
              <w:widowControl w:val="0"/>
              <w:spacing w:before="67"/>
              <w:ind w:right="742"/>
              <w:jc w:val="center"/>
              <w:rPr>
                <w:rFonts w:ascii="Titillium" w:hAnsi="Titillium" w:cstheme="minorHAnsi"/>
                <w:sz w:val="18"/>
                <w:szCs w:val="18"/>
              </w:rPr>
            </w:pPr>
            <w:r>
              <w:rPr>
                <w:rFonts w:ascii="Titillium" w:hAnsi="Titillium" w:cstheme="minorHAnsi"/>
                <w:sz w:val="18"/>
                <w:szCs w:val="18"/>
              </w:rPr>
              <w:t>Descrizione</w:t>
            </w:r>
          </w:p>
        </w:tc>
        <w:tc>
          <w:tcPr>
            <w:tcW w:w="1281" w:type="dxa"/>
            <w:vMerge/>
            <w:tcBorders>
              <w:top w:val="single" w:sz="4" w:space="0" w:color="000000"/>
              <w:left w:val="single" w:sz="4" w:space="0" w:color="000000"/>
              <w:bottom w:val="single" w:sz="4" w:space="0" w:color="000000"/>
              <w:right w:val="single" w:sz="4" w:space="0" w:color="000000"/>
            </w:tcBorders>
            <w:shd w:val="clear" w:color="auto" w:fill="E4E4E4"/>
          </w:tcPr>
          <w:p w14:paraId="30587A7E" w14:textId="77777777" w:rsidR="00E4528D" w:rsidRDefault="00E4528D" w:rsidP="003C6266">
            <w:pPr>
              <w:widowControl w:val="0"/>
              <w:rPr>
                <w:rFonts w:ascii="Titillium" w:hAnsi="Titillium" w:cstheme="minorHAnsi"/>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E4E4E4"/>
          </w:tcPr>
          <w:p w14:paraId="4D600359" w14:textId="77777777" w:rsidR="00E4528D" w:rsidRDefault="00E4528D" w:rsidP="003C6266">
            <w:pPr>
              <w:widowControl w:val="0"/>
              <w:rPr>
                <w:rFonts w:ascii="Titillium" w:hAnsi="Titillium" w:cstheme="minorHAnsi"/>
                <w:sz w:val="18"/>
                <w:szCs w:val="18"/>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E4E4E4"/>
          </w:tcPr>
          <w:p w14:paraId="776D436C" w14:textId="77777777" w:rsidR="00E4528D" w:rsidRDefault="00E4528D" w:rsidP="003C6266">
            <w:pPr>
              <w:widowControl w:val="0"/>
              <w:rPr>
                <w:rFonts w:ascii="Titillium" w:hAnsi="Titillium" w:cstheme="minorHAnsi"/>
                <w:sz w:val="18"/>
                <w:szCs w:val="18"/>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E4E4E4"/>
          </w:tcPr>
          <w:p w14:paraId="35C07B20" w14:textId="77777777" w:rsidR="00E4528D" w:rsidRDefault="00E4528D" w:rsidP="003C6266">
            <w:pPr>
              <w:widowControl w:val="0"/>
              <w:rPr>
                <w:rFonts w:ascii="Titillium" w:hAnsi="Titillium" w:cstheme="minorHAnsi"/>
                <w:sz w:val="18"/>
                <w:szCs w:val="18"/>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E4E4E4"/>
          </w:tcPr>
          <w:p w14:paraId="34403BE3" w14:textId="77777777" w:rsidR="00E4528D" w:rsidRDefault="00E4528D" w:rsidP="003C6266">
            <w:pPr>
              <w:widowControl w:val="0"/>
              <w:rPr>
                <w:rFonts w:ascii="Titillium" w:hAnsi="Titillium" w:cstheme="minorHAnsi"/>
                <w:sz w:val="18"/>
                <w:szCs w:val="18"/>
              </w:rPr>
            </w:pPr>
          </w:p>
        </w:tc>
      </w:tr>
      <w:tr w:rsidR="00E4528D" w14:paraId="3F713525" w14:textId="77777777" w:rsidTr="003C6266">
        <w:trPr>
          <w:trHeight w:val="1034"/>
        </w:trPr>
        <w:tc>
          <w:tcPr>
            <w:tcW w:w="1402" w:type="dxa"/>
            <w:vMerge w:val="restart"/>
            <w:tcBorders>
              <w:top w:val="single" w:sz="4" w:space="0" w:color="000000"/>
              <w:left w:val="single" w:sz="4" w:space="0" w:color="000000"/>
              <w:bottom w:val="single" w:sz="4" w:space="0" w:color="000000"/>
              <w:right w:val="single" w:sz="4" w:space="0" w:color="000000"/>
            </w:tcBorders>
            <w:vAlign w:val="center"/>
          </w:tcPr>
          <w:p w14:paraId="68440D2B" w14:textId="77777777" w:rsidR="00E4528D" w:rsidRDefault="00E4528D" w:rsidP="003C6266">
            <w:pPr>
              <w:widowControl w:val="0"/>
              <w:spacing w:before="1"/>
              <w:ind w:right="484"/>
              <w:jc w:val="center"/>
              <w:rPr>
                <w:rFonts w:ascii="Titillium" w:hAnsi="Titillium" w:cstheme="minorHAnsi"/>
                <w:sz w:val="18"/>
                <w:szCs w:val="18"/>
              </w:rPr>
            </w:pPr>
            <w:r>
              <w:rPr>
                <w:rFonts w:ascii="Titillium" w:hAnsi="Titillium" w:cstheme="minorHAnsi"/>
                <w:sz w:val="18"/>
                <w:szCs w:val="18"/>
              </w:rPr>
              <w:t>Ad es. EDILIZIA</w:t>
            </w:r>
          </w:p>
          <w:p w14:paraId="15BA176B" w14:textId="77777777" w:rsidR="00E4528D" w:rsidRDefault="00E4528D" w:rsidP="003C6266">
            <w:pPr>
              <w:widowControl w:val="0"/>
              <w:jc w:val="center"/>
              <w:rPr>
                <w:rFonts w:ascii="Titillium" w:hAnsi="Titillium" w:cstheme="minorHAnsi"/>
                <w:b/>
                <w:i/>
                <w:sz w:val="18"/>
                <w:szCs w:val="18"/>
              </w:rPr>
            </w:pPr>
          </w:p>
          <w:p w14:paraId="1F2133D2" w14:textId="77777777" w:rsidR="00E4528D" w:rsidRDefault="00E4528D" w:rsidP="003C6266">
            <w:pPr>
              <w:widowControl w:val="0"/>
              <w:spacing w:before="161"/>
              <w:ind w:right="484"/>
              <w:rPr>
                <w:rFonts w:ascii="Titillium" w:hAnsi="Titillium" w:cstheme="minorHAnsi"/>
                <w:sz w:val="18"/>
                <w:szCs w:val="18"/>
              </w:rPr>
            </w:pPr>
          </w:p>
        </w:tc>
        <w:tc>
          <w:tcPr>
            <w:tcW w:w="716" w:type="dxa"/>
            <w:vMerge w:val="restart"/>
            <w:tcBorders>
              <w:top w:val="single" w:sz="4" w:space="0" w:color="000000"/>
              <w:left w:val="single" w:sz="4" w:space="0" w:color="000000"/>
              <w:bottom w:val="single" w:sz="4" w:space="0" w:color="000000"/>
              <w:right w:val="single" w:sz="4" w:space="0" w:color="000000"/>
            </w:tcBorders>
            <w:vAlign w:val="center"/>
          </w:tcPr>
          <w:p w14:paraId="57CDD1DC" w14:textId="77777777" w:rsidR="00E4528D" w:rsidRDefault="00E4528D" w:rsidP="003C6266">
            <w:pPr>
              <w:widowControl w:val="0"/>
              <w:spacing w:before="1"/>
              <w:ind w:right="227"/>
              <w:jc w:val="center"/>
              <w:rPr>
                <w:rFonts w:ascii="Titillium" w:hAnsi="Titillium" w:cstheme="minorHAnsi"/>
                <w:sz w:val="18"/>
                <w:szCs w:val="18"/>
              </w:rPr>
            </w:pPr>
            <w:r>
              <w:rPr>
                <w:rFonts w:ascii="Titillium" w:hAnsi="Titillium" w:cstheme="minorHAnsi"/>
                <w:sz w:val="18"/>
                <w:szCs w:val="18"/>
              </w:rPr>
              <w:t>[…]</w:t>
            </w:r>
          </w:p>
          <w:p w14:paraId="0DF8C535" w14:textId="77777777" w:rsidR="00E4528D" w:rsidRDefault="00E4528D" w:rsidP="003C6266">
            <w:pPr>
              <w:widowControl w:val="0"/>
              <w:spacing w:before="1"/>
              <w:ind w:right="227"/>
              <w:rPr>
                <w:rFonts w:ascii="Titillium" w:hAnsi="Titillium" w:cstheme="minorHAnsi"/>
                <w:sz w:val="18"/>
                <w:szCs w:val="18"/>
              </w:rPr>
            </w:pPr>
          </w:p>
        </w:tc>
        <w:tc>
          <w:tcPr>
            <w:tcW w:w="1851" w:type="dxa"/>
            <w:vMerge w:val="restart"/>
            <w:tcBorders>
              <w:top w:val="single" w:sz="4" w:space="0" w:color="000000"/>
              <w:left w:val="single" w:sz="4" w:space="0" w:color="000000"/>
              <w:bottom w:val="single" w:sz="4" w:space="0" w:color="000000"/>
              <w:right w:val="single" w:sz="4" w:space="0" w:color="000000"/>
            </w:tcBorders>
            <w:vAlign w:val="center"/>
          </w:tcPr>
          <w:p w14:paraId="1BB24564" w14:textId="77777777" w:rsidR="00E4528D" w:rsidRDefault="00E4528D" w:rsidP="003C6266">
            <w:pPr>
              <w:widowControl w:val="0"/>
              <w:ind w:left="108"/>
              <w:jc w:val="center"/>
              <w:rPr>
                <w:rFonts w:ascii="Titillium" w:hAnsi="Titillium" w:cstheme="minorHAnsi"/>
                <w:i/>
                <w:sz w:val="18"/>
                <w:szCs w:val="18"/>
              </w:rPr>
            </w:pPr>
            <w:r>
              <w:rPr>
                <w:rFonts w:ascii="Titillium" w:hAnsi="Titillium" w:cstheme="minorHAnsi"/>
                <w:sz w:val="18"/>
                <w:szCs w:val="18"/>
              </w:rPr>
              <w:t>[…]</w:t>
            </w:r>
          </w:p>
          <w:p w14:paraId="211CDD94" w14:textId="77777777" w:rsidR="00E4528D" w:rsidRDefault="00E4528D" w:rsidP="003C6266">
            <w:pPr>
              <w:widowControl w:val="0"/>
              <w:ind w:left="108"/>
              <w:rPr>
                <w:rFonts w:ascii="Titillium" w:hAnsi="Titillium" w:cstheme="minorHAnsi"/>
                <w:i/>
                <w:sz w:val="18"/>
                <w:szCs w:val="18"/>
              </w:rPr>
            </w:pPr>
          </w:p>
        </w:tc>
        <w:tc>
          <w:tcPr>
            <w:tcW w:w="1281" w:type="dxa"/>
            <w:vMerge w:val="restart"/>
            <w:tcBorders>
              <w:top w:val="single" w:sz="4" w:space="0" w:color="000000"/>
              <w:left w:val="single" w:sz="4" w:space="0" w:color="000000"/>
              <w:bottom w:val="single" w:sz="4" w:space="0" w:color="000000"/>
              <w:right w:val="single" w:sz="4" w:space="0" w:color="000000"/>
            </w:tcBorders>
            <w:vAlign w:val="center"/>
          </w:tcPr>
          <w:p w14:paraId="6B6D3ED8" w14:textId="77777777" w:rsidR="00E4528D" w:rsidRDefault="00E4528D" w:rsidP="003C6266">
            <w:pPr>
              <w:widowControl w:val="0"/>
              <w:jc w:val="center"/>
              <w:rPr>
                <w:rFonts w:ascii="Titillium" w:hAnsi="Titillium" w:cstheme="minorHAnsi"/>
                <w:sz w:val="18"/>
                <w:szCs w:val="18"/>
              </w:rPr>
            </w:pPr>
            <w:r>
              <w:rPr>
                <w:rFonts w:ascii="Titillium" w:hAnsi="Titillium" w:cstheme="minorHAnsi"/>
                <w:sz w:val="18"/>
                <w:szCs w:val="18"/>
              </w:rPr>
              <w:t>[…]</w:t>
            </w:r>
          </w:p>
          <w:p w14:paraId="5910DAA1" w14:textId="77777777" w:rsidR="00E4528D" w:rsidRDefault="00E4528D" w:rsidP="003C6266">
            <w:pPr>
              <w:widowControl w:val="0"/>
              <w:rPr>
                <w:rFonts w:ascii="Titillium" w:hAnsi="Titillium" w:cstheme="minorHAnsi"/>
                <w:sz w:val="18"/>
                <w:szCs w:val="18"/>
              </w:rPr>
            </w:pP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76A03D8F" w14:textId="77777777" w:rsidR="00E4528D" w:rsidRDefault="00E4528D" w:rsidP="003C6266">
            <w:pPr>
              <w:widowControl w:val="0"/>
              <w:jc w:val="center"/>
              <w:rPr>
                <w:rFonts w:ascii="Titillium" w:hAnsi="Titillium" w:cstheme="minorHAnsi"/>
                <w:sz w:val="18"/>
                <w:szCs w:val="18"/>
              </w:rPr>
            </w:pPr>
            <w:r>
              <w:rPr>
                <w:rFonts w:ascii="Titillium" w:hAnsi="Titillium" w:cstheme="minorHAnsi"/>
                <w:sz w:val="18"/>
                <w:szCs w:val="18"/>
              </w:rPr>
              <w:t>[…]</w:t>
            </w:r>
          </w:p>
          <w:p w14:paraId="7C668670" w14:textId="77777777" w:rsidR="00E4528D" w:rsidRDefault="00E4528D" w:rsidP="003C6266">
            <w:pPr>
              <w:widowControl w:val="0"/>
              <w:rPr>
                <w:rFonts w:ascii="Titillium" w:hAnsi="Titillium" w:cstheme="minorHAnsi"/>
                <w:sz w:val="18"/>
                <w:szCs w:val="18"/>
              </w:rPr>
            </w:pPr>
          </w:p>
        </w:tc>
        <w:tc>
          <w:tcPr>
            <w:tcW w:w="1339" w:type="dxa"/>
            <w:tcBorders>
              <w:top w:val="single" w:sz="4" w:space="0" w:color="000000"/>
              <w:left w:val="single" w:sz="4" w:space="0" w:color="000000"/>
              <w:bottom w:val="single" w:sz="4" w:space="0" w:color="000000"/>
              <w:right w:val="single" w:sz="4" w:space="0" w:color="000000"/>
            </w:tcBorders>
            <w:vAlign w:val="center"/>
          </w:tcPr>
          <w:p w14:paraId="044081AF" w14:textId="77777777" w:rsidR="00E4528D" w:rsidRDefault="00E4528D" w:rsidP="003C6266">
            <w:pPr>
              <w:widowControl w:val="0"/>
              <w:jc w:val="center"/>
              <w:rPr>
                <w:rFonts w:ascii="Titillium" w:hAnsi="Titillium" w:cstheme="minorHAnsi"/>
                <w:sz w:val="18"/>
                <w:szCs w:val="18"/>
              </w:rPr>
            </w:pPr>
            <w:r>
              <w:rPr>
                <w:rFonts w:ascii="Titillium" w:hAnsi="Titillium" w:cstheme="minorHAnsi"/>
                <w:sz w:val="18"/>
                <w:szCs w:val="18"/>
              </w:rPr>
              <w:t>[…]</w:t>
            </w:r>
          </w:p>
        </w:tc>
        <w:tc>
          <w:tcPr>
            <w:tcW w:w="931" w:type="dxa"/>
            <w:tcBorders>
              <w:top w:val="single" w:sz="4" w:space="0" w:color="000000"/>
              <w:left w:val="single" w:sz="4" w:space="0" w:color="000000"/>
              <w:bottom w:val="single" w:sz="4" w:space="0" w:color="000000"/>
              <w:right w:val="single" w:sz="4" w:space="0" w:color="000000"/>
            </w:tcBorders>
          </w:tcPr>
          <w:p w14:paraId="39BBC7F4" w14:textId="77777777" w:rsidR="00E4528D" w:rsidRDefault="00E4528D" w:rsidP="003C6266">
            <w:pPr>
              <w:widowControl w:val="0"/>
              <w:jc w:val="center"/>
              <w:rPr>
                <w:rFonts w:ascii="Titillium" w:hAnsi="Titillium" w:cstheme="minorHAnsi"/>
                <w:sz w:val="18"/>
                <w:szCs w:val="18"/>
              </w:rPr>
            </w:pPr>
          </w:p>
        </w:tc>
        <w:tc>
          <w:tcPr>
            <w:tcW w:w="838" w:type="dxa"/>
            <w:tcBorders>
              <w:top w:val="single" w:sz="4" w:space="0" w:color="000000"/>
              <w:left w:val="single" w:sz="4" w:space="0" w:color="000000"/>
              <w:bottom w:val="single" w:sz="4" w:space="0" w:color="000000"/>
              <w:right w:val="single" w:sz="4" w:space="0" w:color="000000"/>
            </w:tcBorders>
          </w:tcPr>
          <w:p w14:paraId="73F2AA03" w14:textId="77777777" w:rsidR="00E4528D" w:rsidRDefault="00E4528D" w:rsidP="003C6266">
            <w:pPr>
              <w:widowControl w:val="0"/>
              <w:jc w:val="center"/>
              <w:rPr>
                <w:rFonts w:ascii="Titillium" w:hAnsi="Titillium" w:cstheme="minorHAnsi"/>
                <w:sz w:val="18"/>
                <w:szCs w:val="18"/>
              </w:rPr>
            </w:pPr>
          </w:p>
        </w:tc>
      </w:tr>
      <w:tr w:rsidR="00E4528D" w14:paraId="26282F25" w14:textId="77777777" w:rsidTr="003C6266">
        <w:trPr>
          <w:trHeight w:val="1449"/>
        </w:trPr>
        <w:tc>
          <w:tcPr>
            <w:tcW w:w="1402" w:type="dxa"/>
            <w:vMerge/>
            <w:tcBorders>
              <w:top w:val="single" w:sz="4" w:space="0" w:color="000000"/>
              <w:left w:val="single" w:sz="4" w:space="0" w:color="000000"/>
              <w:bottom w:val="single" w:sz="4" w:space="0" w:color="000000"/>
              <w:right w:val="single" w:sz="4" w:space="0" w:color="000000"/>
            </w:tcBorders>
            <w:vAlign w:val="center"/>
          </w:tcPr>
          <w:p w14:paraId="75109040" w14:textId="77777777" w:rsidR="00E4528D" w:rsidRDefault="00E4528D" w:rsidP="003C6266">
            <w:pPr>
              <w:widowControl w:val="0"/>
              <w:rPr>
                <w:rFonts w:ascii="Titillium" w:hAnsi="Titillium" w:cstheme="minorHAnsi"/>
                <w:sz w:val="18"/>
                <w:szCs w:val="18"/>
              </w:rPr>
            </w:pPr>
          </w:p>
        </w:tc>
        <w:tc>
          <w:tcPr>
            <w:tcW w:w="716" w:type="dxa"/>
            <w:vMerge/>
            <w:tcBorders>
              <w:top w:val="single" w:sz="4" w:space="0" w:color="000000"/>
              <w:left w:val="single" w:sz="4" w:space="0" w:color="000000"/>
              <w:bottom w:val="single" w:sz="4" w:space="0" w:color="000000"/>
              <w:right w:val="single" w:sz="4" w:space="0" w:color="000000"/>
            </w:tcBorders>
            <w:vAlign w:val="center"/>
          </w:tcPr>
          <w:p w14:paraId="177ACFDA" w14:textId="77777777" w:rsidR="00E4528D" w:rsidRDefault="00E4528D" w:rsidP="003C6266">
            <w:pPr>
              <w:widowControl w:val="0"/>
              <w:rPr>
                <w:rFonts w:ascii="Titillium" w:hAnsi="Titillium" w:cstheme="minorHAnsi"/>
                <w:sz w:val="18"/>
                <w:szCs w:val="18"/>
              </w:rPr>
            </w:pPr>
          </w:p>
        </w:tc>
        <w:tc>
          <w:tcPr>
            <w:tcW w:w="1851" w:type="dxa"/>
            <w:vMerge/>
            <w:tcBorders>
              <w:top w:val="single" w:sz="4" w:space="0" w:color="000000"/>
              <w:left w:val="single" w:sz="4" w:space="0" w:color="000000"/>
              <w:bottom w:val="single" w:sz="4" w:space="0" w:color="000000"/>
              <w:right w:val="single" w:sz="4" w:space="0" w:color="000000"/>
            </w:tcBorders>
            <w:vAlign w:val="center"/>
          </w:tcPr>
          <w:p w14:paraId="5D84A78C" w14:textId="77777777" w:rsidR="00E4528D" w:rsidRDefault="00E4528D" w:rsidP="003C6266">
            <w:pPr>
              <w:widowControl w:val="0"/>
              <w:rPr>
                <w:rFonts w:ascii="Titillium" w:hAnsi="Titillium" w:cstheme="minorHAnsi"/>
                <w:sz w:val="18"/>
                <w:szCs w:val="18"/>
              </w:rPr>
            </w:pPr>
          </w:p>
        </w:tc>
        <w:tc>
          <w:tcPr>
            <w:tcW w:w="1281" w:type="dxa"/>
            <w:vMerge/>
            <w:tcBorders>
              <w:top w:val="single" w:sz="4" w:space="0" w:color="000000"/>
              <w:left w:val="single" w:sz="4" w:space="0" w:color="000000"/>
              <w:bottom w:val="single" w:sz="4" w:space="0" w:color="000000"/>
              <w:right w:val="single" w:sz="4" w:space="0" w:color="000000"/>
            </w:tcBorders>
            <w:vAlign w:val="center"/>
          </w:tcPr>
          <w:p w14:paraId="451C9F65" w14:textId="77777777" w:rsidR="00E4528D" w:rsidRDefault="00E4528D" w:rsidP="003C6266">
            <w:pPr>
              <w:widowControl w:val="0"/>
              <w:rPr>
                <w:rFonts w:ascii="Titillium" w:hAnsi="Titillium" w:cstheme="minorHAnsi"/>
                <w:sz w:val="18"/>
                <w:szCs w:val="18"/>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761BB0FE" w14:textId="77777777" w:rsidR="00E4528D" w:rsidRDefault="00E4528D" w:rsidP="003C6266">
            <w:pPr>
              <w:widowControl w:val="0"/>
              <w:rPr>
                <w:rFonts w:ascii="Titillium" w:hAnsi="Titillium" w:cstheme="minorHAnsi"/>
                <w:sz w:val="18"/>
                <w:szCs w:val="18"/>
              </w:rPr>
            </w:pPr>
          </w:p>
        </w:tc>
        <w:tc>
          <w:tcPr>
            <w:tcW w:w="1339" w:type="dxa"/>
            <w:tcBorders>
              <w:top w:val="single" w:sz="4" w:space="0" w:color="000000"/>
              <w:left w:val="single" w:sz="4" w:space="0" w:color="000000"/>
              <w:bottom w:val="single" w:sz="4" w:space="0" w:color="000000"/>
              <w:right w:val="single" w:sz="4" w:space="0" w:color="000000"/>
            </w:tcBorders>
            <w:vAlign w:val="center"/>
          </w:tcPr>
          <w:p w14:paraId="1F61EF2B" w14:textId="77777777" w:rsidR="00E4528D" w:rsidRDefault="00E4528D" w:rsidP="003C6266">
            <w:pPr>
              <w:widowControl w:val="0"/>
              <w:jc w:val="center"/>
              <w:rPr>
                <w:rFonts w:ascii="Titillium" w:hAnsi="Titillium" w:cstheme="minorHAnsi"/>
                <w:sz w:val="18"/>
                <w:szCs w:val="18"/>
              </w:rPr>
            </w:pPr>
            <w:r>
              <w:rPr>
                <w:rFonts w:ascii="Titillium" w:hAnsi="Titillium" w:cstheme="minorHAnsi"/>
                <w:sz w:val="18"/>
                <w:szCs w:val="18"/>
              </w:rPr>
              <w:t>[…]</w:t>
            </w:r>
          </w:p>
        </w:tc>
        <w:tc>
          <w:tcPr>
            <w:tcW w:w="931" w:type="dxa"/>
            <w:tcBorders>
              <w:top w:val="single" w:sz="4" w:space="0" w:color="000000"/>
              <w:left w:val="single" w:sz="4" w:space="0" w:color="000000"/>
              <w:bottom w:val="single" w:sz="4" w:space="0" w:color="000000"/>
              <w:right w:val="single" w:sz="4" w:space="0" w:color="000000"/>
            </w:tcBorders>
          </w:tcPr>
          <w:p w14:paraId="0B2117DF" w14:textId="77777777" w:rsidR="00E4528D" w:rsidRDefault="00E4528D" w:rsidP="003C6266">
            <w:pPr>
              <w:widowControl w:val="0"/>
              <w:jc w:val="center"/>
              <w:rPr>
                <w:rFonts w:ascii="Titillium" w:hAnsi="Titillium" w:cstheme="minorHAnsi"/>
                <w:sz w:val="18"/>
                <w:szCs w:val="18"/>
              </w:rPr>
            </w:pPr>
          </w:p>
        </w:tc>
        <w:tc>
          <w:tcPr>
            <w:tcW w:w="838" w:type="dxa"/>
            <w:tcBorders>
              <w:top w:val="single" w:sz="4" w:space="0" w:color="000000"/>
              <w:left w:val="single" w:sz="4" w:space="0" w:color="000000"/>
              <w:bottom w:val="single" w:sz="4" w:space="0" w:color="000000"/>
              <w:right w:val="single" w:sz="4" w:space="0" w:color="000000"/>
            </w:tcBorders>
          </w:tcPr>
          <w:p w14:paraId="0F9D71EC" w14:textId="77777777" w:rsidR="00E4528D" w:rsidRDefault="00E4528D" w:rsidP="003C6266">
            <w:pPr>
              <w:widowControl w:val="0"/>
              <w:jc w:val="center"/>
              <w:rPr>
                <w:rFonts w:ascii="Titillium" w:hAnsi="Titillium" w:cstheme="minorHAnsi"/>
                <w:sz w:val="18"/>
                <w:szCs w:val="18"/>
              </w:rPr>
            </w:pPr>
          </w:p>
        </w:tc>
      </w:tr>
      <w:tr w:rsidR="00E4528D" w14:paraId="63F5CEA1" w14:textId="77777777" w:rsidTr="003C6266">
        <w:trPr>
          <w:trHeight w:val="629"/>
        </w:trPr>
        <w:tc>
          <w:tcPr>
            <w:tcW w:w="7439" w:type="dxa"/>
            <w:gridSpan w:val="6"/>
            <w:tcBorders>
              <w:top w:val="single" w:sz="4" w:space="0" w:color="000000"/>
              <w:left w:val="single" w:sz="4" w:space="0" w:color="000000"/>
              <w:bottom w:val="single" w:sz="4" w:space="0" w:color="000000"/>
              <w:right w:val="single" w:sz="4" w:space="0" w:color="000000"/>
            </w:tcBorders>
          </w:tcPr>
          <w:p w14:paraId="6EA5720F" w14:textId="77777777" w:rsidR="00E4528D" w:rsidRDefault="00E4528D" w:rsidP="003C6266">
            <w:pPr>
              <w:widowControl w:val="0"/>
              <w:ind w:right="484"/>
              <w:rPr>
                <w:rFonts w:ascii="Titillium" w:hAnsi="Titillium" w:cstheme="minorHAnsi"/>
                <w:b/>
                <w:i/>
                <w:sz w:val="18"/>
                <w:szCs w:val="18"/>
              </w:rPr>
            </w:pPr>
          </w:p>
          <w:p w14:paraId="5C159E90" w14:textId="77777777" w:rsidR="00E4528D" w:rsidRDefault="00E4528D" w:rsidP="003C6266">
            <w:pPr>
              <w:widowControl w:val="0"/>
              <w:ind w:right="484"/>
              <w:jc w:val="center"/>
              <w:rPr>
                <w:rFonts w:ascii="Titillium" w:hAnsi="Titillium" w:cstheme="minorHAnsi"/>
                <w:sz w:val="18"/>
                <w:szCs w:val="18"/>
              </w:rPr>
            </w:pPr>
            <w:r>
              <w:rPr>
                <w:rFonts w:ascii="Titillium" w:hAnsi="Titillium" w:cstheme="minorHAnsi"/>
                <w:sz w:val="18"/>
                <w:szCs w:val="18"/>
              </w:rPr>
              <w:t>SOMMA</w:t>
            </w:r>
          </w:p>
          <w:p w14:paraId="4470D08E" w14:textId="77777777" w:rsidR="00E4528D" w:rsidRDefault="00E4528D" w:rsidP="003C6266">
            <w:pPr>
              <w:widowControl w:val="0"/>
              <w:rPr>
                <w:rFonts w:ascii="Titillium" w:hAnsi="Titillium" w:cstheme="minorHAnsi"/>
                <w:sz w:val="18"/>
                <w:szCs w:val="18"/>
              </w:rPr>
            </w:pPr>
          </w:p>
        </w:tc>
        <w:tc>
          <w:tcPr>
            <w:tcW w:w="931" w:type="dxa"/>
            <w:tcBorders>
              <w:top w:val="single" w:sz="4" w:space="0" w:color="000000"/>
              <w:left w:val="single" w:sz="4" w:space="0" w:color="000000"/>
              <w:bottom w:val="single" w:sz="4" w:space="0" w:color="000000"/>
              <w:right w:val="single" w:sz="4" w:space="0" w:color="000000"/>
            </w:tcBorders>
          </w:tcPr>
          <w:p w14:paraId="36FDB40C" w14:textId="77777777" w:rsidR="00E4528D" w:rsidRDefault="00E4528D" w:rsidP="003C6266">
            <w:pPr>
              <w:widowControl w:val="0"/>
              <w:jc w:val="center"/>
              <w:rPr>
                <w:rFonts w:ascii="Titillium" w:hAnsi="Titillium" w:cstheme="minorHAnsi"/>
                <w:sz w:val="18"/>
                <w:szCs w:val="18"/>
              </w:rPr>
            </w:pPr>
          </w:p>
        </w:tc>
        <w:tc>
          <w:tcPr>
            <w:tcW w:w="838" w:type="dxa"/>
            <w:tcBorders>
              <w:top w:val="single" w:sz="4" w:space="0" w:color="000000"/>
              <w:left w:val="single" w:sz="4" w:space="0" w:color="000000"/>
              <w:bottom w:val="single" w:sz="4" w:space="0" w:color="000000"/>
              <w:right w:val="single" w:sz="4" w:space="0" w:color="000000"/>
            </w:tcBorders>
          </w:tcPr>
          <w:p w14:paraId="3DF10FBE" w14:textId="77777777" w:rsidR="00E4528D" w:rsidRDefault="00E4528D" w:rsidP="003C6266">
            <w:pPr>
              <w:widowControl w:val="0"/>
              <w:jc w:val="center"/>
              <w:rPr>
                <w:rFonts w:ascii="Titillium" w:hAnsi="Titillium" w:cstheme="minorHAnsi"/>
                <w:sz w:val="18"/>
                <w:szCs w:val="18"/>
              </w:rPr>
            </w:pPr>
          </w:p>
        </w:tc>
      </w:tr>
      <w:tr w:rsidR="00E4528D" w14:paraId="3F9668A4" w14:textId="77777777" w:rsidTr="003C6266">
        <w:trPr>
          <w:trHeight w:val="625"/>
        </w:trPr>
        <w:tc>
          <w:tcPr>
            <w:tcW w:w="7439" w:type="dxa"/>
            <w:gridSpan w:val="6"/>
            <w:tcBorders>
              <w:top w:val="single" w:sz="4" w:space="0" w:color="000000"/>
              <w:left w:val="single" w:sz="4" w:space="0" w:color="000000"/>
              <w:bottom w:val="single" w:sz="4" w:space="0" w:color="000000"/>
              <w:right w:val="single" w:sz="4" w:space="0" w:color="000000"/>
            </w:tcBorders>
          </w:tcPr>
          <w:p w14:paraId="6804D1D3" w14:textId="77777777" w:rsidR="00E4528D" w:rsidRDefault="00E4528D" w:rsidP="003C6266">
            <w:pPr>
              <w:widowControl w:val="0"/>
              <w:jc w:val="center"/>
              <w:rPr>
                <w:rFonts w:ascii="Titillium" w:hAnsi="Titillium" w:cstheme="minorHAnsi"/>
                <w:b/>
                <w:i/>
                <w:sz w:val="18"/>
                <w:szCs w:val="18"/>
              </w:rPr>
            </w:pPr>
            <w:r>
              <w:rPr>
                <w:rFonts w:ascii="Titillium" w:hAnsi="Titillium" w:cstheme="minorHAnsi"/>
                <w:b/>
                <w:i/>
                <w:sz w:val="18"/>
                <w:szCs w:val="18"/>
              </w:rPr>
              <w:t>Totale comprensivo di spese e oneri</w:t>
            </w:r>
          </w:p>
        </w:tc>
        <w:tc>
          <w:tcPr>
            <w:tcW w:w="1769" w:type="dxa"/>
            <w:gridSpan w:val="2"/>
            <w:tcBorders>
              <w:top w:val="single" w:sz="4" w:space="0" w:color="000000"/>
              <w:left w:val="single" w:sz="4" w:space="0" w:color="000000"/>
              <w:bottom w:val="single" w:sz="4" w:space="0" w:color="000000"/>
              <w:right w:val="single" w:sz="4" w:space="0" w:color="000000"/>
            </w:tcBorders>
          </w:tcPr>
          <w:p w14:paraId="1BF2759A" w14:textId="77777777" w:rsidR="00E4528D" w:rsidRDefault="00E4528D" w:rsidP="003C6266">
            <w:pPr>
              <w:widowControl w:val="0"/>
              <w:jc w:val="center"/>
              <w:rPr>
                <w:rFonts w:ascii="Titillium" w:hAnsi="Titillium" w:cstheme="minorHAnsi"/>
                <w:sz w:val="18"/>
                <w:szCs w:val="18"/>
              </w:rPr>
            </w:pPr>
          </w:p>
        </w:tc>
      </w:tr>
    </w:tbl>
    <w:p w14:paraId="0839314D" w14:textId="77777777" w:rsidR="00E4528D" w:rsidRDefault="00E4528D" w:rsidP="00E4528D">
      <w:pPr>
        <w:rPr>
          <w:rFonts w:ascii="Titillium" w:hAnsi="Titillium" w:cstheme="minorHAnsi"/>
          <w:b/>
          <w:i/>
          <w:sz w:val="18"/>
          <w:szCs w:val="18"/>
        </w:rPr>
      </w:pPr>
    </w:p>
    <w:p w14:paraId="152502A9" w14:textId="77777777" w:rsidR="00E4528D" w:rsidRDefault="00E4528D" w:rsidP="00E4528D">
      <w:pPr>
        <w:rPr>
          <w:rFonts w:ascii="Titillium" w:hAnsi="Titillium" w:cstheme="minorHAnsi"/>
          <w:b/>
          <w:i/>
          <w:sz w:val="18"/>
          <w:szCs w:val="18"/>
        </w:rPr>
      </w:pPr>
    </w:p>
    <w:p w14:paraId="47E3BCE6" w14:textId="77777777" w:rsidR="00E4528D" w:rsidRDefault="00E4528D" w:rsidP="00E4528D">
      <w:pPr>
        <w:rPr>
          <w:rFonts w:ascii="Titillium" w:hAnsi="Titillium" w:cstheme="minorHAnsi"/>
          <w:i/>
          <w:sz w:val="18"/>
          <w:szCs w:val="18"/>
        </w:rPr>
      </w:pPr>
      <w:r>
        <w:rPr>
          <w:rFonts w:ascii="Titillium" w:hAnsi="Titillium" w:cstheme="minorHAnsi"/>
          <w:b/>
          <w:i/>
          <w:sz w:val="18"/>
          <w:szCs w:val="18"/>
        </w:rPr>
        <w:t xml:space="preserve">Incarico di … </w:t>
      </w:r>
      <w:r>
        <w:rPr>
          <w:rFonts w:ascii="Titillium" w:hAnsi="Titillium" w:cstheme="minorHAnsi"/>
          <w:i/>
          <w:sz w:val="18"/>
          <w:szCs w:val="18"/>
        </w:rPr>
        <w:t>(ad es. coordinamento sicurezza in fase di progettazione)</w:t>
      </w:r>
    </w:p>
    <w:p w14:paraId="722EC339" w14:textId="77777777" w:rsidR="008C4B8D" w:rsidRDefault="008C4B8D" w:rsidP="00E4528D">
      <w:pPr>
        <w:rPr>
          <w:rFonts w:ascii="Titillium" w:hAnsi="Titillium" w:cstheme="minorHAnsi"/>
          <w:b/>
          <w:i/>
          <w:sz w:val="18"/>
          <w:szCs w:val="18"/>
        </w:rPr>
      </w:pPr>
    </w:p>
    <w:tbl>
      <w:tblPr>
        <w:tblW w:w="9209" w:type="dxa"/>
        <w:tblInd w:w="5" w:type="dxa"/>
        <w:tblLayout w:type="fixed"/>
        <w:tblLook w:val="0000" w:firstRow="0" w:lastRow="0" w:firstColumn="0" w:lastColumn="0" w:noHBand="0" w:noVBand="0"/>
      </w:tblPr>
      <w:tblGrid>
        <w:gridCol w:w="1421"/>
        <w:gridCol w:w="959"/>
        <w:gridCol w:w="1590"/>
        <w:gridCol w:w="1294"/>
        <w:gridCol w:w="854"/>
        <w:gridCol w:w="1372"/>
        <w:gridCol w:w="929"/>
        <w:gridCol w:w="790"/>
      </w:tblGrid>
      <w:tr w:rsidR="00E4528D" w14:paraId="60F64DF6" w14:textId="77777777" w:rsidTr="003C6266">
        <w:trPr>
          <w:trHeight w:val="340"/>
        </w:trPr>
        <w:tc>
          <w:tcPr>
            <w:tcW w:w="1420" w:type="dxa"/>
            <w:vMerge w:val="restart"/>
            <w:tcBorders>
              <w:top w:val="single" w:sz="4" w:space="0" w:color="000000"/>
              <w:left w:val="single" w:sz="4" w:space="0" w:color="000000"/>
              <w:bottom w:val="single" w:sz="4" w:space="0" w:color="000000"/>
              <w:right w:val="single" w:sz="4" w:space="0" w:color="000000"/>
            </w:tcBorders>
            <w:shd w:val="clear" w:color="auto" w:fill="E4E4E4"/>
          </w:tcPr>
          <w:p w14:paraId="06D2A38B" w14:textId="77777777" w:rsidR="00E4528D" w:rsidRDefault="00E4528D" w:rsidP="003C6266">
            <w:pPr>
              <w:widowControl w:val="0"/>
              <w:jc w:val="center"/>
              <w:rPr>
                <w:rFonts w:ascii="Titillium" w:hAnsi="Titillium" w:cstheme="minorHAnsi"/>
                <w:b/>
                <w:i/>
                <w:sz w:val="18"/>
                <w:szCs w:val="18"/>
              </w:rPr>
            </w:pPr>
          </w:p>
          <w:p w14:paraId="59D8B2C2" w14:textId="77777777" w:rsidR="00E4528D" w:rsidRDefault="00E4528D" w:rsidP="003C6266">
            <w:pPr>
              <w:widowControl w:val="0"/>
              <w:ind w:left="117"/>
              <w:jc w:val="center"/>
              <w:rPr>
                <w:rFonts w:ascii="Titillium" w:hAnsi="Titillium" w:cstheme="minorHAnsi"/>
                <w:sz w:val="18"/>
                <w:szCs w:val="18"/>
              </w:rPr>
            </w:pPr>
            <w:r>
              <w:rPr>
                <w:rFonts w:ascii="Titillium" w:hAnsi="Titillium" w:cstheme="minorHAnsi"/>
                <w:sz w:val="18"/>
                <w:szCs w:val="18"/>
              </w:rPr>
              <w:t>CATEGORIE D’OPERA</w:t>
            </w: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E4E4E4"/>
          </w:tcPr>
          <w:p w14:paraId="694E9D35" w14:textId="77777777" w:rsidR="00E4528D" w:rsidRDefault="00E4528D" w:rsidP="003C6266">
            <w:pPr>
              <w:widowControl w:val="0"/>
              <w:spacing w:before="67"/>
              <w:ind w:right="1765"/>
              <w:rPr>
                <w:rFonts w:ascii="Titillium" w:hAnsi="Titillium" w:cstheme="minorHAnsi"/>
                <w:sz w:val="18"/>
                <w:szCs w:val="18"/>
              </w:rPr>
            </w:pPr>
            <w:r>
              <w:rPr>
                <w:rFonts w:ascii="Titillium" w:hAnsi="Titillium" w:cstheme="minorHAnsi"/>
                <w:sz w:val="18"/>
                <w:szCs w:val="18"/>
              </w:rPr>
              <w:t>ID. OPERE</w:t>
            </w:r>
          </w:p>
        </w:tc>
        <w:tc>
          <w:tcPr>
            <w:tcW w:w="1294" w:type="dxa"/>
            <w:vMerge w:val="restart"/>
            <w:tcBorders>
              <w:top w:val="single" w:sz="4" w:space="0" w:color="000000"/>
              <w:left w:val="single" w:sz="4" w:space="0" w:color="000000"/>
              <w:bottom w:val="single" w:sz="4" w:space="0" w:color="000000"/>
              <w:right w:val="single" w:sz="4" w:space="0" w:color="000000"/>
            </w:tcBorders>
            <w:shd w:val="clear" w:color="auto" w:fill="E4E4E4"/>
          </w:tcPr>
          <w:p w14:paraId="07F1E734" w14:textId="77777777" w:rsidR="00E4528D" w:rsidRDefault="00E4528D" w:rsidP="003C6266">
            <w:pPr>
              <w:widowControl w:val="0"/>
              <w:spacing w:before="35"/>
              <w:ind w:right="85"/>
              <w:rPr>
                <w:rFonts w:ascii="Titillium" w:hAnsi="Titillium" w:cstheme="minorHAnsi"/>
                <w:sz w:val="18"/>
                <w:szCs w:val="18"/>
              </w:rPr>
            </w:pPr>
            <w:r>
              <w:rPr>
                <w:rFonts w:ascii="Titillium" w:hAnsi="Titillium" w:cstheme="minorHAnsi"/>
                <w:sz w:val="18"/>
                <w:szCs w:val="18"/>
              </w:rPr>
              <w:t xml:space="preserve">Grado Complessità </w:t>
            </w:r>
          </w:p>
          <w:p w14:paraId="663F6D69" w14:textId="77777777" w:rsidR="00E4528D" w:rsidRDefault="00E4528D" w:rsidP="003C6266">
            <w:pPr>
              <w:widowControl w:val="0"/>
              <w:spacing w:before="35"/>
              <w:ind w:right="85"/>
              <w:rPr>
                <w:rFonts w:ascii="Titillium" w:hAnsi="Titillium" w:cstheme="minorHAnsi"/>
                <w:sz w:val="18"/>
                <w:szCs w:val="18"/>
              </w:rPr>
            </w:pPr>
            <w:r>
              <w:rPr>
                <w:rFonts w:ascii="Titillium" w:hAnsi="Titillium" w:cstheme="minorHAnsi"/>
                <w:sz w:val="18"/>
                <w:szCs w:val="18"/>
              </w:rPr>
              <w:t>&lt;</w:t>
            </w:r>
            <w:r>
              <w:rPr>
                <w:rFonts w:ascii="Titillium" w:hAnsi="Titillium" w:cstheme="minorHAnsi"/>
                <w:b/>
                <w:sz w:val="18"/>
                <w:szCs w:val="18"/>
              </w:rPr>
              <w:t>G</w:t>
            </w:r>
            <w:r>
              <w:rPr>
                <w:rFonts w:ascii="Titillium" w:hAnsi="Titillium" w:cstheme="minorHAnsi"/>
                <w:sz w:val="18"/>
                <w:szCs w:val="18"/>
              </w:rPr>
              <w:t>&gt;&gt;</w:t>
            </w:r>
          </w:p>
        </w:tc>
        <w:tc>
          <w:tcPr>
            <w:tcW w:w="854" w:type="dxa"/>
            <w:vMerge w:val="restart"/>
            <w:tcBorders>
              <w:top w:val="single" w:sz="4" w:space="0" w:color="000000"/>
              <w:left w:val="single" w:sz="4" w:space="0" w:color="000000"/>
              <w:bottom w:val="single" w:sz="4" w:space="0" w:color="000000"/>
              <w:right w:val="single" w:sz="4" w:space="0" w:color="000000"/>
            </w:tcBorders>
            <w:shd w:val="clear" w:color="auto" w:fill="E4E4E4"/>
          </w:tcPr>
          <w:p w14:paraId="2A5545D7" w14:textId="77777777" w:rsidR="00E4528D" w:rsidRDefault="00E4528D" w:rsidP="003C6266">
            <w:pPr>
              <w:widowControl w:val="0"/>
              <w:rPr>
                <w:rFonts w:ascii="Titillium" w:hAnsi="Titillium" w:cstheme="minorHAnsi"/>
                <w:sz w:val="18"/>
                <w:szCs w:val="18"/>
              </w:rPr>
            </w:pPr>
            <w:r>
              <w:rPr>
                <w:rFonts w:ascii="Titillium" w:hAnsi="Titillium" w:cstheme="minorHAnsi"/>
                <w:sz w:val="18"/>
                <w:szCs w:val="18"/>
              </w:rPr>
              <w:t xml:space="preserve">Importo </w:t>
            </w:r>
          </w:p>
          <w:p w14:paraId="246503C7" w14:textId="77777777" w:rsidR="00E4528D" w:rsidRDefault="00E4528D" w:rsidP="003C6266">
            <w:pPr>
              <w:widowControl w:val="0"/>
              <w:rPr>
                <w:rFonts w:ascii="Titillium" w:hAnsi="Titillium" w:cstheme="minorHAnsi"/>
                <w:sz w:val="18"/>
                <w:szCs w:val="18"/>
              </w:rPr>
            </w:pPr>
            <w:r>
              <w:rPr>
                <w:rFonts w:ascii="Titillium" w:hAnsi="Titillium" w:cstheme="minorHAnsi"/>
                <w:sz w:val="18"/>
                <w:szCs w:val="18"/>
              </w:rPr>
              <w:t>delle opere</w:t>
            </w:r>
          </w:p>
        </w:tc>
        <w:tc>
          <w:tcPr>
            <w:tcW w:w="1372" w:type="dxa"/>
            <w:vMerge w:val="restart"/>
            <w:tcBorders>
              <w:top w:val="single" w:sz="4" w:space="0" w:color="000000"/>
              <w:left w:val="single" w:sz="4" w:space="0" w:color="000000"/>
              <w:bottom w:val="single" w:sz="4" w:space="0" w:color="000000"/>
              <w:right w:val="single" w:sz="4" w:space="0" w:color="000000"/>
            </w:tcBorders>
            <w:shd w:val="clear" w:color="auto" w:fill="E4E4E4"/>
          </w:tcPr>
          <w:p w14:paraId="524EA562" w14:textId="77777777" w:rsidR="00E4528D" w:rsidRDefault="00E4528D" w:rsidP="003C6266">
            <w:pPr>
              <w:widowControl w:val="0"/>
              <w:spacing w:before="35"/>
              <w:ind w:right="109"/>
              <w:rPr>
                <w:rFonts w:ascii="Titillium" w:hAnsi="Titillium" w:cstheme="minorHAnsi"/>
                <w:sz w:val="18"/>
                <w:szCs w:val="18"/>
              </w:rPr>
            </w:pPr>
            <w:r>
              <w:rPr>
                <w:rFonts w:ascii="Titillium" w:hAnsi="Titillium" w:cstheme="minorHAnsi"/>
                <w:sz w:val="18"/>
                <w:szCs w:val="18"/>
              </w:rPr>
              <w:t>Specificità della prestazione</w:t>
            </w:r>
          </w:p>
        </w:tc>
        <w:tc>
          <w:tcPr>
            <w:tcW w:w="929" w:type="dxa"/>
            <w:vMerge w:val="restart"/>
            <w:tcBorders>
              <w:top w:val="single" w:sz="4" w:space="0" w:color="000000"/>
              <w:left w:val="single" w:sz="4" w:space="0" w:color="000000"/>
              <w:bottom w:val="single" w:sz="4" w:space="0" w:color="000000"/>
              <w:right w:val="single" w:sz="4" w:space="0" w:color="000000"/>
            </w:tcBorders>
            <w:shd w:val="clear" w:color="auto" w:fill="E4E4E4"/>
          </w:tcPr>
          <w:p w14:paraId="2E2B945E" w14:textId="77777777" w:rsidR="00E4528D" w:rsidRDefault="00E4528D" w:rsidP="003C6266">
            <w:pPr>
              <w:widowControl w:val="0"/>
              <w:spacing w:before="35"/>
              <w:ind w:right="109"/>
              <w:rPr>
                <w:rFonts w:ascii="Titillium" w:hAnsi="Titillium" w:cstheme="minorHAnsi"/>
                <w:sz w:val="18"/>
                <w:szCs w:val="18"/>
              </w:rPr>
            </w:pPr>
            <w:r>
              <w:rPr>
                <w:rFonts w:ascii="Titillium" w:hAnsi="Titillium" w:cstheme="minorHAnsi"/>
                <w:sz w:val="18"/>
                <w:szCs w:val="18"/>
              </w:rPr>
              <w:t>Importo</w:t>
            </w:r>
          </w:p>
        </w:tc>
        <w:tc>
          <w:tcPr>
            <w:tcW w:w="790" w:type="dxa"/>
            <w:vMerge w:val="restart"/>
            <w:tcBorders>
              <w:top w:val="single" w:sz="4" w:space="0" w:color="000000"/>
              <w:left w:val="single" w:sz="4" w:space="0" w:color="000000"/>
              <w:bottom w:val="single" w:sz="4" w:space="0" w:color="000000"/>
              <w:right w:val="single" w:sz="4" w:space="0" w:color="000000"/>
            </w:tcBorders>
            <w:shd w:val="clear" w:color="auto" w:fill="E4E4E4"/>
          </w:tcPr>
          <w:p w14:paraId="58E7A5FA" w14:textId="77777777" w:rsidR="00E4528D" w:rsidRDefault="00E4528D" w:rsidP="003C6266">
            <w:pPr>
              <w:widowControl w:val="0"/>
              <w:spacing w:before="35"/>
              <w:ind w:right="109"/>
              <w:rPr>
                <w:rFonts w:ascii="Titillium" w:hAnsi="Titillium" w:cstheme="minorHAnsi"/>
                <w:sz w:val="18"/>
                <w:szCs w:val="18"/>
              </w:rPr>
            </w:pPr>
            <w:r>
              <w:rPr>
                <w:rFonts w:ascii="Titillium" w:hAnsi="Titillium" w:cstheme="minorHAnsi"/>
                <w:sz w:val="18"/>
                <w:szCs w:val="18"/>
              </w:rPr>
              <w:t xml:space="preserve">Spese </w:t>
            </w:r>
          </w:p>
          <w:p w14:paraId="49D73AC4" w14:textId="77777777" w:rsidR="00E4528D" w:rsidRDefault="00E4528D" w:rsidP="003C6266">
            <w:pPr>
              <w:widowControl w:val="0"/>
              <w:spacing w:before="35"/>
              <w:ind w:right="109"/>
              <w:rPr>
                <w:rFonts w:ascii="Titillium" w:hAnsi="Titillium" w:cstheme="minorHAnsi"/>
                <w:sz w:val="18"/>
                <w:szCs w:val="18"/>
              </w:rPr>
            </w:pPr>
            <w:r>
              <w:rPr>
                <w:rFonts w:ascii="Titillium" w:hAnsi="Titillium" w:cstheme="minorHAnsi"/>
                <w:sz w:val="18"/>
                <w:szCs w:val="18"/>
              </w:rPr>
              <w:t>e oneri</w:t>
            </w:r>
          </w:p>
        </w:tc>
      </w:tr>
      <w:tr w:rsidR="00E4528D" w14:paraId="2E24A797" w14:textId="77777777" w:rsidTr="003C6266">
        <w:trPr>
          <w:trHeight w:val="340"/>
        </w:trPr>
        <w:tc>
          <w:tcPr>
            <w:tcW w:w="1420" w:type="dxa"/>
            <w:vMerge/>
            <w:tcBorders>
              <w:top w:val="single" w:sz="4" w:space="0" w:color="000000"/>
              <w:left w:val="single" w:sz="4" w:space="0" w:color="000000"/>
              <w:bottom w:val="single" w:sz="4" w:space="0" w:color="000000"/>
              <w:right w:val="single" w:sz="4" w:space="0" w:color="000000"/>
            </w:tcBorders>
            <w:shd w:val="clear" w:color="auto" w:fill="E4E4E4"/>
          </w:tcPr>
          <w:p w14:paraId="6419D19F" w14:textId="77777777" w:rsidR="00E4528D" w:rsidRDefault="00E4528D" w:rsidP="003C6266">
            <w:pPr>
              <w:widowControl w:val="0"/>
              <w:rPr>
                <w:rFonts w:ascii="Titillium" w:hAnsi="Titillium" w:cstheme="minorHAnsi"/>
                <w:sz w:val="18"/>
                <w:szCs w:val="18"/>
              </w:rPr>
            </w:pPr>
          </w:p>
        </w:tc>
        <w:tc>
          <w:tcPr>
            <w:tcW w:w="959" w:type="dxa"/>
            <w:tcBorders>
              <w:top w:val="single" w:sz="4" w:space="0" w:color="000000"/>
              <w:left w:val="single" w:sz="4" w:space="0" w:color="000000"/>
              <w:bottom w:val="single" w:sz="4" w:space="0" w:color="000000"/>
              <w:right w:val="single" w:sz="4" w:space="0" w:color="000000"/>
            </w:tcBorders>
            <w:shd w:val="clear" w:color="auto" w:fill="E4E4E4"/>
          </w:tcPr>
          <w:p w14:paraId="4D8BB93F" w14:textId="77777777" w:rsidR="00E4528D" w:rsidRDefault="00E4528D" w:rsidP="003C6266">
            <w:pPr>
              <w:widowControl w:val="0"/>
              <w:spacing w:before="67"/>
              <w:ind w:right="138"/>
              <w:jc w:val="center"/>
              <w:rPr>
                <w:rFonts w:ascii="Titillium" w:hAnsi="Titillium" w:cstheme="minorHAnsi"/>
                <w:sz w:val="18"/>
                <w:szCs w:val="18"/>
              </w:rPr>
            </w:pPr>
            <w:r>
              <w:rPr>
                <w:rFonts w:ascii="Titillium" w:hAnsi="Titillium" w:cstheme="minorHAnsi"/>
                <w:sz w:val="18"/>
                <w:szCs w:val="18"/>
              </w:rPr>
              <w:t>Codice</w:t>
            </w:r>
          </w:p>
        </w:tc>
        <w:tc>
          <w:tcPr>
            <w:tcW w:w="1590" w:type="dxa"/>
            <w:tcBorders>
              <w:top w:val="single" w:sz="4" w:space="0" w:color="000000"/>
              <w:left w:val="single" w:sz="4" w:space="0" w:color="000000"/>
              <w:bottom w:val="single" w:sz="4" w:space="0" w:color="000000"/>
              <w:right w:val="single" w:sz="4" w:space="0" w:color="000000"/>
            </w:tcBorders>
            <w:shd w:val="clear" w:color="auto" w:fill="E4E4E4"/>
          </w:tcPr>
          <w:p w14:paraId="044E82BA" w14:textId="77777777" w:rsidR="00E4528D" w:rsidRDefault="00E4528D" w:rsidP="003C6266">
            <w:pPr>
              <w:widowControl w:val="0"/>
              <w:spacing w:before="67"/>
              <w:ind w:right="317"/>
              <w:jc w:val="center"/>
              <w:rPr>
                <w:rFonts w:ascii="Titillium" w:hAnsi="Titillium" w:cstheme="minorHAnsi"/>
                <w:sz w:val="18"/>
                <w:szCs w:val="18"/>
              </w:rPr>
            </w:pPr>
            <w:r>
              <w:rPr>
                <w:rFonts w:ascii="Titillium" w:hAnsi="Titillium" w:cstheme="minorHAnsi"/>
                <w:sz w:val="18"/>
                <w:szCs w:val="18"/>
              </w:rPr>
              <w:t>Descrizione</w:t>
            </w:r>
          </w:p>
        </w:tc>
        <w:tc>
          <w:tcPr>
            <w:tcW w:w="1294" w:type="dxa"/>
            <w:vMerge/>
            <w:tcBorders>
              <w:top w:val="single" w:sz="4" w:space="0" w:color="000000"/>
              <w:left w:val="single" w:sz="4" w:space="0" w:color="000000"/>
              <w:bottom w:val="single" w:sz="4" w:space="0" w:color="000000"/>
              <w:right w:val="single" w:sz="4" w:space="0" w:color="000000"/>
            </w:tcBorders>
            <w:shd w:val="clear" w:color="auto" w:fill="E4E4E4"/>
          </w:tcPr>
          <w:p w14:paraId="52F9CF11" w14:textId="77777777" w:rsidR="00E4528D" w:rsidRDefault="00E4528D" w:rsidP="003C6266">
            <w:pPr>
              <w:widowControl w:val="0"/>
              <w:rPr>
                <w:rFonts w:ascii="Titillium" w:hAnsi="Titillium" w:cstheme="minorHAnsi"/>
                <w:sz w:val="18"/>
                <w:szCs w:val="18"/>
              </w:rPr>
            </w:pPr>
          </w:p>
        </w:tc>
        <w:tc>
          <w:tcPr>
            <w:tcW w:w="854" w:type="dxa"/>
            <w:vMerge/>
            <w:tcBorders>
              <w:top w:val="single" w:sz="4" w:space="0" w:color="000000"/>
              <w:left w:val="single" w:sz="4" w:space="0" w:color="000000"/>
              <w:bottom w:val="single" w:sz="4" w:space="0" w:color="000000"/>
              <w:right w:val="single" w:sz="4" w:space="0" w:color="000000"/>
            </w:tcBorders>
            <w:shd w:val="clear" w:color="auto" w:fill="E4E4E4"/>
          </w:tcPr>
          <w:p w14:paraId="5489B38A" w14:textId="77777777" w:rsidR="00E4528D" w:rsidRDefault="00E4528D" w:rsidP="003C6266">
            <w:pPr>
              <w:widowControl w:val="0"/>
              <w:rPr>
                <w:rFonts w:ascii="Titillium" w:hAnsi="Titillium" w:cstheme="minorHAnsi"/>
                <w:sz w:val="18"/>
                <w:szCs w:val="18"/>
              </w:rPr>
            </w:pPr>
          </w:p>
        </w:tc>
        <w:tc>
          <w:tcPr>
            <w:tcW w:w="1372" w:type="dxa"/>
            <w:vMerge/>
            <w:tcBorders>
              <w:top w:val="single" w:sz="4" w:space="0" w:color="000000"/>
              <w:left w:val="single" w:sz="4" w:space="0" w:color="000000"/>
              <w:bottom w:val="single" w:sz="4" w:space="0" w:color="000000"/>
              <w:right w:val="single" w:sz="4" w:space="0" w:color="000000"/>
            </w:tcBorders>
            <w:shd w:val="clear" w:color="auto" w:fill="E4E4E4"/>
          </w:tcPr>
          <w:p w14:paraId="41B99258" w14:textId="77777777" w:rsidR="00E4528D" w:rsidRDefault="00E4528D" w:rsidP="003C6266">
            <w:pPr>
              <w:widowControl w:val="0"/>
              <w:rPr>
                <w:rFonts w:ascii="Titillium" w:hAnsi="Titillium" w:cstheme="minorHAnsi"/>
                <w:sz w:val="18"/>
                <w:szCs w:val="18"/>
              </w:rPr>
            </w:pPr>
          </w:p>
        </w:tc>
        <w:tc>
          <w:tcPr>
            <w:tcW w:w="929" w:type="dxa"/>
            <w:vMerge/>
            <w:tcBorders>
              <w:top w:val="single" w:sz="4" w:space="0" w:color="000000"/>
              <w:left w:val="single" w:sz="4" w:space="0" w:color="000000"/>
              <w:bottom w:val="single" w:sz="4" w:space="0" w:color="000000"/>
              <w:right w:val="single" w:sz="4" w:space="0" w:color="000000"/>
            </w:tcBorders>
            <w:shd w:val="clear" w:color="auto" w:fill="E4E4E4"/>
          </w:tcPr>
          <w:p w14:paraId="07301250" w14:textId="77777777" w:rsidR="00E4528D" w:rsidRDefault="00E4528D" w:rsidP="003C6266">
            <w:pPr>
              <w:widowControl w:val="0"/>
              <w:rPr>
                <w:rFonts w:ascii="Titillium" w:hAnsi="Titillium" w:cstheme="minorHAnsi"/>
                <w:sz w:val="18"/>
                <w:szCs w:val="18"/>
              </w:rPr>
            </w:pPr>
          </w:p>
        </w:tc>
        <w:tc>
          <w:tcPr>
            <w:tcW w:w="790" w:type="dxa"/>
            <w:vMerge/>
            <w:tcBorders>
              <w:top w:val="single" w:sz="4" w:space="0" w:color="000000"/>
              <w:left w:val="single" w:sz="4" w:space="0" w:color="000000"/>
              <w:bottom w:val="single" w:sz="4" w:space="0" w:color="000000"/>
              <w:right w:val="single" w:sz="4" w:space="0" w:color="000000"/>
            </w:tcBorders>
            <w:shd w:val="clear" w:color="auto" w:fill="E4E4E4"/>
          </w:tcPr>
          <w:p w14:paraId="5A3B4075" w14:textId="77777777" w:rsidR="00E4528D" w:rsidRDefault="00E4528D" w:rsidP="003C6266">
            <w:pPr>
              <w:widowControl w:val="0"/>
              <w:rPr>
                <w:rFonts w:ascii="Titillium" w:hAnsi="Titillium" w:cstheme="minorHAnsi"/>
                <w:sz w:val="18"/>
                <w:szCs w:val="18"/>
              </w:rPr>
            </w:pPr>
          </w:p>
        </w:tc>
      </w:tr>
      <w:tr w:rsidR="00E4528D" w14:paraId="7FC51E75" w14:textId="77777777" w:rsidTr="003C6266">
        <w:trPr>
          <w:trHeight w:val="1034"/>
        </w:trPr>
        <w:tc>
          <w:tcPr>
            <w:tcW w:w="1420" w:type="dxa"/>
            <w:vMerge w:val="restart"/>
            <w:tcBorders>
              <w:top w:val="single" w:sz="4" w:space="0" w:color="000000"/>
              <w:left w:val="single" w:sz="4" w:space="0" w:color="000000"/>
              <w:bottom w:val="single" w:sz="4" w:space="0" w:color="000000"/>
              <w:right w:val="single" w:sz="4" w:space="0" w:color="000000"/>
            </w:tcBorders>
            <w:vAlign w:val="center"/>
          </w:tcPr>
          <w:p w14:paraId="4F3E1296" w14:textId="77777777" w:rsidR="00E4528D" w:rsidRDefault="00E4528D" w:rsidP="003C6266">
            <w:pPr>
              <w:widowControl w:val="0"/>
              <w:spacing w:before="1"/>
              <w:ind w:right="484"/>
              <w:jc w:val="center"/>
              <w:rPr>
                <w:rFonts w:ascii="Titillium" w:hAnsi="Titillium" w:cstheme="minorHAnsi"/>
                <w:sz w:val="18"/>
                <w:szCs w:val="18"/>
              </w:rPr>
            </w:pPr>
            <w:r>
              <w:rPr>
                <w:rFonts w:ascii="Titillium" w:hAnsi="Titillium" w:cstheme="minorHAnsi"/>
                <w:sz w:val="18"/>
                <w:szCs w:val="18"/>
              </w:rPr>
              <w:t>Ad es. EDILIZIA</w:t>
            </w:r>
          </w:p>
          <w:p w14:paraId="1B5BF051" w14:textId="77777777" w:rsidR="00E4528D" w:rsidRDefault="00E4528D" w:rsidP="003C6266">
            <w:pPr>
              <w:widowControl w:val="0"/>
              <w:jc w:val="center"/>
              <w:rPr>
                <w:rFonts w:ascii="Titillium" w:hAnsi="Titillium" w:cstheme="minorHAnsi"/>
                <w:b/>
                <w:i/>
                <w:sz w:val="18"/>
                <w:szCs w:val="18"/>
              </w:rPr>
            </w:pPr>
          </w:p>
          <w:p w14:paraId="311F1584" w14:textId="77777777" w:rsidR="00E4528D" w:rsidRDefault="00E4528D" w:rsidP="003C6266">
            <w:pPr>
              <w:widowControl w:val="0"/>
              <w:spacing w:before="161"/>
              <w:ind w:right="484"/>
              <w:rPr>
                <w:rFonts w:ascii="Titillium" w:hAnsi="Titillium" w:cstheme="minorHAnsi"/>
                <w:sz w:val="18"/>
                <w:szCs w:val="18"/>
              </w:rPr>
            </w:pPr>
          </w:p>
        </w:tc>
        <w:tc>
          <w:tcPr>
            <w:tcW w:w="959" w:type="dxa"/>
            <w:vMerge w:val="restart"/>
            <w:tcBorders>
              <w:top w:val="single" w:sz="4" w:space="0" w:color="000000"/>
              <w:left w:val="single" w:sz="4" w:space="0" w:color="000000"/>
              <w:bottom w:val="single" w:sz="4" w:space="0" w:color="000000"/>
              <w:right w:val="single" w:sz="4" w:space="0" w:color="000000"/>
            </w:tcBorders>
            <w:vAlign w:val="center"/>
          </w:tcPr>
          <w:p w14:paraId="10892460" w14:textId="77777777" w:rsidR="00E4528D" w:rsidRDefault="00E4528D" w:rsidP="003C6266">
            <w:pPr>
              <w:widowControl w:val="0"/>
              <w:spacing w:before="1"/>
              <w:ind w:right="227"/>
              <w:jc w:val="center"/>
              <w:rPr>
                <w:rFonts w:ascii="Titillium" w:hAnsi="Titillium" w:cstheme="minorHAnsi"/>
                <w:sz w:val="18"/>
                <w:szCs w:val="18"/>
              </w:rPr>
            </w:pPr>
            <w:r>
              <w:rPr>
                <w:rFonts w:ascii="Titillium" w:hAnsi="Titillium" w:cstheme="minorHAnsi"/>
                <w:sz w:val="18"/>
                <w:szCs w:val="18"/>
              </w:rPr>
              <w:t>[…]</w:t>
            </w:r>
          </w:p>
          <w:p w14:paraId="78452BEC" w14:textId="77777777" w:rsidR="00E4528D" w:rsidRDefault="00E4528D" w:rsidP="003C6266">
            <w:pPr>
              <w:widowControl w:val="0"/>
              <w:spacing w:before="1"/>
              <w:ind w:right="227"/>
              <w:rPr>
                <w:rFonts w:ascii="Titillium" w:hAnsi="Titillium" w:cstheme="minorHAnsi"/>
                <w:sz w:val="18"/>
                <w:szCs w:val="18"/>
              </w:rPr>
            </w:pPr>
          </w:p>
        </w:tc>
        <w:tc>
          <w:tcPr>
            <w:tcW w:w="1590" w:type="dxa"/>
            <w:vMerge w:val="restart"/>
            <w:tcBorders>
              <w:top w:val="single" w:sz="4" w:space="0" w:color="000000"/>
              <w:left w:val="single" w:sz="4" w:space="0" w:color="000000"/>
              <w:bottom w:val="single" w:sz="4" w:space="0" w:color="000000"/>
              <w:right w:val="single" w:sz="4" w:space="0" w:color="000000"/>
            </w:tcBorders>
            <w:vAlign w:val="center"/>
          </w:tcPr>
          <w:p w14:paraId="10B2EDA8" w14:textId="77777777" w:rsidR="00E4528D" w:rsidRDefault="00E4528D" w:rsidP="003C6266">
            <w:pPr>
              <w:widowControl w:val="0"/>
              <w:ind w:left="108"/>
              <w:jc w:val="center"/>
              <w:rPr>
                <w:rFonts w:ascii="Titillium" w:hAnsi="Titillium" w:cstheme="minorHAnsi"/>
                <w:i/>
                <w:sz w:val="18"/>
                <w:szCs w:val="18"/>
              </w:rPr>
            </w:pPr>
            <w:r>
              <w:rPr>
                <w:rFonts w:ascii="Titillium" w:hAnsi="Titillium" w:cstheme="minorHAnsi"/>
                <w:sz w:val="18"/>
                <w:szCs w:val="18"/>
              </w:rPr>
              <w:t>[…]</w:t>
            </w:r>
          </w:p>
          <w:p w14:paraId="3B53EF51" w14:textId="77777777" w:rsidR="00E4528D" w:rsidRDefault="00E4528D" w:rsidP="003C6266">
            <w:pPr>
              <w:widowControl w:val="0"/>
              <w:ind w:left="108"/>
              <w:rPr>
                <w:rFonts w:ascii="Titillium" w:hAnsi="Titillium" w:cstheme="minorHAnsi"/>
                <w:i/>
                <w:sz w:val="18"/>
                <w:szCs w:val="18"/>
              </w:rPr>
            </w:pPr>
          </w:p>
        </w:tc>
        <w:tc>
          <w:tcPr>
            <w:tcW w:w="1294" w:type="dxa"/>
            <w:vMerge w:val="restart"/>
            <w:tcBorders>
              <w:top w:val="single" w:sz="4" w:space="0" w:color="000000"/>
              <w:left w:val="single" w:sz="4" w:space="0" w:color="000000"/>
              <w:bottom w:val="single" w:sz="4" w:space="0" w:color="000000"/>
              <w:right w:val="single" w:sz="4" w:space="0" w:color="000000"/>
            </w:tcBorders>
            <w:vAlign w:val="center"/>
          </w:tcPr>
          <w:p w14:paraId="1E10D37D" w14:textId="77777777" w:rsidR="00E4528D" w:rsidRDefault="00E4528D" w:rsidP="003C6266">
            <w:pPr>
              <w:widowControl w:val="0"/>
              <w:jc w:val="center"/>
              <w:rPr>
                <w:rFonts w:ascii="Titillium" w:hAnsi="Titillium" w:cstheme="minorHAnsi"/>
                <w:sz w:val="18"/>
                <w:szCs w:val="18"/>
              </w:rPr>
            </w:pPr>
            <w:r>
              <w:rPr>
                <w:rFonts w:ascii="Titillium" w:hAnsi="Titillium" w:cstheme="minorHAnsi"/>
                <w:sz w:val="18"/>
                <w:szCs w:val="18"/>
              </w:rPr>
              <w:t>[…]</w:t>
            </w:r>
          </w:p>
          <w:p w14:paraId="068E2CD1" w14:textId="77777777" w:rsidR="00E4528D" w:rsidRDefault="00E4528D" w:rsidP="003C6266">
            <w:pPr>
              <w:widowControl w:val="0"/>
              <w:rPr>
                <w:rFonts w:ascii="Titillium" w:hAnsi="Titillium" w:cstheme="minorHAnsi"/>
                <w:sz w:val="18"/>
                <w:szCs w:val="18"/>
              </w:rPr>
            </w:pPr>
          </w:p>
        </w:tc>
        <w:tc>
          <w:tcPr>
            <w:tcW w:w="854" w:type="dxa"/>
            <w:vMerge w:val="restart"/>
            <w:tcBorders>
              <w:top w:val="single" w:sz="4" w:space="0" w:color="000000"/>
              <w:left w:val="single" w:sz="4" w:space="0" w:color="000000"/>
              <w:bottom w:val="single" w:sz="4" w:space="0" w:color="000000"/>
              <w:right w:val="single" w:sz="4" w:space="0" w:color="000000"/>
            </w:tcBorders>
            <w:vAlign w:val="center"/>
          </w:tcPr>
          <w:p w14:paraId="175A0F91" w14:textId="77777777" w:rsidR="00E4528D" w:rsidRDefault="00E4528D" w:rsidP="003C6266">
            <w:pPr>
              <w:widowControl w:val="0"/>
              <w:jc w:val="center"/>
              <w:rPr>
                <w:rFonts w:ascii="Titillium" w:hAnsi="Titillium" w:cstheme="minorHAnsi"/>
                <w:sz w:val="18"/>
                <w:szCs w:val="18"/>
              </w:rPr>
            </w:pPr>
            <w:r>
              <w:rPr>
                <w:rFonts w:ascii="Titillium" w:hAnsi="Titillium" w:cstheme="minorHAnsi"/>
                <w:sz w:val="18"/>
                <w:szCs w:val="18"/>
              </w:rPr>
              <w:t>[…]</w:t>
            </w:r>
          </w:p>
          <w:p w14:paraId="7513E5A5" w14:textId="77777777" w:rsidR="00E4528D" w:rsidRDefault="00E4528D" w:rsidP="003C6266">
            <w:pPr>
              <w:widowControl w:val="0"/>
              <w:rPr>
                <w:rFonts w:ascii="Titillium" w:hAnsi="Titillium" w:cstheme="minorHAnsi"/>
                <w:sz w:val="18"/>
                <w:szCs w:val="18"/>
              </w:rPr>
            </w:pPr>
          </w:p>
        </w:tc>
        <w:tc>
          <w:tcPr>
            <w:tcW w:w="1372" w:type="dxa"/>
            <w:tcBorders>
              <w:top w:val="single" w:sz="4" w:space="0" w:color="000000"/>
              <w:left w:val="single" w:sz="4" w:space="0" w:color="000000"/>
              <w:bottom w:val="single" w:sz="4" w:space="0" w:color="000000"/>
              <w:right w:val="single" w:sz="4" w:space="0" w:color="000000"/>
            </w:tcBorders>
            <w:vAlign w:val="center"/>
          </w:tcPr>
          <w:p w14:paraId="175DDF15" w14:textId="77777777" w:rsidR="00E4528D" w:rsidRDefault="00E4528D" w:rsidP="003C6266">
            <w:pPr>
              <w:widowControl w:val="0"/>
              <w:jc w:val="center"/>
              <w:rPr>
                <w:rFonts w:ascii="Titillium" w:hAnsi="Titillium" w:cstheme="minorHAnsi"/>
                <w:sz w:val="18"/>
                <w:szCs w:val="18"/>
              </w:rPr>
            </w:pPr>
            <w:r>
              <w:rPr>
                <w:rFonts w:ascii="Titillium" w:hAnsi="Titillium" w:cstheme="minorHAnsi"/>
                <w:sz w:val="18"/>
                <w:szCs w:val="18"/>
              </w:rPr>
              <w:t>[…]</w:t>
            </w:r>
          </w:p>
        </w:tc>
        <w:tc>
          <w:tcPr>
            <w:tcW w:w="929" w:type="dxa"/>
            <w:tcBorders>
              <w:top w:val="single" w:sz="4" w:space="0" w:color="000000"/>
              <w:left w:val="single" w:sz="4" w:space="0" w:color="000000"/>
              <w:bottom w:val="single" w:sz="4" w:space="0" w:color="000000"/>
              <w:right w:val="single" w:sz="4" w:space="0" w:color="000000"/>
            </w:tcBorders>
          </w:tcPr>
          <w:p w14:paraId="0743F117" w14:textId="77777777" w:rsidR="00E4528D" w:rsidRDefault="00E4528D" w:rsidP="003C6266">
            <w:pPr>
              <w:widowControl w:val="0"/>
              <w:jc w:val="center"/>
              <w:rPr>
                <w:rFonts w:ascii="Titillium" w:hAnsi="Titillium" w:cstheme="minorHAnsi"/>
                <w:sz w:val="18"/>
                <w:szCs w:val="18"/>
              </w:rPr>
            </w:pPr>
          </w:p>
        </w:tc>
        <w:tc>
          <w:tcPr>
            <w:tcW w:w="790" w:type="dxa"/>
            <w:tcBorders>
              <w:top w:val="single" w:sz="4" w:space="0" w:color="000000"/>
              <w:left w:val="single" w:sz="4" w:space="0" w:color="000000"/>
              <w:bottom w:val="single" w:sz="4" w:space="0" w:color="000000"/>
              <w:right w:val="single" w:sz="4" w:space="0" w:color="000000"/>
            </w:tcBorders>
          </w:tcPr>
          <w:p w14:paraId="5484A545" w14:textId="77777777" w:rsidR="00E4528D" w:rsidRDefault="00E4528D" w:rsidP="003C6266">
            <w:pPr>
              <w:widowControl w:val="0"/>
              <w:jc w:val="center"/>
              <w:rPr>
                <w:rFonts w:ascii="Titillium" w:hAnsi="Titillium" w:cstheme="minorHAnsi"/>
                <w:sz w:val="18"/>
                <w:szCs w:val="18"/>
              </w:rPr>
            </w:pPr>
          </w:p>
        </w:tc>
      </w:tr>
      <w:tr w:rsidR="00E4528D" w14:paraId="1F102E5D" w14:textId="77777777" w:rsidTr="003C6266">
        <w:trPr>
          <w:trHeight w:val="1449"/>
        </w:trPr>
        <w:tc>
          <w:tcPr>
            <w:tcW w:w="1420" w:type="dxa"/>
            <w:vMerge/>
            <w:tcBorders>
              <w:top w:val="single" w:sz="4" w:space="0" w:color="000000"/>
              <w:left w:val="single" w:sz="4" w:space="0" w:color="000000"/>
              <w:bottom w:val="single" w:sz="4" w:space="0" w:color="000000"/>
              <w:right w:val="single" w:sz="4" w:space="0" w:color="000000"/>
            </w:tcBorders>
            <w:vAlign w:val="center"/>
          </w:tcPr>
          <w:p w14:paraId="482E58E7" w14:textId="77777777" w:rsidR="00E4528D" w:rsidRDefault="00E4528D" w:rsidP="003C6266">
            <w:pPr>
              <w:widowControl w:val="0"/>
              <w:rPr>
                <w:rFonts w:ascii="Titillium" w:hAnsi="Titillium" w:cstheme="minorHAnsi"/>
                <w:sz w:val="18"/>
                <w:szCs w:val="18"/>
              </w:rPr>
            </w:pPr>
          </w:p>
        </w:tc>
        <w:tc>
          <w:tcPr>
            <w:tcW w:w="959" w:type="dxa"/>
            <w:vMerge/>
            <w:tcBorders>
              <w:top w:val="single" w:sz="4" w:space="0" w:color="000000"/>
              <w:left w:val="single" w:sz="4" w:space="0" w:color="000000"/>
              <w:bottom w:val="single" w:sz="4" w:space="0" w:color="000000"/>
              <w:right w:val="single" w:sz="4" w:space="0" w:color="000000"/>
            </w:tcBorders>
            <w:vAlign w:val="center"/>
          </w:tcPr>
          <w:p w14:paraId="35156D10" w14:textId="77777777" w:rsidR="00E4528D" w:rsidRDefault="00E4528D" w:rsidP="003C6266">
            <w:pPr>
              <w:widowControl w:val="0"/>
              <w:rPr>
                <w:rFonts w:ascii="Titillium" w:hAnsi="Titillium" w:cstheme="minorHAnsi"/>
                <w:sz w:val="18"/>
                <w:szCs w:val="18"/>
              </w:rPr>
            </w:pPr>
          </w:p>
        </w:tc>
        <w:tc>
          <w:tcPr>
            <w:tcW w:w="1590" w:type="dxa"/>
            <w:vMerge/>
            <w:tcBorders>
              <w:top w:val="single" w:sz="4" w:space="0" w:color="000000"/>
              <w:left w:val="single" w:sz="4" w:space="0" w:color="000000"/>
              <w:bottom w:val="single" w:sz="4" w:space="0" w:color="000000"/>
              <w:right w:val="single" w:sz="4" w:space="0" w:color="000000"/>
            </w:tcBorders>
            <w:vAlign w:val="center"/>
          </w:tcPr>
          <w:p w14:paraId="1205BBCF" w14:textId="77777777" w:rsidR="00E4528D" w:rsidRDefault="00E4528D" w:rsidP="003C6266">
            <w:pPr>
              <w:widowControl w:val="0"/>
              <w:rPr>
                <w:rFonts w:ascii="Titillium" w:hAnsi="Titillium" w:cstheme="minorHAnsi"/>
                <w:sz w:val="18"/>
                <w:szCs w:val="18"/>
              </w:rPr>
            </w:pPr>
          </w:p>
        </w:tc>
        <w:tc>
          <w:tcPr>
            <w:tcW w:w="1294" w:type="dxa"/>
            <w:vMerge/>
            <w:tcBorders>
              <w:top w:val="single" w:sz="4" w:space="0" w:color="000000"/>
              <w:left w:val="single" w:sz="4" w:space="0" w:color="000000"/>
              <w:bottom w:val="single" w:sz="4" w:space="0" w:color="000000"/>
              <w:right w:val="single" w:sz="4" w:space="0" w:color="000000"/>
            </w:tcBorders>
            <w:vAlign w:val="center"/>
          </w:tcPr>
          <w:p w14:paraId="0102A222" w14:textId="77777777" w:rsidR="00E4528D" w:rsidRDefault="00E4528D" w:rsidP="003C6266">
            <w:pPr>
              <w:widowControl w:val="0"/>
              <w:rPr>
                <w:rFonts w:ascii="Titillium" w:hAnsi="Titillium" w:cstheme="minorHAnsi"/>
                <w:sz w:val="18"/>
                <w:szCs w:val="18"/>
              </w:rPr>
            </w:pPr>
          </w:p>
        </w:tc>
        <w:tc>
          <w:tcPr>
            <w:tcW w:w="854" w:type="dxa"/>
            <w:vMerge/>
            <w:tcBorders>
              <w:top w:val="single" w:sz="4" w:space="0" w:color="000000"/>
              <w:left w:val="single" w:sz="4" w:space="0" w:color="000000"/>
              <w:bottom w:val="single" w:sz="4" w:space="0" w:color="000000"/>
              <w:right w:val="single" w:sz="4" w:space="0" w:color="000000"/>
            </w:tcBorders>
            <w:vAlign w:val="center"/>
          </w:tcPr>
          <w:p w14:paraId="5D12B317" w14:textId="77777777" w:rsidR="00E4528D" w:rsidRDefault="00E4528D" w:rsidP="003C6266">
            <w:pPr>
              <w:widowControl w:val="0"/>
              <w:rPr>
                <w:rFonts w:ascii="Titillium" w:hAnsi="Titillium" w:cstheme="minorHAnsi"/>
                <w:sz w:val="18"/>
                <w:szCs w:val="18"/>
              </w:rPr>
            </w:pPr>
          </w:p>
        </w:tc>
        <w:tc>
          <w:tcPr>
            <w:tcW w:w="1372" w:type="dxa"/>
            <w:tcBorders>
              <w:top w:val="single" w:sz="4" w:space="0" w:color="000000"/>
              <w:left w:val="single" w:sz="4" w:space="0" w:color="000000"/>
              <w:bottom w:val="single" w:sz="4" w:space="0" w:color="000000"/>
              <w:right w:val="single" w:sz="4" w:space="0" w:color="000000"/>
            </w:tcBorders>
            <w:vAlign w:val="center"/>
          </w:tcPr>
          <w:p w14:paraId="316D50CD" w14:textId="77777777" w:rsidR="00E4528D" w:rsidRDefault="00E4528D" w:rsidP="003C6266">
            <w:pPr>
              <w:widowControl w:val="0"/>
              <w:jc w:val="center"/>
              <w:rPr>
                <w:rFonts w:ascii="Titillium" w:hAnsi="Titillium" w:cstheme="minorHAnsi"/>
                <w:sz w:val="18"/>
                <w:szCs w:val="18"/>
              </w:rPr>
            </w:pPr>
            <w:r>
              <w:rPr>
                <w:rFonts w:ascii="Titillium" w:hAnsi="Titillium" w:cstheme="minorHAnsi"/>
                <w:sz w:val="18"/>
                <w:szCs w:val="18"/>
              </w:rPr>
              <w:t>[…]</w:t>
            </w:r>
          </w:p>
        </w:tc>
        <w:tc>
          <w:tcPr>
            <w:tcW w:w="929" w:type="dxa"/>
            <w:tcBorders>
              <w:top w:val="single" w:sz="4" w:space="0" w:color="000000"/>
              <w:left w:val="single" w:sz="4" w:space="0" w:color="000000"/>
              <w:bottom w:val="single" w:sz="4" w:space="0" w:color="000000"/>
              <w:right w:val="single" w:sz="4" w:space="0" w:color="000000"/>
            </w:tcBorders>
          </w:tcPr>
          <w:p w14:paraId="49C18670" w14:textId="77777777" w:rsidR="00E4528D" w:rsidRDefault="00E4528D" w:rsidP="003C6266">
            <w:pPr>
              <w:widowControl w:val="0"/>
              <w:jc w:val="center"/>
              <w:rPr>
                <w:rFonts w:ascii="Titillium" w:hAnsi="Titillium" w:cstheme="minorHAnsi"/>
                <w:sz w:val="18"/>
                <w:szCs w:val="18"/>
              </w:rPr>
            </w:pPr>
          </w:p>
        </w:tc>
        <w:tc>
          <w:tcPr>
            <w:tcW w:w="790" w:type="dxa"/>
            <w:tcBorders>
              <w:top w:val="single" w:sz="4" w:space="0" w:color="000000"/>
              <w:left w:val="single" w:sz="4" w:space="0" w:color="000000"/>
              <w:bottom w:val="single" w:sz="4" w:space="0" w:color="000000"/>
              <w:right w:val="single" w:sz="4" w:space="0" w:color="000000"/>
            </w:tcBorders>
          </w:tcPr>
          <w:p w14:paraId="204F58D9" w14:textId="77777777" w:rsidR="00E4528D" w:rsidRDefault="00E4528D" w:rsidP="003C6266">
            <w:pPr>
              <w:widowControl w:val="0"/>
              <w:jc w:val="center"/>
              <w:rPr>
                <w:rFonts w:ascii="Titillium" w:hAnsi="Titillium" w:cstheme="minorHAnsi"/>
                <w:sz w:val="18"/>
                <w:szCs w:val="18"/>
              </w:rPr>
            </w:pPr>
          </w:p>
        </w:tc>
      </w:tr>
      <w:tr w:rsidR="00E4528D" w14:paraId="68976BF1" w14:textId="77777777" w:rsidTr="003C6266">
        <w:trPr>
          <w:trHeight w:val="629"/>
        </w:trPr>
        <w:tc>
          <w:tcPr>
            <w:tcW w:w="7489" w:type="dxa"/>
            <w:gridSpan w:val="6"/>
            <w:tcBorders>
              <w:top w:val="single" w:sz="4" w:space="0" w:color="000000"/>
              <w:left w:val="single" w:sz="4" w:space="0" w:color="000000"/>
              <w:bottom w:val="single" w:sz="4" w:space="0" w:color="000000"/>
              <w:right w:val="single" w:sz="4" w:space="0" w:color="000000"/>
            </w:tcBorders>
          </w:tcPr>
          <w:p w14:paraId="4ACF5BBC" w14:textId="77777777" w:rsidR="00E4528D" w:rsidRDefault="00E4528D" w:rsidP="003C6266">
            <w:pPr>
              <w:widowControl w:val="0"/>
              <w:ind w:right="484"/>
              <w:rPr>
                <w:rFonts w:ascii="Titillium" w:hAnsi="Titillium" w:cstheme="minorHAnsi"/>
                <w:b/>
                <w:i/>
                <w:sz w:val="18"/>
                <w:szCs w:val="18"/>
              </w:rPr>
            </w:pPr>
          </w:p>
          <w:p w14:paraId="0FFF0CBF" w14:textId="77777777" w:rsidR="00E4528D" w:rsidRDefault="00E4528D" w:rsidP="003C6266">
            <w:pPr>
              <w:widowControl w:val="0"/>
              <w:ind w:right="484"/>
              <w:jc w:val="center"/>
              <w:rPr>
                <w:rFonts w:ascii="Titillium" w:hAnsi="Titillium" w:cstheme="minorHAnsi"/>
                <w:sz w:val="18"/>
                <w:szCs w:val="18"/>
              </w:rPr>
            </w:pPr>
            <w:r>
              <w:rPr>
                <w:rFonts w:ascii="Titillium" w:hAnsi="Titillium" w:cstheme="minorHAnsi"/>
                <w:sz w:val="18"/>
                <w:szCs w:val="18"/>
              </w:rPr>
              <w:t>SOMMA</w:t>
            </w:r>
          </w:p>
          <w:p w14:paraId="4698BFDF" w14:textId="77777777" w:rsidR="00E4528D" w:rsidRDefault="00E4528D" w:rsidP="003C6266">
            <w:pPr>
              <w:widowControl w:val="0"/>
              <w:rPr>
                <w:rFonts w:ascii="Titillium" w:hAnsi="Titillium" w:cstheme="minorHAnsi"/>
                <w:sz w:val="18"/>
                <w:szCs w:val="18"/>
              </w:rPr>
            </w:pPr>
          </w:p>
        </w:tc>
        <w:tc>
          <w:tcPr>
            <w:tcW w:w="929" w:type="dxa"/>
            <w:tcBorders>
              <w:top w:val="single" w:sz="4" w:space="0" w:color="000000"/>
              <w:left w:val="single" w:sz="4" w:space="0" w:color="000000"/>
              <w:bottom w:val="single" w:sz="4" w:space="0" w:color="000000"/>
              <w:right w:val="single" w:sz="4" w:space="0" w:color="000000"/>
            </w:tcBorders>
          </w:tcPr>
          <w:p w14:paraId="6D05A899" w14:textId="77777777" w:rsidR="00E4528D" w:rsidRDefault="00E4528D" w:rsidP="003C6266">
            <w:pPr>
              <w:widowControl w:val="0"/>
              <w:jc w:val="center"/>
              <w:rPr>
                <w:rFonts w:ascii="Titillium" w:hAnsi="Titillium" w:cstheme="minorHAnsi"/>
                <w:sz w:val="18"/>
                <w:szCs w:val="18"/>
              </w:rPr>
            </w:pPr>
          </w:p>
        </w:tc>
        <w:tc>
          <w:tcPr>
            <w:tcW w:w="790" w:type="dxa"/>
            <w:tcBorders>
              <w:top w:val="single" w:sz="4" w:space="0" w:color="000000"/>
              <w:left w:val="single" w:sz="4" w:space="0" w:color="000000"/>
              <w:bottom w:val="single" w:sz="4" w:space="0" w:color="000000"/>
              <w:right w:val="single" w:sz="4" w:space="0" w:color="000000"/>
            </w:tcBorders>
          </w:tcPr>
          <w:p w14:paraId="0D21E694" w14:textId="77777777" w:rsidR="00E4528D" w:rsidRDefault="00E4528D" w:rsidP="003C6266">
            <w:pPr>
              <w:widowControl w:val="0"/>
              <w:jc w:val="center"/>
              <w:rPr>
                <w:rFonts w:ascii="Titillium" w:hAnsi="Titillium" w:cstheme="minorHAnsi"/>
                <w:sz w:val="18"/>
                <w:szCs w:val="18"/>
              </w:rPr>
            </w:pPr>
          </w:p>
        </w:tc>
      </w:tr>
      <w:tr w:rsidR="00E4528D" w14:paraId="37070EE4" w14:textId="77777777" w:rsidTr="003C6266">
        <w:trPr>
          <w:trHeight w:val="625"/>
        </w:trPr>
        <w:tc>
          <w:tcPr>
            <w:tcW w:w="7489" w:type="dxa"/>
            <w:gridSpan w:val="6"/>
            <w:tcBorders>
              <w:top w:val="single" w:sz="4" w:space="0" w:color="000000"/>
              <w:left w:val="single" w:sz="4" w:space="0" w:color="000000"/>
              <w:bottom w:val="single" w:sz="4" w:space="0" w:color="000000"/>
              <w:right w:val="single" w:sz="4" w:space="0" w:color="000000"/>
            </w:tcBorders>
          </w:tcPr>
          <w:p w14:paraId="1414F4E3" w14:textId="77777777" w:rsidR="00E4528D" w:rsidRDefault="00E4528D" w:rsidP="003C6266">
            <w:pPr>
              <w:widowControl w:val="0"/>
              <w:jc w:val="center"/>
              <w:rPr>
                <w:rFonts w:ascii="Titillium" w:hAnsi="Titillium" w:cstheme="minorHAnsi"/>
                <w:b/>
                <w:i/>
                <w:sz w:val="18"/>
                <w:szCs w:val="18"/>
              </w:rPr>
            </w:pPr>
            <w:r>
              <w:rPr>
                <w:rFonts w:ascii="Titillium" w:hAnsi="Titillium" w:cstheme="minorHAnsi"/>
                <w:b/>
                <w:i/>
                <w:sz w:val="18"/>
                <w:szCs w:val="18"/>
              </w:rPr>
              <w:t>Totale comprensivo di spese e oneri</w:t>
            </w:r>
          </w:p>
        </w:tc>
        <w:tc>
          <w:tcPr>
            <w:tcW w:w="1719" w:type="dxa"/>
            <w:gridSpan w:val="2"/>
            <w:tcBorders>
              <w:top w:val="single" w:sz="4" w:space="0" w:color="000000"/>
              <w:left w:val="single" w:sz="4" w:space="0" w:color="000000"/>
              <w:bottom w:val="single" w:sz="4" w:space="0" w:color="000000"/>
              <w:right w:val="single" w:sz="4" w:space="0" w:color="000000"/>
            </w:tcBorders>
          </w:tcPr>
          <w:p w14:paraId="0303775E" w14:textId="77777777" w:rsidR="00E4528D" w:rsidRDefault="00E4528D" w:rsidP="003C6266">
            <w:pPr>
              <w:widowControl w:val="0"/>
              <w:jc w:val="center"/>
              <w:rPr>
                <w:rFonts w:ascii="Titillium" w:hAnsi="Titillium" w:cstheme="minorHAnsi"/>
                <w:sz w:val="18"/>
                <w:szCs w:val="18"/>
              </w:rPr>
            </w:pPr>
          </w:p>
        </w:tc>
      </w:tr>
    </w:tbl>
    <w:p w14:paraId="24D30E15" w14:textId="77777777" w:rsidR="00E4528D" w:rsidRDefault="00E4528D" w:rsidP="00E4528D">
      <w:pPr>
        <w:tabs>
          <w:tab w:val="left" w:pos="9025"/>
        </w:tabs>
        <w:rPr>
          <w:rFonts w:ascii="Titillium" w:hAnsi="Titillium" w:cstheme="minorHAnsi"/>
          <w:sz w:val="18"/>
          <w:szCs w:val="18"/>
        </w:rPr>
      </w:pPr>
    </w:p>
    <w:p w14:paraId="613B2800" w14:textId="1C3B1B5B" w:rsidR="005B5BA6" w:rsidRDefault="00694209">
      <w:pPr>
        <w:spacing w:before="60" w:after="60"/>
        <w:rPr>
          <w:rFonts w:ascii="Titillium" w:hAnsi="Titillium"/>
          <w:iCs/>
          <w:sz w:val="18"/>
          <w:szCs w:val="18"/>
        </w:rPr>
      </w:pPr>
      <w:r w:rsidRPr="00694209">
        <w:rPr>
          <w:rFonts w:ascii="Titillium" w:hAnsi="Titillium"/>
          <w:iCs/>
          <w:sz w:val="18"/>
          <w:szCs w:val="18"/>
        </w:rPr>
        <w:t>L’appalto è finanziato con … [</w:t>
      </w:r>
      <w:r w:rsidRPr="005B5BA6">
        <w:rPr>
          <w:rFonts w:ascii="Titillium" w:hAnsi="Titillium"/>
          <w:i/>
          <w:sz w:val="18"/>
          <w:szCs w:val="18"/>
        </w:rPr>
        <w:t>descrivere le fonti di finanziamento.</w:t>
      </w:r>
      <w:r w:rsidR="005B5BA6" w:rsidRPr="005B5BA6">
        <w:rPr>
          <w:i/>
        </w:rPr>
        <w:t xml:space="preserve"> </w:t>
      </w:r>
      <w:r w:rsidR="005B5BA6" w:rsidRPr="005B5BA6">
        <w:rPr>
          <w:rFonts w:ascii="Titillium" w:hAnsi="Titillium"/>
          <w:i/>
          <w:sz w:val="18"/>
          <w:szCs w:val="18"/>
        </w:rPr>
        <w:t>Nel caso in cui i singoli lotti abbiano diverse fonti di finanziamento inserire una specificazione apposita per ciascun lotto</w:t>
      </w:r>
      <w:r w:rsidR="005B5BA6">
        <w:rPr>
          <w:rFonts w:ascii="Titillium" w:hAnsi="Titillium"/>
          <w:iCs/>
          <w:sz w:val="18"/>
          <w:szCs w:val="18"/>
        </w:rPr>
        <w:t>]</w:t>
      </w:r>
      <w:r w:rsidR="005B5BA6" w:rsidRPr="005B5BA6">
        <w:rPr>
          <w:rFonts w:ascii="Titillium" w:hAnsi="Titillium"/>
          <w:iCs/>
          <w:sz w:val="18"/>
          <w:szCs w:val="18"/>
        </w:rPr>
        <w:t xml:space="preserve">.  </w:t>
      </w:r>
      <w:r w:rsidRPr="00694209">
        <w:rPr>
          <w:rFonts w:ascii="Titillium" w:hAnsi="Titillium"/>
          <w:iCs/>
          <w:sz w:val="18"/>
          <w:szCs w:val="18"/>
        </w:rPr>
        <w:t xml:space="preserve"> </w:t>
      </w:r>
    </w:p>
    <w:p w14:paraId="50E70D90" w14:textId="77777777" w:rsidR="00070493" w:rsidRDefault="00694209">
      <w:pPr>
        <w:spacing w:before="60" w:after="60"/>
        <w:rPr>
          <w:rFonts w:ascii="Titillium" w:hAnsi="Titillium"/>
          <w:iCs/>
          <w:sz w:val="18"/>
          <w:szCs w:val="18"/>
        </w:rPr>
      </w:pPr>
      <w:r w:rsidRPr="00694209">
        <w:rPr>
          <w:rFonts w:ascii="Titillium" w:hAnsi="Titillium"/>
          <w:iCs/>
          <w:sz w:val="18"/>
          <w:szCs w:val="18"/>
        </w:rPr>
        <w:t>La corresponsione del compenso non è subordinata all’ottenimento del finanziamento dell’opera progettata.</w:t>
      </w:r>
    </w:p>
    <w:p w14:paraId="1E229EBD" w14:textId="75C646AE" w:rsidR="00821B0A" w:rsidRPr="00FE0FE8" w:rsidRDefault="00885342">
      <w:pPr>
        <w:spacing w:before="60" w:after="60"/>
        <w:rPr>
          <w:rFonts w:ascii="Titillium" w:hAnsi="Titillium"/>
          <w:iCs/>
          <w:sz w:val="18"/>
          <w:szCs w:val="18"/>
        </w:rPr>
      </w:pPr>
      <w:r w:rsidRPr="00FE0FE8">
        <w:rPr>
          <w:rFonts w:ascii="Titillium" w:hAnsi="Titillium"/>
          <w:iCs/>
          <w:sz w:val="18"/>
          <w:szCs w:val="18"/>
        </w:rPr>
        <w:t>Le modalità di corresponsione del compenso sono disciplinate al</w:t>
      </w:r>
      <w:r w:rsidR="00070493" w:rsidRPr="00FE0FE8">
        <w:rPr>
          <w:rFonts w:ascii="Titillium" w:hAnsi="Titillium"/>
          <w:iCs/>
          <w:sz w:val="18"/>
          <w:szCs w:val="18"/>
        </w:rPr>
        <w:t>l’art….</w:t>
      </w:r>
      <w:r w:rsidRPr="00FE0FE8">
        <w:rPr>
          <w:rFonts w:ascii="Titillium" w:hAnsi="Titillium"/>
          <w:iCs/>
          <w:sz w:val="18"/>
          <w:szCs w:val="18"/>
        </w:rPr>
        <w:t xml:space="preserve"> </w:t>
      </w:r>
      <w:r w:rsidR="00070493" w:rsidRPr="00FE0FE8">
        <w:rPr>
          <w:rFonts w:ascii="Titillium" w:hAnsi="Titillium"/>
          <w:iCs/>
          <w:sz w:val="18"/>
          <w:szCs w:val="18"/>
        </w:rPr>
        <w:t xml:space="preserve"> [</w:t>
      </w:r>
      <w:r w:rsidR="00070493" w:rsidRPr="00FE0FE8">
        <w:rPr>
          <w:rFonts w:ascii="Titillium" w:hAnsi="Titillium"/>
          <w:i/>
          <w:sz w:val="18"/>
          <w:szCs w:val="18"/>
        </w:rPr>
        <w:t>specificare l’articolo che disciplina le percentuali e le modalità di corresponsione del compenso</w:t>
      </w:r>
      <w:r w:rsidR="00070493" w:rsidRPr="00FE0FE8">
        <w:rPr>
          <w:rFonts w:ascii="Titillium" w:hAnsi="Titillium"/>
          <w:iCs/>
          <w:sz w:val="18"/>
          <w:szCs w:val="18"/>
        </w:rPr>
        <w:t>] dello schema di C</w:t>
      </w:r>
      <w:r w:rsidRPr="00FE0FE8">
        <w:rPr>
          <w:rFonts w:ascii="Titillium" w:hAnsi="Titillium"/>
          <w:iCs/>
          <w:sz w:val="18"/>
          <w:szCs w:val="18"/>
        </w:rPr>
        <w:t xml:space="preserve">ontratto. </w:t>
      </w:r>
    </w:p>
    <w:p w14:paraId="23B339CD" w14:textId="77777777" w:rsidR="006842EE" w:rsidRPr="00FE0FE8" w:rsidRDefault="008F2625">
      <w:pPr>
        <w:pStyle w:val="Titolo3"/>
        <w:numPr>
          <w:ilvl w:val="1"/>
          <w:numId w:val="3"/>
        </w:numPr>
        <w:spacing w:before="120"/>
        <w:ind w:left="426" w:hanging="426"/>
      </w:pPr>
      <w:bookmarkStart w:id="199" w:name="_Toc484688264"/>
      <w:bookmarkStart w:id="200" w:name="_Toc484605395"/>
      <w:bookmarkStart w:id="201" w:name="_Toc484605271"/>
      <w:bookmarkStart w:id="202" w:name="_Toc484526551"/>
      <w:bookmarkStart w:id="203" w:name="_Toc484449056"/>
      <w:bookmarkStart w:id="204" w:name="_Toc484448932"/>
      <w:bookmarkStart w:id="205" w:name="_Toc484448808"/>
      <w:bookmarkStart w:id="206" w:name="_Toc484448685"/>
      <w:bookmarkStart w:id="207" w:name="_Toc484448561"/>
      <w:bookmarkStart w:id="208" w:name="_Toc484448437"/>
      <w:bookmarkStart w:id="209" w:name="_Toc484448313"/>
      <w:bookmarkStart w:id="210" w:name="_Toc484448189"/>
      <w:bookmarkStart w:id="211" w:name="_Toc484448064"/>
      <w:bookmarkStart w:id="212" w:name="_Toc484440405"/>
      <w:bookmarkStart w:id="213" w:name="_Toc484440045"/>
      <w:bookmarkStart w:id="214" w:name="_Toc484439921"/>
      <w:bookmarkStart w:id="215" w:name="_Toc484439798"/>
      <w:bookmarkStart w:id="216" w:name="_Toc484438878"/>
      <w:bookmarkStart w:id="217" w:name="_Toc484438754"/>
      <w:bookmarkStart w:id="218" w:name="_Toc484438630"/>
      <w:bookmarkStart w:id="219" w:name="_Toc484429055"/>
      <w:bookmarkStart w:id="220" w:name="_Toc484428885"/>
      <w:bookmarkStart w:id="221" w:name="_Toc484097713"/>
      <w:bookmarkStart w:id="222" w:name="_Toc484011639"/>
      <w:bookmarkStart w:id="223" w:name="_Toc484011164"/>
      <w:bookmarkStart w:id="224" w:name="_Toc484011042"/>
      <w:bookmarkStart w:id="225" w:name="_Toc484010920"/>
      <w:bookmarkStart w:id="226" w:name="_Toc484010796"/>
      <w:bookmarkStart w:id="227" w:name="_Toc484010674"/>
      <w:bookmarkStart w:id="228" w:name="_Toc483906924"/>
      <w:bookmarkStart w:id="229" w:name="_Toc483571547"/>
      <w:bookmarkStart w:id="230" w:name="_Toc483571426"/>
      <w:bookmarkStart w:id="231" w:name="_Toc483473997"/>
      <w:bookmarkStart w:id="232" w:name="_Toc483401200"/>
      <w:bookmarkStart w:id="233" w:name="_Toc483325721"/>
      <w:bookmarkStart w:id="234" w:name="_Toc483316418"/>
      <w:bookmarkStart w:id="235" w:name="_Toc483316287"/>
      <w:bookmarkStart w:id="236" w:name="_Toc483316084"/>
      <w:bookmarkStart w:id="237" w:name="_Toc483315878"/>
      <w:bookmarkStart w:id="238" w:name="_Toc483302328"/>
      <w:bookmarkStart w:id="239" w:name="_Toc485218255"/>
      <w:bookmarkStart w:id="240" w:name="_Toc484688819"/>
      <w:bookmarkStart w:id="241" w:name="_Toc227921620"/>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rsidRPr="00FE0FE8">
        <w:rPr>
          <w:rFonts w:ascii="Titillium" w:hAnsi="Titillium"/>
          <w:sz w:val="18"/>
          <w:szCs w:val="18"/>
          <w:lang w:val="it-IT"/>
        </w:rPr>
        <w:t>D</w:t>
      </w:r>
      <w:r w:rsidRPr="00FE0FE8">
        <w:rPr>
          <w:rFonts w:ascii="Titillium" w:hAnsi="Titillium"/>
          <w:sz w:val="18"/>
          <w:szCs w:val="18"/>
        </w:rPr>
        <w:t>URATA</w:t>
      </w:r>
      <w:bookmarkEnd w:id="241"/>
      <w:r w:rsidRPr="00FE0FE8">
        <w:rPr>
          <w:rFonts w:ascii="Titillium" w:hAnsi="Titillium"/>
          <w:sz w:val="18"/>
          <w:szCs w:val="18"/>
          <w:lang w:val="it-IT"/>
        </w:rPr>
        <w:t xml:space="preserve"> </w:t>
      </w:r>
    </w:p>
    <w:p w14:paraId="4439D63E" w14:textId="41783A4E" w:rsidR="00334C91" w:rsidRDefault="00992E04" w:rsidP="00992E04">
      <w:pPr>
        <w:spacing w:before="120" w:after="60"/>
        <w:rPr>
          <w:rFonts w:ascii="Titillium" w:hAnsi="Titillium"/>
          <w:i/>
          <w:iCs/>
          <w:sz w:val="18"/>
          <w:szCs w:val="18"/>
        </w:rPr>
      </w:pPr>
      <w:r w:rsidRPr="007C73B5">
        <w:rPr>
          <w:rFonts w:ascii="Titillium" w:hAnsi="Titillium"/>
          <w:sz w:val="18"/>
          <w:szCs w:val="18"/>
        </w:rPr>
        <w:t>Il termine per l’esecuzione dell’appalto</w:t>
      </w:r>
      <w:r w:rsidR="008F2625">
        <w:rPr>
          <w:rFonts w:ascii="Titillium" w:hAnsi="Titillium"/>
          <w:sz w:val="18"/>
          <w:szCs w:val="18"/>
        </w:rPr>
        <w:t xml:space="preserve"> è di … </w:t>
      </w:r>
      <w:r w:rsidR="008F2625">
        <w:rPr>
          <w:rFonts w:ascii="Titillium" w:hAnsi="Titillium"/>
          <w:i/>
          <w:iCs/>
          <w:sz w:val="18"/>
          <w:szCs w:val="18"/>
        </w:rPr>
        <w:t>[indicare giorni],</w:t>
      </w:r>
      <w:r w:rsidR="008F2625">
        <w:rPr>
          <w:rFonts w:ascii="Titillium" w:hAnsi="Titillium"/>
          <w:sz w:val="18"/>
          <w:szCs w:val="18"/>
        </w:rPr>
        <w:t xml:space="preserve"> </w:t>
      </w:r>
      <w:r w:rsidRPr="007C73B5">
        <w:rPr>
          <w:rFonts w:ascii="Titillium" w:hAnsi="Titillium"/>
          <w:sz w:val="18"/>
          <w:szCs w:val="18"/>
        </w:rPr>
        <w:t xml:space="preserve">giorni naturali e consecutivi </w:t>
      </w:r>
      <w:r w:rsidR="008F2625" w:rsidRPr="007C73B5">
        <w:rPr>
          <w:rFonts w:ascii="Titillium" w:hAnsi="Titillium"/>
          <w:sz w:val="18"/>
          <w:szCs w:val="18"/>
        </w:rPr>
        <w:t>decorrenti dalla data di …</w:t>
      </w:r>
      <w:r w:rsidR="008F2625">
        <w:rPr>
          <w:rFonts w:ascii="Titillium" w:hAnsi="Titillium"/>
          <w:sz w:val="18"/>
          <w:szCs w:val="18"/>
        </w:rPr>
        <w:t xml:space="preserve"> </w:t>
      </w:r>
      <w:r w:rsidR="008F2625">
        <w:rPr>
          <w:rFonts w:ascii="Titillium" w:hAnsi="Titillium"/>
          <w:i/>
          <w:iCs/>
          <w:sz w:val="18"/>
          <w:szCs w:val="18"/>
        </w:rPr>
        <w:t>[</w:t>
      </w:r>
      <w:r w:rsidR="008F2625" w:rsidRPr="007C73B5">
        <w:rPr>
          <w:rFonts w:ascii="Titillium" w:hAnsi="Titillium"/>
          <w:i/>
          <w:iCs/>
          <w:sz w:val="18"/>
          <w:szCs w:val="18"/>
        </w:rPr>
        <w:t xml:space="preserve">indicare il termine iniziale: </w:t>
      </w:r>
      <w:r w:rsidRPr="007C73B5">
        <w:rPr>
          <w:rFonts w:ascii="Titillium" w:hAnsi="Titillium"/>
          <w:i/>
          <w:iCs/>
          <w:sz w:val="18"/>
          <w:szCs w:val="18"/>
        </w:rPr>
        <w:t xml:space="preserve">ad </w:t>
      </w:r>
      <w:r w:rsidR="008F2625" w:rsidRPr="007C73B5">
        <w:rPr>
          <w:rFonts w:ascii="Titillium" w:hAnsi="Titillium"/>
          <w:i/>
          <w:iCs/>
          <w:sz w:val="18"/>
          <w:szCs w:val="18"/>
        </w:rPr>
        <w:t>esempio la sottoscrizione del contratto</w:t>
      </w:r>
      <w:r w:rsidR="00C275B4" w:rsidRPr="007C73B5">
        <w:rPr>
          <w:rFonts w:ascii="Titillium" w:hAnsi="Titillium"/>
          <w:i/>
          <w:iCs/>
          <w:sz w:val="18"/>
          <w:szCs w:val="18"/>
        </w:rPr>
        <w:t xml:space="preserve"> </w:t>
      </w:r>
      <w:r w:rsidRPr="007C73B5">
        <w:rPr>
          <w:rFonts w:ascii="Titillium" w:hAnsi="Titillium"/>
          <w:i/>
          <w:iCs/>
          <w:sz w:val="18"/>
          <w:szCs w:val="18"/>
        </w:rPr>
        <w:t>o la sottoscrizione del verbale di consegna del servizio da parte del Direttore dell’esecuzione</w:t>
      </w:r>
      <w:r w:rsidR="00473B93" w:rsidRPr="007C73B5">
        <w:rPr>
          <w:rFonts w:ascii="Titillium" w:hAnsi="Titillium"/>
          <w:i/>
          <w:iCs/>
          <w:sz w:val="18"/>
          <w:szCs w:val="18"/>
        </w:rPr>
        <w:t>]</w:t>
      </w:r>
      <w:r w:rsidR="000A02DB" w:rsidRPr="000A02DB">
        <w:t xml:space="preserve"> </w:t>
      </w:r>
    </w:p>
    <w:p w14:paraId="2DBD29B7" w14:textId="28AE696D" w:rsidR="006842EE" w:rsidRDefault="00334C91">
      <w:pPr>
        <w:spacing w:before="120" w:after="60"/>
        <w:rPr>
          <w:rFonts w:ascii="Titillium" w:hAnsi="Titillium"/>
          <w:i/>
          <w:iCs/>
          <w:sz w:val="18"/>
          <w:szCs w:val="18"/>
        </w:rPr>
      </w:pPr>
      <w:bookmarkStart w:id="242" w:name="_Hlk207794555"/>
      <w:r>
        <w:rPr>
          <w:rFonts w:ascii="Titillium" w:hAnsi="Titillium"/>
          <w:i/>
          <w:iCs/>
          <w:sz w:val="18"/>
          <w:szCs w:val="18"/>
        </w:rPr>
        <w:t>[</w:t>
      </w:r>
      <w:r w:rsidR="008F2625" w:rsidRPr="00590159">
        <w:rPr>
          <w:rFonts w:ascii="Titillium" w:hAnsi="Titillium"/>
          <w:b/>
          <w:bCs/>
          <w:i/>
          <w:iCs/>
          <w:sz w:val="18"/>
          <w:szCs w:val="18"/>
        </w:rPr>
        <w:t>In caso di suddivisione dell’appalto in più lotti specificare eventuali durate differenziate per ciascun lotto</w:t>
      </w:r>
      <w:r>
        <w:rPr>
          <w:rFonts w:ascii="Titillium" w:hAnsi="Titillium"/>
          <w:iCs/>
          <w:sz w:val="18"/>
          <w:szCs w:val="18"/>
        </w:rPr>
        <w:t>]</w:t>
      </w:r>
    </w:p>
    <w:bookmarkEnd w:id="242"/>
    <w:p w14:paraId="4CF62CD1" w14:textId="2DA94EF5" w:rsidR="006842EE" w:rsidRPr="007C73B5" w:rsidRDefault="00992E04">
      <w:pPr>
        <w:spacing w:before="120" w:after="60"/>
        <w:rPr>
          <w:rFonts w:ascii="Titillium" w:hAnsi="Titillium"/>
          <w:sz w:val="18"/>
          <w:szCs w:val="18"/>
        </w:rPr>
      </w:pPr>
      <w:r w:rsidRPr="009B09B6">
        <w:rPr>
          <w:rFonts w:ascii="Titillium" w:hAnsi="Titillium"/>
          <w:b/>
          <w:bCs/>
          <w:i/>
          <w:iCs/>
          <w:sz w:val="18"/>
          <w:szCs w:val="18"/>
        </w:rPr>
        <w:t xml:space="preserve">[Nel caso in cui l’affidamento comprenda più </w:t>
      </w:r>
      <w:r w:rsidR="00A024BC" w:rsidRPr="009B09B6">
        <w:rPr>
          <w:rFonts w:ascii="Titillium" w:hAnsi="Titillium"/>
          <w:b/>
          <w:bCs/>
          <w:i/>
          <w:iCs/>
          <w:sz w:val="18"/>
          <w:szCs w:val="18"/>
        </w:rPr>
        <w:t>di</w:t>
      </w:r>
      <w:r w:rsidRPr="009B09B6">
        <w:rPr>
          <w:rFonts w:ascii="Titillium" w:hAnsi="Titillium"/>
          <w:b/>
          <w:bCs/>
          <w:i/>
          <w:iCs/>
          <w:sz w:val="18"/>
          <w:szCs w:val="18"/>
        </w:rPr>
        <w:t xml:space="preserve"> un servizio di </w:t>
      </w:r>
      <w:r w:rsidR="00A41978" w:rsidRPr="009B09B6">
        <w:rPr>
          <w:rFonts w:ascii="Titillium" w:hAnsi="Titillium"/>
          <w:b/>
          <w:bCs/>
          <w:i/>
          <w:iCs/>
          <w:sz w:val="18"/>
          <w:szCs w:val="18"/>
        </w:rPr>
        <w:t>progettazione]</w:t>
      </w:r>
      <w:r w:rsidR="00A41978" w:rsidRPr="007C73B5">
        <w:rPr>
          <w:rFonts w:ascii="Titillium" w:hAnsi="Titillium"/>
          <w:b/>
          <w:bCs/>
          <w:sz w:val="18"/>
          <w:szCs w:val="18"/>
        </w:rPr>
        <w:t xml:space="preserve"> </w:t>
      </w:r>
      <w:r w:rsidR="00A41978" w:rsidRPr="007C73B5">
        <w:rPr>
          <w:rFonts w:ascii="Titillium" w:hAnsi="Titillium"/>
          <w:sz w:val="18"/>
          <w:szCs w:val="18"/>
        </w:rPr>
        <w:t>Il</w:t>
      </w:r>
      <w:r w:rsidRPr="007C73B5">
        <w:rPr>
          <w:rFonts w:ascii="Titillium" w:hAnsi="Titillium"/>
          <w:sz w:val="18"/>
          <w:szCs w:val="18"/>
        </w:rPr>
        <w:t xml:space="preserve"> termine </w:t>
      </w:r>
      <w:r w:rsidR="007C73B5" w:rsidRPr="007C73B5">
        <w:rPr>
          <w:rFonts w:ascii="Titillium" w:hAnsi="Titillium"/>
          <w:sz w:val="18"/>
          <w:szCs w:val="18"/>
        </w:rPr>
        <w:t xml:space="preserve">globale </w:t>
      </w:r>
      <w:r w:rsidR="008F2625" w:rsidRPr="007C73B5">
        <w:rPr>
          <w:rFonts w:ascii="Titillium" w:hAnsi="Titillium"/>
          <w:sz w:val="18"/>
          <w:szCs w:val="18"/>
        </w:rPr>
        <w:t>massim</w:t>
      </w:r>
      <w:r w:rsidR="007E7BF2" w:rsidRPr="007C73B5">
        <w:rPr>
          <w:rFonts w:ascii="Titillium" w:hAnsi="Titillium"/>
          <w:sz w:val="18"/>
          <w:szCs w:val="18"/>
        </w:rPr>
        <w:t>o</w:t>
      </w:r>
      <w:r w:rsidR="008F2625" w:rsidRPr="007C73B5">
        <w:rPr>
          <w:rFonts w:ascii="Titillium" w:hAnsi="Titillium"/>
          <w:sz w:val="18"/>
          <w:szCs w:val="18"/>
        </w:rPr>
        <w:t xml:space="preserve"> </w:t>
      </w:r>
      <w:r w:rsidR="007E7BF2" w:rsidRPr="007C73B5">
        <w:rPr>
          <w:rFonts w:ascii="Titillium" w:hAnsi="Titillium"/>
          <w:sz w:val="18"/>
          <w:szCs w:val="18"/>
        </w:rPr>
        <w:t xml:space="preserve">per l’esecuzione </w:t>
      </w:r>
      <w:r w:rsidR="008F2625" w:rsidRPr="007C73B5">
        <w:rPr>
          <w:rFonts w:ascii="Titillium" w:hAnsi="Titillium"/>
          <w:sz w:val="18"/>
          <w:szCs w:val="18"/>
        </w:rPr>
        <w:t>dei servizi oggetto della presen</w:t>
      </w:r>
      <w:r w:rsidR="0086099C" w:rsidRPr="007C73B5">
        <w:rPr>
          <w:rFonts w:ascii="Titillium" w:hAnsi="Titillium"/>
          <w:sz w:val="18"/>
          <w:szCs w:val="18"/>
        </w:rPr>
        <w:t>te procedura è stabilit</w:t>
      </w:r>
      <w:r w:rsidR="007C73B5">
        <w:rPr>
          <w:rFonts w:ascii="Titillium" w:hAnsi="Titillium"/>
          <w:sz w:val="18"/>
          <w:szCs w:val="18"/>
        </w:rPr>
        <w:t>o</w:t>
      </w:r>
      <w:r w:rsidR="0086099C" w:rsidRPr="007C73B5">
        <w:rPr>
          <w:rFonts w:ascii="Titillium" w:hAnsi="Titillium"/>
          <w:sz w:val="18"/>
          <w:szCs w:val="18"/>
        </w:rPr>
        <w:t xml:space="preserve"> in …</w:t>
      </w:r>
      <w:r w:rsidR="008F2625" w:rsidRPr="007C73B5">
        <w:rPr>
          <w:rFonts w:ascii="Titillium" w:hAnsi="Titillium"/>
          <w:sz w:val="18"/>
          <w:szCs w:val="18"/>
        </w:rPr>
        <w:t>. [</w:t>
      </w:r>
      <w:r w:rsidR="008F2625" w:rsidRPr="007C73B5">
        <w:rPr>
          <w:rFonts w:ascii="Titillium" w:hAnsi="Titillium"/>
          <w:i/>
          <w:sz w:val="18"/>
          <w:szCs w:val="18"/>
        </w:rPr>
        <w:t>indicare i giorni</w:t>
      </w:r>
      <w:r w:rsidR="008F2625" w:rsidRPr="007C73B5">
        <w:rPr>
          <w:rFonts w:ascii="Titillium" w:hAnsi="Titillium"/>
          <w:sz w:val="18"/>
          <w:szCs w:val="18"/>
        </w:rPr>
        <w:t xml:space="preserve">] giorni naturali e consecutivi, distinti nelle singole fasi secondo la </w:t>
      </w:r>
      <w:r w:rsidR="007E7BF2" w:rsidRPr="007C73B5">
        <w:rPr>
          <w:rFonts w:ascii="Titillium" w:hAnsi="Titillium"/>
          <w:sz w:val="18"/>
          <w:szCs w:val="18"/>
        </w:rPr>
        <w:t xml:space="preserve">seguente </w:t>
      </w:r>
      <w:r w:rsidR="00A024BC" w:rsidRPr="007C73B5">
        <w:rPr>
          <w:rFonts w:ascii="Titillium" w:hAnsi="Titillium"/>
          <w:sz w:val="18"/>
          <w:szCs w:val="18"/>
        </w:rPr>
        <w:t>tabella:</w:t>
      </w:r>
    </w:p>
    <w:p w14:paraId="0AC66013" w14:textId="0D45C158" w:rsidR="006842EE" w:rsidRPr="007E7BF2" w:rsidRDefault="00A024BC">
      <w:pPr>
        <w:spacing w:before="120" w:after="60"/>
        <w:rPr>
          <w:rFonts w:ascii="Titillium" w:hAnsi="Titillium"/>
          <w:b/>
          <w:strike/>
          <w:sz w:val="18"/>
          <w:szCs w:val="18"/>
        </w:rPr>
      </w:pPr>
      <w:r w:rsidRPr="007C73B5">
        <w:rPr>
          <w:rFonts w:ascii="Titillium" w:hAnsi="Titillium"/>
          <w:b/>
          <w:sz w:val="18"/>
          <w:szCs w:val="18"/>
        </w:rPr>
        <w:t>Tabella Indicazione</w:t>
      </w:r>
      <w:r w:rsidR="008F2625" w:rsidRPr="007C73B5">
        <w:rPr>
          <w:rFonts w:ascii="Titillium" w:hAnsi="Titillium"/>
          <w:b/>
          <w:sz w:val="18"/>
          <w:szCs w:val="18"/>
        </w:rPr>
        <w:t xml:space="preserve"> del</w:t>
      </w:r>
      <w:r w:rsidR="007E7BF2" w:rsidRPr="007C73B5">
        <w:rPr>
          <w:rFonts w:ascii="Titillium" w:hAnsi="Titillium"/>
          <w:b/>
          <w:sz w:val="18"/>
          <w:szCs w:val="18"/>
        </w:rPr>
        <w:t xml:space="preserve"> termine </w:t>
      </w:r>
      <w:r w:rsidR="008F2625" w:rsidRPr="007C73B5">
        <w:rPr>
          <w:rFonts w:ascii="Titillium" w:hAnsi="Titillium"/>
          <w:b/>
          <w:sz w:val="18"/>
          <w:szCs w:val="18"/>
        </w:rPr>
        <w:t>massim</w:t>
      </w:r>
      <w:r w:rsidR="007E7BF2" w:rsidRPr="007C73B5">
        <w:rPr>
          <w:rFonts w:ascii="Titillium" w:hAnsi="Titillium"/>
          <w:b/>
          <w:sz w:val="18"/>
          <w:szCs w:val="18"/>
        </w:rPr>
        <w:t>o</w:t>
      </w:r>
      <w:r w:rsidR="008F2625" w:rsidRPr="007C73B5">
        <w:rPr>
          <w:rFonts w:ascii="Titillium" w:hAnsi="Titillium"/>
          <w:b/>
          <w:sz w:val="18"/>
          <w:szCs w:val="18"/>
        </w:rPr>
        <w:t xml:space="preserve"> </w:t>
      </w:r>
      <w:r w:rsidR="007E7BF2" w:rsidRPr="007C73B5">
        <w:rPr>
          <w:rFonts w:ascii="Titillium" w:hAnsi="Titillium"/>
          <w:b/>
          <w:sz w:val="18"/>
          <w:szCs w:val="18"/>
        </w:rPr>
        <w:t xml:space="preserve">per ciascuna prestazione richiesta </w:t>
      </w:r>
    </w:p>
    <w:tbl>
      <w:tblPr>
        <w:tblStyle w:val="Grigliatabella"/>
        <w:tblW w:w="9214" w:type="dxa"/>
        <w:tblLayout w:type="fixed"/>
        <w:tblLook w:val="04A0" w:firstRow="1" w:lastRow="0" w:firstColumn="1" w:lastColumn="0" w:noHBand="0" w:noVBand="1"/>
      </w:tblPr>
      <w:tblGrid>
        <w:gridCol w:w="4220"/>
        <w:gridCol w:w="2613"/>
        <w:gridCol w:w="2381"/>
      </w:tblGrid>
      <w:tr w:rsidR="006842EE" w14:paraId="2A4BC637" w14:textId="77777777">
        <w:tc>
          <w:tcPr>
            <w:tcW w:w="4220" w:type="dxa"/>
          </w:tcPr>
          <w:p w14:paraId="77606841" w14:textId="77777777" w:rsidR="006842EE" w:rsidRDefault="008F2625">
            <w:pPr>
              <w:widowControl w:val="0"/>
              <w:spacing w:before="120" w:after="60"/>
              <w:rPr>
                <w:rFonts w:ascii="Titillium" w:hAnsi="Titillium"/>
                <w:sz w:val="18"/>
                <w:szCs w:val="18"/>
              </w:rPr>
            </w:pPr>
            <w:r>
              <w:rPr>
                <w:rFonts w:ascii="Titillium" w:eastAsia="Calibri" w:hAnsi="Titillium" w:cs="Arial"/>
                <w:b/>
                <w:bCs/>
                <w:color w:val="000000"/>
                <w:sz w:val="18"/>
                <w:szCs w:val="18"/>
                <w:lang w:eastAsia="it-IT"/>
              </w:rPr>
              <w:t xml:space="preserve">Descrizione delle prestazioni </w:t>
            </w:r>
          </w:p>
        </w:tc>
        <w:tc>
          <w:tcPr>
            <w:tcW w:w="2613" w:type="dxa"/>
          </w:tcPr>
          <w:p w14:paraId="488C7E06" w14:textId="48CE2DBE" w:rsidR="006842EE" w:rsidRDefault="006842EE">
            <w:pPr>
              <w:widowControl w:val="0"/>
              <w:spacing w:before="120" w:after="60"/>
            </w:pPr>
          </w:p>
        </w:tc>
        <w:tc>
          <w:tcPr>
            <w:tcW w:w="2381" w:type="dxa"/>
          </w:tcPr>
          <w:p w14:paraId="50CB821F" w14:textId="77777777" w:rsidR="006842EE" w:rsidRDefault="008F2625">
            <w:pPr>
              <w:widowControl w:val="0"/>
              <w:spacing w:before="120" w:after="60"/>
              <w:rPr>
                <w:rFonts w:ascii="Titillium" w:hAnsi="Titillium"/>
                <w:sz w:val="18"/>
                <w:szCs w:val="18"/>
              </w:rPr>
            </w:pPr>
            <w:r>
              <w:rPr>
                <w:rFonts w:ascii="Titillium" w:eastAsia="Calibri" w:hAnsi="Titillium" w:cs="Arial"/>
                <w:b/>
                <w:bCs/>
                <w:color w:val="000000"/>
                <w:sz w:val="18"/>
                <w:szCs w:val="18"/>
                <w:lang w:eastAsia="it-IT"/>
              </w:rPr>
              <w:t xml:space="preserve">Durata massima </w:t>
            </w:r>
          </w:p>
        </w:tc>
      </w:tr>
      <w:tr w:rsidR="006842EE" w14:paraId="1A040BC4" w14:textId="77777777">
        <w:tc>
          <w:tcPr>
            <w:tcW w:w="4220" w:type="dxa"/>
          </w:tcPr>
          <w:p w14:paraId="08FC0694" w14:textId="423DACE0" w:rsidR="006842EE" w:rsidRDefault="008F2625">
            <w:pPr>
              <w:widowControl w:val="0"/>
              <w:spacing w:before="120" w:after="60"/>
              <w:rPr>
                <w:rFonts w:ascii="Titillium" w:hAnsi="Titillium"/>
                <w:sz w:val="18"/>
                <w:szCs w:val="18"/>
              </w:rPr>
            </w:pPr>
            <w:r>
              <w:rPr>
                <w:rFonts w:ascii="Titillium" w:eastAsia="Calibri" w:hAnsi="Titillium" w:cs="Arial"/>
                <w:i/>
                <w:iCs/>
                <w:color w:val="000000"/>
                <w:sz w:val="18"/>
                <w:szCs w:val="18"/>
                <w:lang w:eastAsia="it-IT"/>
              </w:rPr>
              <w:t xml:space="preserve">Indicare la prestazione, ad esempio, Progetto di Fattibilità Tecnica ed Economica (PFTE) </w:t>
            </w:r>
          </w:p>
        </w:tc>
        <w:tc>
          <w:tcPr>
            <w:tcW w:w="2613" w:type="dxa"/>
          </w:tcPr>
          <w:p w14:paraId="479500B5" w14:textId="2166211C" w:rsidR="006842EE" w:rsidRDefault="0086099C">
            <w:pPr>
              <w:widowControl w:val="0"/>
              <w:spacing w:before="120" w:after="60"/>
              <w:rPr>
                <w:rFonts w:ascii="Titillium" w:hAnsi="Titillium"/>
                <w:sz w:val="18"/>
                <w:szCs w:val="18"/>
              </w:rPr>
            </w:pPr>
            <w:r>
              <w:rPr>
                <w:rFonts w:ascii="Titillium" w:eastAsia="Calibri" w:hAnsi="Titillium" w:cs="Arial"/>
                <w:color w:val="000000"/>
                <w:sz w:val="18"/>
                <w:szCs w:val="18"/>
                <w:lang w:eastAsia="it-IT"/>
              </w:rPr>
              <w:t>………………</w:t>
            </w:r>
          </w:p>
        </w:tc>
        <w:tc>
          <w:tcPr>
            <w:tcW w:w="2381" w:type="dxa"/>
          </w:tcPr>
          <w:p w14:paraId="3A48E849" w14:textId="0B1A399D" w:rsidR="006842EE" w:rsidRPr="007C73B5" w:rsidRDefault="008F2625">
            <w:pPr>
              <w:widowControl w:val="0"/>
              <w:spacing w:before="120" w:after="60"/>
              <w:rPr>
                <w:rFonts w:ascii="Titillium" w:hAnsi="Titillium"/>
                <w:sz w:val="18"/>
                <w:szCs w:val="18"/>
              </w:rPr>
            </w:pPr>
            <w:r w:rsidRPr="007C73B5">
              <w:rPr>
                <w:rFonts w:ascii="Titillium" w:eastAsia="Calibri" w:hAnsi="Titillium" w:cs="Arial"/>
                <w:bCs/>
                <w:color w:val="000000"/>
                <w:sz w:val="18"/>
                <w:szCs w:val="18"/>
                <w:lang w:eastAsia="it-IT"/>
              </w:rPr>
              <w:t>…. giorni/</w:t>
            </w:r>
            <w:r w:rsidR="007E7BF2" w:rsidRPr="007C73B5">
              <w:rPr>
                <w:rFonts w:ascii="Titillium" w:eastAsia="Calibri" w:hAnsi="Titillium" w:cs="Arial"/>
                <w:bCs/>
                <w:color w:val="000000"/>
                <w:sz w:val="18"/>
                <w:szCs w:val="18"/>
                <w:lang w:eastAsia="it-IT"/>
              </w:rPr>
              <w:t>decorrenti da…</w:t>
            </w:r>
            <w:r w:rsidR="007E7BF2" w:rsidRPr="007C73B5">
              <w:rPr>
                <w:rFonts w:ascii="Titillium" w:eastAsia="Calibri" w:hAnsi="Titillium" w:cs="Arial"/>
                <w:bCs/>
                <w:strike/>
                <w:color w:val="000000"/>
                <w:sz w:val="18"/>
                <w:szCs w:val="18"/>
                <w:lang w:eastAsia="it-IT"/>
              </w:rPr>
              <w:t xml:space="preserve"> </w:t>
            </w:r>
          </w:p>
        </w:tc>
      </w:tr>
      <w:tr w:rsidR="006842EE" w14:paraId="53404756" w14:textId="77777777">
        <w:tc>
          <w:tcPr>
            <w:tcW w:w="4220" w:type="dxa"/>
          </w:tcPr>
          <w:p w14:paraId="2844307A" w14:textId="77777777" w:rsidR="006842EE" w:rsidRDefault="008F2625">
            <w:pPr>
              <w:widowControl w:val="0"/>
              <w:spacing w:before="120" w:after="60"/>
              <w:rPr>
                <w:rFonts w:ascii="Titillium" w:eastAsia="Calibri" w:hAnsi="Titillium" w:cs="Arial"/>
                <w:i/>
                <w:iCs/>
                <w:color w:val="000000"/>
                <w:sz w:val="18"/>
                <w:szCs w:val="18"/>
                <w:lang w:eastAsia="it-IT"/>
              </w:rPr>
            </w:pPr>
            <w:r>
              <w:rPr>
                <w:rFonts w:ascii="Titillium" w:eastAsia="Calibri" w:hAnsi="Titillium" w:cs="Arial"/>
                <w:i/>
                <w:iCs/>
                <w:color w:val="000000"/>
                <w:sz w:val="18"/>
                <w:szCs w:val="18"/>
                <w:lang w:eastAsia="it-IT"/>
              </w:rPr>
              <w:t>Indicare la prestazione, ad esempio, Progetto Esecutivo e Piano di Sicurezza</w:t>
            </w:r>
          </w:p>
        </w:tc>
        <w:tc>
          <w:tcPr>
            <w:tcW w:w="2613" w:type="dxa"/>
          </w:tcPr>
          <w:p w14:paraId="5B047CBB" w14:textId="3F8F5D8D" w:rsidR="006842EE" w:rsidRDefault="0086099C">
            <w:pPr>
              <w:widowControl w:val="0"/>
              <w:spacing w:before="120" w:after="60"/>
              <w:rPr>
                <w:rFonts w:ascii="Titillium" w:eastAsia="Calibri" w:hAnsi="Titillium" w:cs="Arial"/>
                <w:color w:val="000000"/>
                <w:sz w:val="18"/>
                <w:szCs w:val="18"/>
                <w:lang w:eastAsia="it-IT"/>
              </w:rPr>
            </w:pPr>
            <w:r>
              <w:rPr>
                <w:rFonts w:ascii="Titillium" w:eastAsia="Calibri" w:hAnsi="Titillium" w:cs="Arial"/>
                <w:color w:val="000000"/>
                <w:sz w:val="18"/>
                <w:szCs w:val="18"/>
                <w:lang w:eastAsia="it-IT"/>
              </w:rPr>
              <w:t>………………</w:t>
            </w:r>
          </w:p>
        </w:tc>
        <w:tc>
          <w:tcPr>
            <w:tcW w:w="2381" w:type="dxa"/>
          </w:tcPr>
          <w:p w14:paraId="5631E58D" w14:textId="7060BF7A" w:rsidR="006842EE" w:rsidRPr="007C73B5" w:rsidRDefault="008F2625">
            <w:pPr>
              <w:widowControl w:val="0"/>
              <w:spacing w:before="120" w:after="60"/>
              <w:rPr>
                <w:rFonts w:ascii="Titillium" w:eastAsia="Calibri" w:hAnsi="Titillium" w:cs="Arial"/>
                <w:bCs/>
                <w:color w:val="000000"/>
                <w:sz w:val="18"/>
                <w:szCs w:val="18"/>
                <w:lang w:eastAsia="it-IT"/>
              </w:rPr>
            </w:pPr>
            <w:r w:rsidRPr="007C73B5">
              <w:rPr>
                <w:rFonts w:ascii="Titillium" w:eastAsia="Calibri" w:hAnsi="Titillium" w:cs="Arial"/>
                <w:bCs/>
                <w:color w:val="000000"/>
                <w:sz w:val="18"/>
                <w:szCs w:val="18"/>
                <w:lang w:eastAsia="it-IT"/>
              </w:rPr>
              <w:t>…. giorni/</w:t>
            </w:r>
            <w:r w:rsidR="007E7BF2" w:rsidRPr="007C73B5">
              <w:rPr>
                <w:rFonts w:ascii="Titillium" w:eastAsia="Calibri" w:hAnsi="Titillium" w:cs="Arial"/>
                <w:bCs/>
                <w:color w:val="000000"/>
                <w:sz w:val="18"/>
                <w:szCs w:val="18"/>
                <w:lang w:eastAsia="it-IT"/>
              </w:rPr>
              <w:t>decorrenti da …</w:t>
            </w:r>
          </w:p>
        </w:tc>
      </w:tr>
    </w:tbl>
    <w:p w14:paraId="33B5DFF3" w14:textId="2A36BAD4" w:rsidR="00B96A43" w:rsidRPr="00FF0F52" w:rsidRDefault="00B96A43" w:rsidP="006571B6">
      <w:pPr>
        <w:spacing w:before="120" w:after="60"/>
        <w:rPr>
          <w:rFonts w:ascii="Titillium" w:eastAsiaTheme="majorEastAsia" w:hAnsi="Titillium" w:cstheme="minorHAnsi"/>
          <w:i/>
          <w:strike/>
          <w:color w:val="EE0000"/>
          <w:sz w:val="18"/>
          <w:szCs w:val="18"/>
          <w:highlight w:val="yellow"/>
        </w:rPr>
      </w:pPr>
    </w:p>
    <w:p w14:paraId="21EBCCB6" w14:textId="7920952D" w:rsidR="006842EE" w:rsidRPr="005A7469" w:rsidRDefault="008F2625">
      <w:pPr>
        <w:pStyle w:val="Titolo3"/>
        <w:numPr>
          <w:ilvl w:val="1"/>
          <w:numId w:val="3"/>
        </w:numPr>
        <w:spacing w:before="120"/>
        <w:ind w:left="426" w:hanging="426"/>
        <w:rPr>
          <w:rFonts w:ascii="Titillium" w:hAnsi="Titillium"/>
          <w:sz w:val="18"/>
          <w:szCs w:val="18"/>
          <w:lang w:val="it-IT"/>
        </w:rPr>
      </w:pPr>
      <w:bookmarkStart w:id="243" w:name="_Toc227921621"/>
      <w:r w:rsidRPr="005A7469">
        <w:rPr>
          <w:rFonts w:ascii="Titillium" w:hAnsi="Titillium"/>
          <w:sz w:val="18"/>
          <w:szCs w:val="18"/>
          <w:lang w:val="it-IT"/>
        </w:rPr>
        <w:t>MODIFICA DEL CONTRATTO IN FASE DI ESECUZIONE</w:t>
      </w:r>
      <w:bookmarkEnd w:id="243"/>
    </w:p>
    <w:p w14:paraId="6E193642" w14:textId="77777777" w:rsidR="006842EE" w:rsidRDefault="008F2625">
      <w:pPr>
        <w:spacing w:before="60" w:after="60"/>
        <w:rPr>
          <w:rFonts w:ascii="Titillium" w:hAnsi="Titillium" w:cs="Calibri"/>
          <w:b/>
          <w:i/>
          <w:iCs/>
          <w:sz w:val="18"/>
          <w:szCs w:val="18"/>
        </w:rPr>
      </w:pPr>
      <w:r w:rsidRPr="002C384E">
        <w:rPr>
          <w:rFonts w:ascii="Titillium" w:hAnsi="Titillium" w:cs="Calibri"/>
          <w:b/>
          <w:i/>
          <w:iCs/>
          <w:sz w:val="18"/>
          <w:szCs w:val="18"/>
        </w:rPr>
        <w:t xml:space="preserve">[In caso di suddivisione dell’appalto in più lotti specificare, per ciascuno di essi, le seguenti clausole] </w:t>
      </w:r>
    </w:p>
    <w:p w14:paraId="076E6114" w14:textId="77777777" w:rsidR="007F338B" w:rsidRDefault="007F338B">
      <w:pPr>
        <w:spacing w:before="60" w:after="60"/>
        <w:rPr>
          <w:rFonts w:ascii="Titillium" w:hAnsi="Titillium" w:cs="Calibri"/>
          <w:b/>
          <w:bCs/>
          <w:i/>
          <w:iCs/>
          <w:sz w:val="18"/>
          <w:szCs w:val="18"/>
        </w:rPr>
      </w:pPr>
    </w:p>
    <w:p w14:paraId="30CC11B3" w14:textId="1B7CE529" w:rsidR="006842EE" w:rsidRDefault="008F2625">
      <w:pPr>
        <w:spacing w:before="60" w:after="60"/>
        <w:rPr>
          <w:rFonts w:ascii="Titillium" w:hAnsi="Titillium" w:cs="Calibri"/>
          <w:i/>
          <w:iCs/>
          <w:sz w:val="18"/>
          <w:szCs w:val="18"/>
        </w:rPr>
      </w:pPr>
      <w:r>
        <w:rPr>
          <w:rFonts w:ascii="Titillium" w:hAnsi="Titillium" w:cs="Calibri"/>
          <w:b/>
          <w:bCs/>
          <w:i/>
          <w:iCs/>
          <w:sz w:val="18"/>
          <w:szCs w:val="18"/>
        </w:rPr>
        <w:t>[</w:t>
      </w:r>
      <w:r>
        <w:rPr>
          <w:rFonts w:ascii="Titillium" w:hAnsi="Titillium"/>
          <w:b/>
          <w:bCs/>
          <w:i/>
          <w:sz w:val="18"/>
          <w:szCs w:val="18"/>
        </w:rPr>
        <w:t xml:space="preserve">Facoltativo] </w:t>
      </w:r>
      <w:r w:rsidRPr="007F338B">
        <w:rPr>
          <w:rFonts w:ascii="Titillium" w:hAnsi="Titillium"/>
          <w:b/>
          <w:bCs/>
          <w:iCs/>
          <w:sz w:val="18"/>
          <w:szCs w:val="18"/>
        </w:rPr>
        <w:t>M</w:t>
      </w:r>
      <w:r w:rsidRPr="007F338B">
        <w:rPr>
          <w:rFonts w:ascii="Titillium" w:hAnsi="Titillium" w:cs="Calibri"/>
          <w:b/>
          <w:bCs/>
          <w:iCs/>
          <w:sz w:val="18"/>
          <w:szCs w:val="18"/>
        </w:rPr>
        <w:t>odifiche del contratto ai sensi dell’articolo 120, comma 1, lettera a) del Codice</w:t>
      </w:r>
      <w:r w:rsidRPr="002C0FEE">
        <w:rPr>
          <w:rFonts w:ascii="Titillium" w:hAnsi="Titillium" w:cs="Calibri"/>
          <w:b/>
          <w:bCs/>
          <w:i/>
          <w:sz w:val="18"/>
          <w:szCs w:val="18"/>
        </w:rPr>
        <w:t xml:space="preserve">: </w:t>
      </w:r>
      <w:r>
        <w:rPr>
          <w:rFonts w:ascii="Titillium" w:hAnsi="Titillium" w:cs="Calibri"/>
          <w:iCs/>
          <w:sz w:val="18"/>
          <w:szCs w:val="18"/>
        </w:rPr>
        <w:t>la stazione appaltante si riserva di modificare</w:t>
      </w:r>
      <w:r>
        <w:rPr>
          <w:rFonts w:ascii="Titillium" w:hAnsi="Titillium" w:cs="Calibri"/>
          <w:b/>
          <w:bCs/>
          <w:iCs/>
          <w:sz w:val="18"/>
          <w:szCs w:val="18"/>
        </w:rPr>
        <w:t xml:space="preserve"> i</w:t>
      </w:r>
      <w:r>
        <w:rPr>
          <w:rFonts w:ascii="Titillium" w:hAnsi="Titillium" w:cs="Calibri"/>
          <w:iCs/>
          <w:sz w:val="18"/>
          <w:szCs w:val="18"/>
        </w:rPr>
        <w:t xml:space="preserve">l contratto in corso di esecuzione, nei seguenti casi: … </w:t>
      </w:r>
      <w:r>
        <w:rPr>
          <w:rFonts w:ascii="Titillium" w:hAnsi="Titillium" w:cs="Calibri"/>
          <w:i/>
          <w:sz w:val="18"/>
          <w:szCs w:val="18"/>
        </w:rPr>
        <w:t>[indicare</w:t>
      </w:r>
      <w:r>
        <w:rPr>
          <w:rFonts w:ascii="Titillium" w:hAnsi="Titillium" w:cs="Calibri"/>
          <w:i/>
          <w:iCs/>
          <w:sz w:val="18"/>
          <w:szCs w:val="18"/>
        </w:rPr>
        <w:t xml:space="preserve"> </w:t>
      </w:r>
      <w:bookmarkStart w:id="244" w:name="_Hlk127471187"/>
      <w:r>
        <w:rPr>
          <w:rFonts w:ascii="Titillium" w:hAnsi="Titillium" w:cs="Calibri"/>
          <w:i/>
          <w:iCs/>
          <w:sz w:val="18"/>
          <w:szCs w:val="18"/>
        </w:rPr>
        <w:t>in modo chiaro, preciso ed inequivocabile</w:t>
      </w:r>
      <w:bookmarkEnd w:id="244"/>
      <w:r>
        <w:rPr>
          <w:rFonts w:ascii="Titillium" w:hAnsi="Titillium" w:cs="Calibri"/>
          <w:i/>
          <w:iCs/>
          <w:sz w:val="18"/>
          <w:szCs w:val="18"/>
        </w:rPr>
        <w:t xml:space="preserve">, la portata e la natura delle modifiche contrattuali, nonché le condizioni alle quali esse possono essere effettuate. </w:t>
      </w:r>
      <w:r w:rsidRPr="0074726F">
        <w:rPr>
          <w:rFonts w:ascii="Titillium" w:hAnsi="Titillium" w:cs="Calibri"/>
          <w:i/>
          <w:iCs/>
          <w:sz w:val="18"/>
          <w:szCs w:val="18"/>
        </w:rPr>
        <w:t>Dettagliare altresì, in una specifica tabella, il corrispettivo previsto per le prestazioni aggiuntive</w:t>
      </w:r>
      <w:r w:rsidR="001C6EF1">
        <w:rPr>
          <w:rFonts w:ascii="Titillium" w:hAnsi="Titillium" w:cs="Calibri"/>
          <w:i/>
          <w:iCs/>
          <w:sz w:val="18"/>
          <w:szCs w:val="18"/>
        </w:rPr>
        <w:t>]</w:t>
      </w:r>
      <w:r w:rsidR="00613827">
        <w:rPr>
          <w:rFonts w:ascii="Titillium" w:hAnsi="Titillium" w:cs="Calibri"/>
          <w:i/>
          <w:iCs/>
          <w:sz w:val="18"/>
          <w:szCs w:val="18"/>
        </w:rPr>
        <w:t>.</w:t>
      </w:r>
    </w:p>
    <w:p w14:paraId="6D02EE2C" w14:textId="77777777" w:rsidR="00BA597D" w:rsidRDefault="00BA597D" w:rsidP="00BA597D">
      <w:pPr>
        <w:widowControl w:val="0"/>
        <w:spacing w:before="60" w:after="60"/>
        <w:rPr>
          <w:rFonts w:ascii="Titillium" w:hAnsi="Titillium" w:cs="Calibri"/>
          <w:i/>
          <w:sz w:val="18"/>
          <w:szCs w:val="18"/>
        </w:rPr>
      </w:pPr>
    </w:p>
    <w:p w14:paraId="48DF3E62" w14:textId="3CB2AFA2" w:rsidR="00BA597D" w:rsidRPr="00672430" w:rsidRDefault="00BA597D" w:rsidP="00BA597D">
      <w:pPr>
        <w:widowControl w:val="0"/>
        <w:spacing w:before="60" w:after="60"/>
        <w:rPr>
          <w:rFonts w:ascii="Titillium" w:hAnsi="Titillium" w:cs="Calibri"/>
          <w:iCs/>
          <w:sz w:val="18"/>
          <w:szCs w:val="18"/>
        </w:rPr>
      </w:pPr>
      <w:r w:rsidRPr="000B0E59">
        <w:rPr>
          <w:rFonts w:ascii="Titillium" w:hAnsi="Titillium" w:cs="Calibri"/>
          <w:b/>
          <w:bCs/>
          <w:i/>
          <w:sz w:val="18"/>
          <w:szCs w:val="18"/>
        </w:rPr>
        <w:t>[</w:t>
      </w:r>
      <w:r w:rsidR="00A35B47" w:rsidRPr="000B0E59">
        <w:rPr>
          <w:rFonts w:ascii="Titillium" w:hAnsi="Titillium" w:cs="Calibri"/>
          <w:b/>
          <w:bCs/>
          <w:i/>
          <w:sz w:val="18"/>
          <w:szCs w:val="18"/>
        </w:rPr>
        <w:t>Facoltativo</w:t>
      </w:r>
      <w:r w:rsidR="007F338B" w:rsidRPr="000B0E59">
        <w:rPr>
          <w:rFonts w:ascii="Titillium" w:hAnsi="Titillium" w:cs="Calibri"/>
          <w:b/>
          <w:bCs/>
          <w:i/>
          <w:sz w:val="18"/>
          <w:szCs w:val="18"/>
        </w:rPr>
        <w:t xml:space="preserve">] </w:t>
      </w:r>
      <w:r w:rsidR="007F338B" w:rsidRPr="000B0E59">
        <w:rPr>
          <w:rFonts w:ascii="Titillium" w:hAnsi="Titillium" w:cs="Calibri"/>
          <w:b/>
          <w:bCs/>
          <w:iCs/>
          <w:sz w:val="18"/>
          <w:szCs w:val="18"/>
        </w:rPr>
        <w:t>I</w:t>
      </w:r>
      <w:r w:rsidR="00A35B47" w:rsidRPr="000B0E59">
        <w:rPr>
          <w:rFonts w:ascii="Titillium" w:hAnsi="Titillium" w:cs="Calibri"/>
          <w:b/>
          <w:bCs/>
          <w:iCs/>
          <w:sz w:val="18"/>
          <w:szCs w:val="18"/>
        </w:rPr>
        <w:t>n</w:t>
      </w:r>
      <w:r w:rsidRPr="000B0E59">
        <w:rPr>
          <w:rFonts w:ascii="Titillium" w:hAnsi="Titillium" w:cs="Calibri"/>
          <w:b/>
          <w:bCs/>
          <w:iCs/>
          <w:sz w:val="18"/>
          <w:szCs w:val="18"/>
        </w:rPr>
        <w:t xml:space="preserve"> caso </w:t>
      </w:r>
      <w:r w:rsidR="00334C91" w:rsidRPr="000B0E59">
        <w:rPr>
          <w:rFonts w:ascii="Titillium" w:hAnsi="Titillium" w:cs="Calibri"/>
          <w:b/>
          <w:bCs/>
          <w:iCs/>
          <w:sz w:val="18"/>
          <w:szCs w:val="18"/>
        </w:rPr>
        <w:t xml:space="preserve">di </w:t>
      </w:r>
      <w:r w:rsidRPr="000B0E59">
        <w:rPr>
          <w:rFonts w:ascii="Titillium" w:hAnsi="Titillium" w:cs="Calibri"/>
          <w:b/>
          <w:bCs/>
          <w:iCs/>
          <w:sz w:val="18"/>
          <w:szCs w:val="18"/>
        </w:rPr>
        <w:t xml:space="preserve">affidamento opzionale della </w:t>
      </w:r>
      <w:r w:rsidR="00AB29E9" w:rsidRPr="000B0E59">
        <w:rPr>
          <w:rFonts w:ascii="Titillium" w:hAnsi="Titillium" w:cs="Calibri"/>
          <w:b/>
          <w:bCs/>
          <w:iCs/>
          <w:sz w:val="18"/>
          <w:szCs w:val="18"/>
        </w:rPr>
        <w:t>Direzione lavori</w:t>
      </w:r>
      <w:r w:rsidRPr="000B0E59">
        <w:rPr>
          <w:rFonts w:ascii="Titillium" w:hAnsi="Titillium" w:cs="Calibri"/>
          <w:b/>
          <w:bCs/>
          <w:iCs/>
          <w:sz w:val="18"/>
          <w:szCs w:val="18"/>
        </w:rPr>
        <w:t xml:space="preserve"> e/o del </w:t>
      </w:r>
      <w:r w:rsidR="00AB29E9" w:rsidRPr="000B0E59">
        <w:rPr>
          <w:rFonts w:ascii="Titillium" w:hAnsi="Titillium" w:cs="Calibri"/>
          <w:b/>
          <w:bCs/>
          <w:iCs/>
          <w:sz w:val="18"/>
          <w:szCs w:val="18"/>
        </w:rPr>
        <w:t>Coordinamento per la salute e la sicurezza</w:t>
      </w:r>
      <w:r w:rsidR="00A41978" w:rsidRPr="000B0E59">
        <w:rPr>
          <w:rFonts w:ascii="Titillium" w:hAnsi="Titillium" w:cs="Calibri"/>
          <w:i/>
          <w:sz w:val="18"/>
          <w:szCs w:val="18"/>
        </w:rPr>
        <w:t>:</w:t>
      </w:r>
      <w:r w:rsidR="00F77149" w:rsidRPr="000B0E59">
        <w:rPr>
          <w:rFonts w:ascii="Titillium" w:hAnsi="Titillium" w:cs="Calibri"/>
          <w:i/>
          <w:sz w:val="18"/>
          <w:szCs w:val="18"/>
        </w:rPr>
        <w:t xml:space="preserve"> </w:t>
      </w:r>
      <w:r w:rsidR="00F77149" w:rsidRPr="000B0E59">
        <w:rPr>
          <w:rFonts w:ascii="Titillium" w:hAnsi="Titillium" w:cs="Calibri"/>
          <w:iCs/>
          <w:sz w:val="18"/>
          <w:szCs w:val="18"/>
        </w:rPr>
        <w:t>Fino al</w:t>
      </w:r>
      <w:r w:rsidR="00672430" w:rsidRPr="000B0E59">
        <w:rPr>
          <w:rFonts w:ascii="Titillium" w:hAnsi="Titillium" w:cs="Calibri"/>
          <w:iCs/>
          <w:sz w:val="18"/>
          <w:szCs w:val="18"/>
        </w:rPr>
        <w:t xml:space="preserve">l’approvazione </w:t>
      </w:r>
      <w:r w:rsidR="00F77149" w:rsidRPr="000B0E59">
        <w:rPr>
          <w:rFonts w:ascii="Titillium" w:hAnsi="Titillium" w:cs="Calibri"/>
          <w:iCs/>
          <w:sz w:val="18"/>
          <w:szCs w:val="18"/>
        </w:rPr>
        <w:t>della progettazione l</w:t>
      </w:r>
      <w:r w:rsidRPr="000B0E59">
        <w:rPr>
          <w:rFonts w:ascii="Titillium" w:hAnsi="Titillium" w:cs="Calibri"/>
          <w:iCs/>
          <w:sz w:val="18"/>
          <w:szCs w:val="18"/>
        </w:rPr>
        <w:t xml:space="preserve">a stazione appaltante si </w:t>
      </w:r>
      <w:r w:rsidR="00AB29E9" w:rsidRPr="000B0E59">
        <w:rPr>
          <w:rFonts w:ascii="Titillium" w:hAnsi="Titillium" w:cs="Calibri"/>
          <w:iCs/>
          <w:sz w:val="18"/>
          <w:szCs w:val="18"/>
        </w:rPr>
        <w:t>riserva di</w:t>
      </w:r>
      <w:r w:rsidRPr="000B0E59">
        <w:rPr>
          <w:rFonts w:ascii="Titillium" w:hAnsi="Titillium" w:cs="Calibri"/>
          <w:iCs/>
          <w:sz w:val="18"/>
          <w:szCs w:val="18"/>
        </w:rPr>
        <w:t xml:space="preserve"> affidare </w:t>
      </w:r>
      <w:r w:rsidR="00AB29E9" w:rsidRPr="000B0E59">
        <w:rPr>
          <w:rFonts w:ascii="Titillium" w:hAnsi="Titillium" w:cs="Calibri"/>
          <w:iCs/>
          <w:sz w:val="18"/>
          <w:szCs w:val="18"/>
        </w:rPr>
        <w:t>all’aggiudicatario,</w:t>
      </w:r>
      <w:r w:rsidR="00070493" w:rsidRPr="000B0E59">
        <w:rPr>
          <w:rFonts w:ascii="Titillium" w:hAnsi="Titillium" w:cs="Calibri"/>
          <w:iCs/>
          <w:sz w:val="18"/>
          <w:szCs w:val="18"/>
        </w:rPr>
        <w:t xml:space="preserve"> in possesso dei relativi requisiti, le</w:t>
      </w:r>
      <w:r w:rsidR="005155AC" w:rsidRPr="000B0E59">
        <w:rPr>
          <w:rFonts w:ascii="Titillium" w:hAnsi="Titillium" w:cs="Calibri"/>
          <w:iCs/>
          <w:sz w:val="18"/>
          <w:szCs w:val="18"/>
        </w:rPr>
        <w:t xml:space="preserve"> </w:t>
      </w:r>
      <w:r w:rsidRPr="000B0E59">
        <w:rPr>
          <w:rFonts w:ascii="Titillium" w:hAnsi="Titillium" w:cs="Calibri"/>
          <w:iCs/>
          <w:sz w:val="18"/>
          <w:szCs w:val="18"/>
        </w:rPr>
        <w:t>attività</w:t>
      </w:r>
      <w:r w:rsidRPr="00672430">
        <w:rPr>
          <w:rFonts w:ascii="Titillium" w:hAnsi="Titillium" w:cs="Calibri"/>
          <w:iCs/>
          <w:sz w:val="18"/>
          <w:szCs w:val="18"/>
        </w:rPr>
        <w:t xml:space="preserve"> di </w:t>
      </w:r>
      <w:r w:rsidR="00AB29E9" w:rsidRPr="00672430">
        <w:rPr>
          <w:rFonts w:ascii="Titillium" w:hAnsi="Titillium" w:cs="Calibri"/>
          <w:iCs/>
          <w:sz w:val="18"/>
          <w:szCs w:val="18"/>
        </w:rPr>
        <w:t xml:space="preserve">Direzione </w:t>
      </w:r>
      <w:r w:rsidR="00F17B76" w:rsidRPr="00672430">
        <w:rPr>
          <w:rFonts w:ascii="Titillium" w:hAnsi="Titillium" w:cs="Calibri"/>
          <w:iCs/>
          <w:sz w:val="18"/>
          <w:szCs w:val="18"/>
        </w:rPr>
        <w:t>l</w:t>
      </w:r>
      <w:r w:rsidR="00AB29E9" w:rsidRPr="00672430">
        <w:rPr>
          <w:rFonts w:ascii="Titillium" w:hAnsi="Titillium" w:cs="Calibri"/>
          <w:iCs/>
          <w:sz w:val="18"/>
          <w:szCs w:val="18"/>
        </w:rPr>
        <w:t xml:space="preserve">avori </w:t>
      </w:r>
      <w:r w:rsidRPr="00672430">
        <w:rPr>
          <w:rFonts w:ascii="Titillium" w:hAnsi="Titillium" w:cs="Calibri"/>
          <w:iCs/>
          <w:sz w:val="18"/>
          <w:szCs w:val="18"/>
        </w:rPr>
        <w:t>e/</w:t>
      </w:r>
      <w:r w:rsidR="005155AC" w:rsidRPr="00672430">
        <w:rPr>
          <w:rFonts w:ascii="Titillium" w:hAnsi="Titillium" w:cs="Calibri"/>
          <w:iCs/>
          <w:sz w:val="18"/>
          <w:szCs w:val="18"/>
        </w:rPr>
        <w:t xml:space="preserve">o </w:t>
      </w:r>
      <w:r w:rsidR="00AB29E9" w:rsidRPr="00672430">
        <w:rPr>
          <w:rFonts w:ascii="Titillium" w:hAnsi="Titillium" w:cs="Calibri"/>
          <w:iCs/>
          <w:sz w:val="18"/>
          <w:szCs w:val="18"/>
        </w:rPr>
        <w:t>il Coordinamento per la salute e la sicurezza</w:t>
      </w:r>
      <w:r w:rsidR="005155AC" w:rsidRPr="00672430">
        <w:rPr>
          <w:rFonts w:ascii="Titillium" w:hAnsi="Titillium" w:cs="Calibri"/>
          <w:iCs/>
          <w:sz w:val="18"/>
          <w:szCs w:val="18"/>
        </w:rPr>
        <w:t xml:space="preserve">, </w:t>
      </w:r>
      <w:r w:rsidR="00AB29E9" w:rsidRPr="00672430">
        <w:rPr>
          <w:rFonts w:ascii="Titillium" w:hAnsi="Titillium" w:cs="Calibri"/>
          <w:iCs/>
          <w:sz w:val="18"/>
          <w:szCs w:val="18"/>
        </w:rPr>
        <w:t>così</w:t>
      </w:r>
      <w:r w:rsidR="005155AC" w:rsidRPr="00672430">
        <w:rPr>
          <w:rFonts w:ascii="Titillium" w:hAnsi="Titillium" w:cs="Calibri"/>
          <w:iCs/>
          <w:sz w:val="18"/>
          <w:szCs w:val="18"/>
        </w:rPr>
        <w:t xml:space="preserve"> come descritte nel capitolato </w:t>
      </w:r>
      <w:r w:rsidR="007F338B" w:rsidRPr="00672430">
        <w:rPr>
          <w:rFonts w:ascii="Titillium" w:hAnsi="Titillium" w:cs="Calibri"/>
          <w:i/>
          <w:sz w:val="18"/>
          <w:szCs w:val="18"/>
        </w:rPr>
        <w:t>[</w:t>
      </w:r>
      <w:r w:rsidR="005155AC" w:rsidRPr="00672430">
        <w:rPr>
          <w:rFonts w:ascii="Titillium" w:hAnsi="Titillium" w:cs="Calibri"/>
          <w:i/>
          <w:sz w:val="18"/>
          <w:szCs w:val="18"/>
        </w:rPr>
        <w:t>indicare in modo chiaro e puntuale le prestazioni</w:t>
      </w:r>
      <w:r w:rsidR="007F338B" w:rsidRPr="00672430">
        <w:rPr>
          <w:rFonts w:ascii="Titillium" w:hAnsi="Titillium" w:cs="Calibri"/>
          <w:i/>
          <w:sz w:val="18"/>
          <w:szCs w:val="18"/>
        </w:rPr>
        <w:t>]</w:t>
      </w:r>
      <w:r w:rsidR="005155AC" w:rsidRPr="00672430">
        <w:rPr>
          <w:rFonts w:ascii="Titillium" w:hAnsi="Titillium" w:cs="Calibri"/>
          <w:i/>
          <w:sz w:val="18"/>
          <w:szCs w:val="18"/>
        </w:rPr>
        <w:t xml:space="preserve">. </w:t>
      </w:r>
      <w:r w:rsidR="005155AC" w:rsidRPr="00672430">
        <w:rPr>
          <w:rFonts w:ascii="Titillium" w:hAnsi="Titillium" w:cs="Calibri"/>
          <w:iCs/>
          <w:sz w:val="18"/>
          <w:szCs w:val="18"/>
        </w:rPr>
        <w:t xml:space="preserve">Al corrispettivo calcolato </w:t>
      </w:r>
      <w:r w:rsidRPr="00672430">
        <w:rPr>
          <w:rFonts w:ascii="Titillium" w:hAnsi="Titillium" w:cs="Calibri"/>
          <w:iCs/>
          <w:sz w:val="18"/>
          <w:szCs w:val="18"/>
        </w:rPr>
        <w:t xml:space="preserve">sulla base </w:t>
      </w:r>
      <w:r w:rsidR="00AB29E9" w:rsidRPr="00672430">
        <w:rPr>
          <w:rFonts w:ascii="Titillium" w:hAnsi="Titillium" w:cs="Calibri"/>
          <w:iCs/>
          <w:sz w:val="18"/>
          <w:szCs w:val="18"/>
        </w:rPr>
        <w:t>dell’Allegato I.13 del Codice</w:t>
      </w:r>
      <w:r w:rsidR="005155AC" w:rsidRPr="00672430">
        <w:rPr>
          <w:rFonts w:ascii="Titillium" w:hAnsi="Titillium" w:cs="Calibri"/>
          <w:iCs/>
          <w:sz w:val="18"/>
          <w:szCs w:val="18"/>
        </w:rPr>
        <w:t xml:space="preserve"> e pari ad euro </w:t>
      </w:r>
      <w:r w:rsidR="00AB29E9" w:rsidRPr="00672430">
        <w:rPr>
          <w:rFonts w:ascii="Titillium" w:hAnsi="Titillium" w:cs="Calibri"/>
          <w:iCs/>
          <w:sz w:val="18"/>
          <w:szCs w:val="18"/>
        </w:rPr>
        <w:t xml:space="preserve">… </w:t>
      </w:r>
      <w:r w:rsidRPr="00672430">
        <w:rPr>
          <w:rFonts w:ascii="Titillium" w:hAnsi="Titillium" w:cs="Calibri"/>
          <w:iCs/>
          <w:sz w:val="18"/>
          <w:szCs w:val="18"/>
        </w:rPr>
        <w:t>sarà applicato il ribasso offerto dall’operatore economico in fase di gara.</w:t>
      </w:r>
    </w:p>
    <w:p w14:paraId="506FAA5D" w14:textId="217008ED" w:rsidR="005155AC" w:rsidRPr="00A51497" w:rsidRDefault="00CA3C17" w:rsidP="00BA597D">
      <w:pPr>
        <w:widowControl w:val="0"/>
        <w:spacing w:before="60" w:after="60"/>
        <w:rPr>
          <w:rFonts w:ascii="Titillium" w:hAnsi="Titillium" w:cs="Calibri"/>
          <w:b/>
          <w:bCs/>
          <w:i/>
          <w:sz w:val="18"/>
          <w:szCs w:val="18"/>
        </w:rPr>
      </w:pPr>
      <w:r w:rsidRPr="00A51497">
        <w:rPr>
          <w:rFonts w:ascii="Titillium" w:hAnsi="Titillium" w:cs="Calibri"/>
          <w:b/>
          <w:bCs/>
          <w:i/>
          <w:sz w:val="18"/>
          <w:szCs w:val="18"/>
        </w:rPr>
        <w:t xml:space="preserve">in alternativa  </w:t>
      </w:r>
    </w:p>
    <w:p w14:paraId="136F564D" w14:textId="2C7AB73D" w:rsidR="003C0D13" w:rsidRDefault="005155AC">
      <w:pPr>
        <w:spacing w:before="60" w:after="60"/>
        <w:rPr>
          <w:rFonts w:ascii="Titillium" w:hAnsi="Titillium" w:cs="Calibri"/>
          <w:iCs/>
          <w:sz w:val="18"/>
          <w:szCs w:val="18"/>
        </w:rPr>
      </w:pPr>
      <w:r w:rsidRPr="003C0D13">
        <w:rPr>
          <w:rFonts w:ascii="Titillium" w:hAnsi="Titillium" w:cs="Calibri"/>
          <w:b/>
          <w:bCs/>
          <w:i/>
          <w:sz w:val="18"/>
          <w:szCs w:val="18"/>
        </w:rPr>
        <w:t>[</w:t>
      </w:r>
      <w:r w:rsidR="00AB29E9" w:rsidRPr="00672430">
        <w:rPr>
          <w:rFonts w:ascii="Titillium" w:hAnsi="Titillium" w:cs="Calibri"/>
          <w:b/>
          <w:bCs/>
          <w:i/>
          <w:sz w:val="18"/>
          <w:szCs w:val="18"/>
        </w:rPr>
        <w:t xml:space="preserve">Facoltativo] </w:t>
      </w:r>
      <w:r w:rsidR="00AB29E9" w:rsidRPr="00672430">
        <w:rPr>
          <w:rFonts w:ascii="Titillium" w:hAnsi="Titillium" w:cs="Calibri"/>
          <w:b/>
          <w:bCs/>
          <w:iCs/>
          <w:sz w:val="18"/>
          <w:szCs w:val="18"/>
        </w:rPr>
        <w:t>In</w:t>
      </w:r>
      <w:r w:rsidRPr="00672430">
        <w:rPr>
          <w:rFonts w:ascii="Titillium" w:hAnsi="Titillium" w:cs="Calibri"/>
          <w:b/>
          <w:bCs/>
          <w:iCs/>
          <w:sz w:val="18"/>
          <w:szCs w:val="18"/>
        </w:rPr>
        <w:t xml:space="preserve"> caso di affidamento</w:t>
      </w:r>
      <w:r w:rsidR="0030058E" w:rsidRPr="00672430">
        <w:rPr>
          <w:rFonts w:ascii="Titillium" w:hAnsi="Titillium" w:cs="Calibri"/>
          <w:b/>
          <w:bCs/>
          <w:iCs/>
          <w:sz w:val="18"/>
          <w:szCs w:val="18"/>
        </w:rPr>
        <w:t xml:space="preserve"> </w:t>
      </w:r>
      <w:r w:rsidRPr="00672430">
        <w:rPr>
          <w:rFonts w:ascii="Titillium" w:hAnsi="Titillium" w:cs="Calibri"/>
          <w:b/>
          <w:bCs/>
          <w:iCs/>
          <w:sz w:val="18"/>
          <w:szCs w:val="18"/>
        </w:rPr>
        <w:t xml:space="preserve">della </w:t>
      </w:r>
      <w:r w:rsidR="00AB29E9" w:rsidRPr="00672430">
        <w:rPr>
          <w:rFonts w:ascii="Titillium" w:hAnsi="Titillium" w:cs="Calibri"/>
          <w:b/>
          <w:bCs/>
          <w:iCs/>
          <w:sz w:val="18"/>
          <w:szCs w:val="18"/>
        </w:rPr>
        <w:t>Direzione lavori e/o del Coordinamento per la salute e la sicurezza ai</w:t>
      </w:r>
      <w:r w:rsidR="00F77149" w:rsidRPr="00672430">
        <w:rPr>
          <w:rFonts w:ascii="Titillium" w:hAnsi="Titillium" w:cs="Calibri"/>
          <w:b/>
          <w:bCs/>
          <w:iCs/>
          <w:sz w:val="18"/>
          <w:szCs w:val="18"/>
        </w:rPr>
        <w:t xml:space="preserve"> sensi </w:t>
      </w:r>
      <w:r w:rsidRPr="00672430">
        <w:rPr>
          <w:rFonts w:ascii="Titillium" w:hAnsi="Titillium" w:cs="Calibri"/>
          <w:b/>
          <w:bCs/>
          <w:iCs/>
          <w:sz w:val="18"/>
          <w:szCs w:val="18"/>
        </w:rPr>
        <w:t>all’arti</w:t>
      </w:r>
      <w:r w:rsidR="00AB29E9" w:rsidRPr="00672430">
        <w:rPr>
          <w:rFonts w:ascii="Titillium" w:hAnsi="Titillium" w:cs="Calibri"/>
          <w:b/>
          <w:bCs/>
          <w:iCs/>
          <w:sz w:val="18"/>
          <w:szCs w:val="18"/>
        </w:rPr>
        <w:t>colo</w:t>
      </w:r>
      <w:r w:rsidRPr="00672430">
        <w:rPr>
          <w:rFonts w:ascii="Titillium" w:hAnsi="Titillium" w:cs="Calibri"/>
          <w:b/>
          <w:bCs/>
          <w:iCs/>
          <w:sz w:val="18"/>
          <w:szCs w:val="18"/>
        </w:rPr>
        <w:t xml:space="preserve"> 76, comma 6, del Codice</w:t>
      </w:r>
      <w:r w:rsidRPr="00672430">
        <w:rPr>
          <w:rFonts w:ascii="Titillium" w:hAnsi="Titillium" w:cs="Calibri"/>
          <w:b/>
          <w:bCs/>
          <w:i/>
          <w:sz w:val="18"/>
          <w:szCs w:val="18"/>
        </w:rPr>
        <w:t>:</w:t>
      </w:r>
      <w:r w:rsidRPr="00672430">
        <w:rPr>
          <w:rFonts w:ascii="Titillium" w:hAnsi="Titillium" w:cs="Calibri"/>
          <w:i/>
          <w:sz w:val="18"/>
          <w:szCs w:val="18"/>
        </w:rPr>
        <w:t xml:space="preserve"> </w:t>
      </w:r>
      <w:r w:rsidR="00AB29E9" w:rsidRPr="00672430">
        <w:rPr>
          <w:rFonts w:ascii="Titillium" w:hAnsi="Titillium" w:cs="Calibri"/>
          <w:iCs/>
          <w:sz w:val="18"/>
          <w:szCs w:val="18"/>
        </w:rPr>
        <w:t>Entro …</w:t>
      </w:r>
      <w:r w:rsidRPr="00672430">
        <w:rPr>
          <w:rFonts w:ascii="Titillium" w:hAnsi="Titillium" w:cs="Calibri"/>
          <w:i/>
          <w:sz w:val="18"/>
          <w:szCs w:val="18"/>
        </w:rPr>
        <w:t xml:space="preserve"> [indicare il termine, che comunque non può superare il triennio successivo alla stipula del contratto originale], </w:t>
      </w:r>
      <w:r w:rsidRPr="00672430">
        <w:rPr>
          <w:rFonts w:ascii="Titillium" w:hAnsi="Titillium" w:cs="Calibri"/>
          <w:iCs/>
          <w:sz w:val="18"/>
          <w:szCs w:val="18"/>
        </w:rPr>
        <w:t>la stazione appaltante si riserva la facoltà di affidare all’aggiudicatario</w:t>
      </w:r>
      <w:r w:rsidR="009F765A" w:rsidRPr="00672430">
        <w:rPr>
          <w:rFonts w:ascii="Titillium" w:hAnsi="Titillium" w:cs="Calibri"/>
          <w:iCs/>
          <w:sz w:val="18"/>
          <w:szCs w:val="18"/>
        </w:rPr>
        <w:t>, in possesso dei relativi requisiti,</w:t>
      </w:r>
      <w:r w:rsidRPr="00672430">
        <w:rPr>
          <w:rFonts w:ascii="Titillium" w:hAnsi="Titillium" w:cs="Calibri"/>
          <w:iCs/>
          <w:sz w:val="18"/>
          <w:szCs w:val="18"/>
        </w:rPr>
        <w:t xml:space="preserve"> </w:t>
      </w:r>
      <w:r w:rsidR="00F77149" w:rsidRPr="00672430">
        <w:rPr>
          <w:rFonts w:ascii="Titillium" w:hAnsi="Titillium" w:cs="Calibri"/>
          <w:iCs/>
          <w:sz w:val="18"/>
          <w:szCs w:val="18"/>
        </w:rPr>
        <w:t xml:space="preserve">anche la </w:t>
      </w:r>
      <w:r w:rsidR="00AB29E9" w:rsidRPr="00672430">
        <w:rPr>
          <w:rFonts w:ascii="Titillium" w:hAnsi="Titillium" w:cs="Calibri"/>
          <w:iCs/>
          <w:sz w:val="18"/>
          <w:szCs w:val="18"/>
        </w:rPr>
        <w:t>Direzione lavori e/o il Coordinamento per la salute e la sicurezza.</w:t>
      </w:r>
      <w:r w:rsidR="00422D86" w:rsidRPr="00672430">
        <w:rPr>
          <w:rFonts w:ascii="Titillium" w:hAnsi="Titillium" w:cs="Calibri"/>
          <w:iCs/>
          <w:sz w:val="18"/>
          <w:szCs w:val="18"/>
        </w:rPr>
        <w:t xml:space="preserve"> Al corrispettivo calcolato sulla base de</w:t>
      </w:r>
      <w:r w:rsidR="003C0D13" w:rsidRPr="00672430">
        <w:rPr>
          <w:rFonts w:ascii="Titillium" w:hAnsi="Titillium" w:cs="Calibri"/>
          <w:iCs/>
          <w:sz w:val="18"/>
          <w:szCs w:val="18"/>
        </w:rPr>
        <w:t>l</w:t>
      </w:r>
      <w:r w:rsidR="00422D86" w:rsidRPr="00672430">
        <w:rPr>
          <w:rFonts w:ascii="Titillium" w:hAnsi="Titillium" w:cs="Calibri"/>
          <w:iCs/>
          <w:sz w:val="18"/>
          <w:szCs w:val="18"/>
        </w:rPr>
        <w:t>l</w:t>
      </w:r>
      <w:r w:rsidR="003C0D13" w:rsidRPr="00672430">
        <w:rPr>
          <w:rFonts w:ascii="Titillium" w:hAnsi="Titillium" w:cs="Calibri"/>
          <w:iCs/>
          <w:sz w:val="18"/>
          <w:szCs w:val="18"/>
        </w:rPr>
        <w:t>’</w:t>
      </w:r>
      <w:r w:rsidR="00B86ED2" w:rsidRPr="00672430">
        <w:rPr>
          <w:rFonts w:ascii="Titillium" w:hAnsi="Titillium" w:cs="Calibri"/>
          <w:iCs/>
          <w:sz w:val="18"/>
          <w:szCs w:val="18"/>
        </w:rPr>
        <w:t xml:space="preserve">Allegato I.13 </w:t>
      </w:r>
      <w:r w:rsidR="00A024BC" w:rsidRPr="00672430">
        <w:rPr>
          <w:rFonts w:ascii="Titillium" w:hAnsi="Titillium" w:cs="Calibri"/>
          <w:iCs/>
          <w:sz w:val="18"/>
          <w:szCs w:val="18"/>
        </w:rPr>
        <w:t xml:space="preserve">del Codice </w:t>
      </w:r>
      <w:r w:rsidR="00422D86" w:rsidRPr="00672430">
        <w:rPr>
          <w:rFonts w:ascii="Titillium" w:hAnsi="Titillium" w:cs="Calibri"/>
          <w:iCs/>
          <w:sz w:val="18"/>
          <w:szCs w:val="18"/>
        </w:rPr>
        <w:t>e pari ad euro</w:t>
      </w:r>
      <w:r w:rsidR="00122FB2" w:rsidRPr="00672430">
        <w:rPr>
          <w:rFonts w:ascii="Titillium" w:hAnsi="Titillium" w:cs="Calibri"/>
          <w:iCs/>
          <w:sz w:val="18"/>
          <w:szCs w:val="18"/>
        </w:rPr>
        <w:t xml:space="preserve"> </w:t>
      </w:r>
      <w:r w:rsidR="00422D86" w:rsidRPr="00672430">
        <w:rPr>
          <w:rFonts w:ascii="Titillium" w:hAnsi="Titillium" w:cs="Calibri"/>
          <w:iCs/>
          <w:sz w:val="18"/>
          <w:szCs w:val="18"/>
        </w:rPr>
        <w:t>…</w:t>
      </w:r>
      <w:r w:rsidR="00AB29E9" w:rsidRPr="00672430">
        <w:rPr>
          <w:rFonts w:ascii="Titillium" w:hAnsi="Titillium" w:cs="Calibri"/>
          <w:iCs/>
          <w:sz w:val="18"/>
          <w:szCs w:val="18"/>
        </w:rPr>
        <w:t xml:space="preserve"> </w:t>
      </w:r>
      <w:r w:rsidR="00422D86" w:rsidRPr="00672430">
        <w:rPr>
          <w:rFonts w:ascii="Titillium" w:hAnsi="Titillium" w:cs="Calibri"/>
          <w:iCs/>
          <w:sz w:val="18"/>
          <w:szCs w:val="18"/>
        </w:rPr>
        <w:t>sarà applicato il ribasso offerto dall’operatore economico in fase di gara.</w:t>
      </w:r>
      <w:r w:rsidR="00422D86" w:rsidRPr="003C0D13">
        <w:rPr>
          <w:rFonts w:ascii="Titillium" w:hAnsi="Titillium" w:cs="Calibri"/>
          <w:iCs/>
          <w:sz w:val="18"/>
          <w:szCs w:val="18"/>
        </w:rPr>
        <w:t xml:space="preserve"> </w:t>
      </w:r>
    </w:p>
    <w:p w14:paraId="6EE0BD57" w14:textId="77777777" w:rsidR="00A51497" w:rsidRPr="003C0D13" w:rsidRDefault="00A51497">
      <w:pPr>
        <w:spacing w:before="60" w:after="60"/>
        <w:rPr>
          <w:rFonts w:ascii="Titillium" w:hAnsi="Titillium" w:cs="Calibri"/>
          <w:iCs/>
          <w:sz w:val="18"/>
          <w:szCs w:val="18"/>
        </w:rPr>
      </w:pPr>
    </w:p>
    <w:tbl>
      <w:tblPr>
        <w:tblStyle w:val="Grigliatabella"/>
        <w:tblW w:w="0" w:type="auto"/>
        <w:tblLook w:val="04A0" w:firstRow="1" w:lastRow="0" w:firstColumn="1" w:lastColumn="0" w:noHBand="0" w:noVBand="1"/>
      </w:tblPr>
      <w:tblGrid>
        <w:gridCol w:w="9214"/>
      </w:tblGrid>
      <w:tr w:rsidR="003C0D13" w14:paraId="7AB87046" w14:textId="77777777" w:rsidTr="003C0D13">
        <w:tc>
          <w:tcPr>
            <w:tcW w:w="9214" w:type="dxa"/>
          </w:tcPr>
          <w:p w14:paraId="2B97D44E" w14:textId="52635057" w:rsidR="00E85979" w:rsidRPr="0085117B" w:rsidRDefault="00697809" w:rsidP="006847FF">
            <w:pPr>
              <w:spacing w:before="60" w:after="60"/>
              <w:rPr>
                <w:rFonts w:ascii="Titillium" w:hAnsi="Titillium" w:cs="Segoe UI"/>
                <w:i/>
                <w:iCs/>
                <w:sz w:val="18"/>
                <w:szCs w:val="18"/>
              </w:rPr>
            </w:pPr>
            <w:r w:rsidRPr="0085117B">
              <w:rPr>
                <w:rStyle w:val="cf01"/>
                <w:rFonts w:ascii="Titillium" w:hAnsi="Titillium"/>
                <w:i/>
                <w:iCs/>
              </w:rPr>
              <w:t>N.B.</w:t>
            </w:r>
            <w:r w:rsidR="00122FB2" w:rsidRPr="0085117B">
              <w:rPr>
                <w:rStyle w:val="cf01"/>
                <w:rFonts w:ascii="Titillium" w:hAnsi="Titillium"/>
                <w:i/>
                <w:iCs/>
              </w:rPr>
              <w:t xml:space="preserve"> </w:t>
            </w:r>
            <w:r w:rsidR="00CA3C17" w:rsidRPr="0085117B">
              <w:rPr>
                <w:rFonts w:ascii="Titillium" w:hAnsi="Titillium"/>
                <w:i/>
                <w:iCs/>
                <w:sz w:val="18"/>
                <w:szCs w:val="18"/>
              </w:rPr>
              <w:t>Per espressa previsione dell’art</w:t>
            </w:r>
            <w:r w:rsidR="00605CD0" w:rsidRPr="0085117B">
              <w:rPr>
                <w:rFonts w:ascii="Titillium" w:hAnsi="Titillium"/>
                <w:i/>
                <w:iCs/>
                <w:sz w:val="18"/>
                <w:szCs w:val="18"/>
              </w:rPr>
              <w:t>icolo</w:t>
            </w:r>
            <w:r w:rsidR="00CA3C17" w:rsidRPr="0085117B">
              <w:rPr>
                <w:rFonts w:ascii="Titillium" w:hAnsi="Titillium"/>
                <w:i/>
                <w:iCs/>
                <w:sz w:val="18"/>
                <w:szCs w:val="18"/>
              </w:rPr>
              <w:t xml:space="preserve"> 114 comma 4 del </w:t>
            </w:r>
            <w:r w:rsidR="00605CD0" w:rsidRPr="0085117B">
              <w:rPr>
                <w:rFonts w:ascii="Titillium" w:hAnsi="Titillium"/>
                <w:i/>
                <w:iCs/>
                <w:sz w:val="18"/>
                <w:szCs w:val="18"/>
              </w:rPr>
              <w:t>decreto legislativo</w:t>
            </w:r>
            <w:r w:rsidR="00CA3C17" w:rsidRPr="0085117B">
              <w:rPr>
                <w:rFonts w:ascii="Titillium" w:hAnsi="Titillium"/>
                <w:i/>
                <w:iCs/>
                <w:sz w:val="18"/>
                <w:szCs w:val="18"/>
              </w:rPr>
              <w:t xml:space="preserve"> 36/2023 nel caso di lavori di importo non superiore ad un milione di euro</w:t>
            </w:r>
            <w:r w:rsidR="00CA3C17" w:rsidRPr="0085117B">
              <w:rPr>
                <w:rFonts w:ascii="Titillium" w:hAnsi="Titillium" w:cs="Arial"/>
                <w:i/>
                <w:iCs/>
                <w:sz w:val="18"/>
                <w:szCs w:val="18"/>
              </w:rPr>
              <w:t xml:space="preserve"> e comunque in assenza di lavori complessi e di rischi di interferenze, il direttore dei lavori, se in possesso dei requisiti richiesti dalla normativa vigente sulla sicurezza, svolge anche le funzioni di coordinatore per la sicurezza in fase di esecuzione. </w:t>
            </w:r>
            <w:r w:rsidR="00CA3C17" w:rsidRPr="0085117B">
              <w:rPr>
                <w:rFonts w:ascii="Titillium" w:hAnsi="Titillium"/>
                <w:i/>
                <w:iCs/>
                <w:sz w:val="18"/>
                <w:szCs w:val="18"/>
              </w:rPr>
              <w:t>P</w:t>
            </w:r>
            <w:r w:rsidR="00CA3C17" w:rsidRPr="0085117B">
              <w:rPr>
                <w:rFonts w:ascii="Titillium" w:hAnsi="Titillium" w:cs="Arial"/>
                <w:i/>
                <w:iCs/>
                <w:sz w:val="18"/>
                <w:szCs w:val="18"/>
              </w:rPr>
              <w:t xml:space="preserve">er i lavori di importo superiore a 1 milione di euro vi è invece l’obbligo di nominare </w:t>
            </w:r>
            <w:r w:rsidR="00A41978" w:rsidRPr="0085117B">
              <w:rPr>
                <w:rFonts w:ascii="Titillium" w:hAnsi="Titillium" w:cs="Arial"/>
                <w:i/>
                <w:iCs/>
                <w:sz w:val="18"/>
                <w:szCs w:val="18"/>
              </w:rPr>
              <w:t>un coordinatore</w:t>
            </w:r>
            <w:r w:rsidR="00CA3C17" w:rsidRPr="0085117B">
              <w:rPr>
                <w:rFonts w:ascii="Titillium" w:hAnsi="Titillium" w:cs="Arial"/>
                <w:i/>
                <w:iCs/>
                <w:sz w:val="18"/>
                <w:szCs w:val="18"/>
              </w:rPr>
              <w:t xml:space="preserve"> per la sicurezza in fase esecutiva diverso dal direttore lavori. </w:t>
            </w:r>
          </w:p>
        </w:tc>
      </w:tr>
    </w:tbl>
    <w:p w14:paraId="0C8996E0" w14:textId="3F49F601" w:rsidR="00A67350" w:rsidRPr="003C0D13" w:rsidRDefault="00A67350">
      <w:pPr>
        <w:spacing w:before="60" w:after="60"/>
        <w:rPr>
          <w:rFonts w:ascii="Titillium" w:hAnsi="Titillium" w:cs="Calibri"/>
          <w:iCs/>
          <w:sz w:val="18"/>
          <w:szCs w:val="18"/>
        </w:rPr>
      </w:pPr>
    </w:p>
    <w:p w14:paraId="7262E4D8" w14:textId="76A7CC1C" w:rsidR="006A4DF6" w:rsidRPr="003C0D13" w:rsidRDefault="006A4DF6">
      <w:pPr>
        <w:spacing w:before="60" w:after="60"/>
        <w:rPr>
          <w:rFonts w:ascii="Titillium" w:hAnsi="Titillium" w:cs="Calibri"/>
          <w:color w:val="000000" w:themeColor="text1"/>
          <w:sz w:val="18"/>
          <w:szCs w:val="18"/>
        </w:rPr>
      </w:pPr>
      <w:r w:rsidRPr="008C4B8D">
        <w:rPr>
          <w:rFonts w:ascii="Titillium" w:hAnsi="Titillium" w:cs="Calibri"/>
          <w:b/>
          <w:bCs/>
          <w:i/>
          <w:iCs/>
          <w:sz w:val="18"/>
          <w:szCs w:val="18"/>
        </w:rPr>
        <w:t>[</w:t>
      </w:r>
      <w:r w:rsidRPr="003C0D13">
        <w:rPr>
          <w:rFonts w:ascii="Titillium" w:hAnsi="Titillium" w:cs="Calibri"/>
          <w:b/>
          <w:bCs/>
          <w:i/>
          <w:iCs/>
          <w:color w:val="000000" w:themeColor="text1"/>
          <w:sz w:val="18"/>
          <w:szCs w:val="18"/>
        </w:rPr>
        <w:t xml:space="preserve">Facoltativo] </w:t>
      </w:r>
      <w:r w:rsidRPr="007F338B">
        <w:rPr>
          <w:rFonts w:ascii="Titillium" w:hAnsi="Titillium" w:cs="Calibri"/>
          <w:b/>
          <w:bCs/>
          <w:color w:val="000000" w:themeColor="text1"/>
          <w:sz w:val="18"/>
          <w:szCs w:val="18"/>
        </w:rPr>
        <w:t>Variazione fino a concorrenza del quinto dell’importo del contratto</w:t>
      </w:r>
      <w:r w:rsidRPr="003C0D13">
        <w:rPr>
          <w:rFonts w:ascii="Titillium" w:hAnsi="Titillium" w:cs="Calibri"/>
          <w:i/>
          <w:iCs/>
          <w:color w:val="000000" w:themeColor="text1"/>
          <w:sz w:val="18"/>
          <w:szCs w:val="18"/>
        </w:rPr>
        <w:t xml:space="preserve">: </w:t>
      </w:r>
      <w:r w:rsidR="003C0D13" w:rsidRPr="003C0D13">
        <w:rPr>
          <w:rFonts w:ascii="Titillium" w:hAnsi="Titillium" w:cs="Calibri"/>
          <w:color w:val="000000" w:themeColor="text1"/>
          <w:sz w:val="18"/>
          <w:szCs w:val="18"/>
        </w:rPr>
        <w:t>Q</w:t>
      </w:r>
      <w:r w:rsidRPr="003C0D13">
        <w:rPr>
          <w:rFonts w:ascii="Titillium" w:hAnsi="Titillium" w:cs="Calibri"/>
          <w:color w:val="000000" w:themeColor="text1"/>
          <w:sz w:val="18"/>
          <w:szCs w:val="18"/>
        </w:rPr>
        <w:t>ualora in corso di esecuzione si renda necessario un aumento o una diminuzione delle prestazioni fino alla concorrenza del quinto dell'importo del contratto, la stazione appaltante può imporre all'appaltatore l'esecuzione alle condizioni originariamente previste. In tal caso l'appaltatore non può fare valere il diritto alla risoluzione del contratto</w:t>
      </w:r>
      <w:r w:rsidR="00ED2397">
        <w:rPr>
          <w:rFonts w:ascii="Titillium" w:hAnsi="Titillium" w:cs="Calibri"/>
          <w:color w:val="000000" w:themeColor="text1"/>
          <w:sz w:val="18"/>
          <w:szCs w:val="18"/>
        </w:rPr>
        <w:t>.</w:t>
      </w:r>
    </w:p>
    <w:p w14:paraId="0E159F38" w14:textId="1CB84D16" w:rsidR="006A4DF6" w:rsidRPr="00B20E1E" w:rsidRDefault="00B20E1E">
      <w:pPr>
        <w:spacing w:before="60" w:after="60"/>
        <w:rPr>
          <w:rFonts w:ascii="Titillium" w:hAnsi="Titillium" w:cs="Calibri"/>
          <w:i/>
          <w:iCs/>
          <w:sz w:val="18"/>
          <w:szCs w:val="18"/>
        </w:rPr>
      </w:pPr>
      <w:r w:rsidRPr="00B20E1E">
        <w:rPr>
          <w:rFonts w:ascii="Titillium" w:hAnsi="Titillium" w:cs="Calibri"/>
          <w:b/>
          <w:bCs/>
          <w:i/>
          <w:iCs/>
          <w:sz w:val="18"/>
          <w:szCs w:val="18"/>
        </w:rPr>
        <w:t xml:space="preserve">[Facoltativo] </w:t>
      </w:r>
      <w:r w:rsidRPr="007F338B">
        <w:rPr>
          <w:rFonts w:ascii="Titillium" w:hAnsi="Titillium" w:cs="Calibri"/>
          <w:b/>
          <w:bCs/>
          <w:sz w:val="18"/>
          <w:szCs w:val="18"/>
        </w:rPr>
        <w:t>Clausola di rinegoziazione</w:t>
      </w:r>
      <w:r w:rsidRPr="00B20E1E">
        <w:rPr>
          <w:rFonts w:ascii="Titillium" w:hAnsi="Titillium" w:cs="Calibri"/>
          <w:b/>
          <w:bCs/>
          <w:i/>
          <w:iCs/>
          <w:sz w:val="18"/>
          <w:szCs w:val="18"/>
        </w:rPr>
        <w:t xml:space="preserve">: … </w:t>
      </w:r>
      <w:r w:rsidRPr="00A0581C">
        <w:rPr>
          <w:rFonts w:ascii="Titillium" w:hAnsi="Titillium" w:cs="Calibri"/>
          <w:i/>
          <w:iCs/>
          <w:sz w:val="18"/>
          <w:szCs w:val="18"/>
        </w:rPr>
        <w:t xml:space="preserve">[ai sensi dell’articolo 9 del Codice, la stazione appaltante </w:t>
      </w:r>
      <w:r w:rsidRPr="00B60175">
        <w:rPr>
          <w:rFonts w:ascii="Titillium" w:hAnsi="Titillium" w:cs="Calibri"/>
          <w:i/>
          <w:iCs/>
          <w:sz w:val="18"/>
          <w:szCs w:val="18"/>
        </w:rPr>
        <w:t xml:space="preserve">prevede </w:t>
      </w:r>
      <w:r w:rsidRPr="00A0581C">
        <w:rPr>
          <w:rFonts w:ascii="Titillium" w:hAnsi="Titillium" w:cs="Calibri"/>
          <w:i/>
          <w:iCs/>
          <w:sz w:val="18"/>
          <w:szCs w:val="18"/>
        </w:rPr>
        <w:t>clausole di rinegoziazione, specie quando il contratto risulta particolarmente esposto per la sua durata, per il contesto economico di riferimento o per altre circostanze, al rischio delle interferenze da sopravvenienze]</w:t>
      </w:r>
    </w:p>
    <w:p w14:paraId="2730842E" w14:textId="51BF3424" w:rsidR="00A67350" w:rsidRDefault="00A024BC" w:rsidP="00A67350">
      <w:pPr>
        <w:spacing w:before="60" w:after="60"/>
        <w:rPr>
          <w:i/>
        </w:rPr>
      </w:pPr>
      <w:r>
        <w:rPr>
          <w:rFonts w:ascii="Titillium" w:hAnsi="Titillium"/>
          <w:b/>
          <w:bCs/>
          <w:i/>
          <w:sz w:val="18"/>
          <w:szCs w:val="18"/>
        </w:rPr>
        <w:t>[</w:t>
      </w:r>
      <w:r w:rsidR="00A67350">
        <w:rPr>
          <w:rFonts w:ascii="Titillium" w:hAnsi="Titillium"/>
          <w:b/>
          <w:bCs/>
          <w:i/>
          <w:sz w:val="18"/>
          <w:szCs w:val="18"/>
        </w:rPr>
        <w:t>In caso di inserimento dell</w:t>
      </w:r>
      <w:r w:rsidR="005155AC">
        <w:rPr>
          <w:rFonts w:ascii="Titillium" w:hAnsi="Titillium"/>
          <w:b/>
          <w:bCs/>
          <w:i/>
          <w:sz w:val="18"/>
          <w:szCs w:val="18"/>
        </w:rPr>
        <w:t>e</w:t>
      </w:r>
      <w:r w:rsidR="00A67350">
        <w:rPr>
          <w:rFonts w:ascii="Titillium" w:hAnsi="Titillium"/>
          <w:b/>
          <w:bCs/>
          <w:i/>
          <w:sz w:val="18"/>
          <w:szCs w:val="18"/>
        </w:rPr>
        <w:t xml:space="preserve"> suddett</w:t>
      </w:r>
      <w:r w:rsidR="0088198B">
        <w:rPr>
          <w:rFonts w:ascii="Titillium" w:hAnsi="Titillium"/>
          <w:b/>
          <w:bCs/>
          <w:i/>
          <w:sz w:val="18"/>
          <w:szCs w:val="18"/>
        </w:rPr>
        <w:t>e</w:t>
      </w:r>
      <w:r w:rsidR="00A67350">
        <w:rPr>
          <w:rFonts w:ascii="Titillium" w:hAnsi="Titillium"/>
          <w:b/>
          <w:bCs/>
          <w:i/>
          <w:sz w:val="18"/>
          <w:szCs w:val="18"/>
        </w:rPr>
        <w:t xml:space="preserve"> clausole </w:t>
      </w:r>
      <w:r w:rsidR="006E0A11">
        <w:rPr>
          <w:rFonts w:ascii="Titillium" w:hAnsi="Titillium"/>
          <w:b/>
          <w:bCs/>
          <w:i/>
          <w:sz w:val="18"/>
          <w:szCs w:val="18"/>
        </w:rPr>
        <w:t>facoltative]</w:t>
      </w:r>
      <w:r w:rsidR="006E0A11">
        <w:rPr>
          <w:rFonts w:ascii="Titillium" w:hAnsi="Titillium"/>
          <w:b/>
          <w:bCs/>
          <w:sz w:val="18"/>
          <w:szCs w:val="18"/>
        </w:rPr>
        <w:t xml:space="preserve"> </w:t>
      </w:r>
      <w:r w:rsidR="006E0A11" w:rsidRPr="00A51497">
        <w:rPr>
          <w:rFonts w:ascii="Titillium" w:hAnsi="Titillium"/>
          <w:sz w:val="18"/>
          <w:szCs w:val="18"/>
        </w:rPr>
        <w:t>Il</w:t>
      </w:r>
      <w:r w:rsidR="00A67350" w:rsidRPr="00A51497">
        <w:rPr>
          <w:rFonts w:ascii="Titillium" w:hAnsi="Titillium"/>
          <w:sz w:val="18"/>
          <w:szCs w:val="18"/>
        </w:rPr>
        <w:t xml:space="preserve"> valore globale stimato</w:t>
      </w:r>
      <w:r w:rsidR="00A67350">
        <w:rPr>
          <w:rFonts w:ascii="Titillium" w:hAnsi="Titillium"/>
          <w:sz w:val="18"/>
          <w:szCs w:val="18"/>
        </w:rPr>
        <w:t xml:space="preserve"> dell’appalto è pari ad € </w:t>
      </w:r>
      <w:r w:rsidR="00A67350">
        <w:rPr>
          <w:rFonts w:ascii="Titillium" w:hAnsi="Titillium"/>
          <w:i/>
          <w:sz w:val="18"/>
          <w:szCs w:val="18"/>
        </w:rPr>
        <w:t xml:space="preserve">... </w:t>
      </w:r>
      <w:r w:rsidR="00A67350">
        <w:rPr>
          <w:rFonts w:ascii="Titillium" w:hAnsi="Titillium" w:cs="Calibri"/>
          <w:i/>
          <w:sz w:val="18"/>
          <w:szCs w:val="18"/>
        </w:rPr>
        <w:t>[indicare il valore, in caso di più lotti indicare la somma di tutti i lotti],</w:t>
      </w:r>
      <w:r w:rsidR="00A67350">
        <w:rPr>
          <w:rFonts w:ascii="Titillium" w:hAnsi="Titillium" w:cs="Calibri"/>
          <w:sz w:val="18"/>
          <w:szCs w:val="18"/>
        </w:rPr>
        <w:t xml:space="preserve"> al netto di Iva </w:t>
      </w:r>
      <w:r w:rsidR="00A67350">
        <w:rPr>
          <w:rFonts w:ascii="Titillium" w:hAnsi="Titillium" w:cs="Calibri"/>
          <w:i/>
          <w:sz w:val="18"/>
          <w:szCs w:val="18"/>
        </w:rPr>
        <w:t>[così suddiviso. In caso di più lotti riportare una tabella per ciascun lotto]:</w:t>
      </w:r>
    </w:p>
    <w:p w14:paraId="0B4BAD4F" w14:textId="77777777" w:rsidR="00A67350" w:rsidRDefault="00A67350" w:rsidP="00A67350">
      <w:pPr>
        <w:pStyle w:val="Didascalia"/>
        <w:rPr>
          <w:rFonts w:ascii="Titillium" w:hAnsi="Titillium"/>
          <w:sz w:val="18"/>
        </w:rPr>
      </w:pPr>
      <w:r>
        <w:rPr>
          <w:rFonts w:ascii="Titillium" w:hAnsi="Titillium"/>
          <w:sz w:val="18"/>
        </w:rPr>
        <w:t>Tabella 4</w:t>
      </w:r>
    </w:p>
    <w:tbl>
      <w:tblPr>
        <w:tblStyle w:val="Grigliatabella"/>
        <w:tblW w:w="9214" w:type="dxa"/>
        <w:tblLayout w:type="fixed"/>
        <w:tblLook w:val="04A0" w:firstRow="1" w:lastRow="0" w:firstColumn="1" w:lastColumn="0" w:noHBand="0" w:noVBand="1"/>
      </w:tblPr>
      <w:tblGrid>
        <w:gridCol w:w="5949"/>
        <w:gridCol w:w="3265"/>
      </w:tblGrid>
      <w:tr w:rsidR="00A67350" w14:paraId="117EF23D" w14:textId="77777777" w:rsidTr="003C6266">
        <w:tc>
          <w:tcPr>
            <w:tcW w:w="5948" w:type="dxa"/>
          </w:tcPr>
          <w:p w14:paraId="714465F2" w14:textId="77777777" w:rsidR="00A67350" w:rsidRDefault="00A67350" w:rsidP="003C6266">
            <w:pPr>
              <w:widowControl w:val="0"/>
            </w:pPr>
            <w:r>
              <w:rPr>
                <w:rFonts w:ascii="Titillium" w:hAnsi="Titillium"/>
                <w:b/>
                <w:sz w:val="18"/>
                <w:szCs w:val="18"/>
              </w:rPr>
              <w:t xml:space="preserve">Importo complessivo </w:t>
            </w:r>
          </w:p>
        </w:tc>
        <w:tc>
          <w:tcPr>
            <w:tcW w:w="3265" w:type="dxa"/>
          </w:tcPr>
          <w:p w14:paraId="6807E23B" w14:textId="77777777" w:rsidR="00A67350" w:rsidRDefault="00A67350" w:rsidP="003C6266">
            <w:pPr>
              <w:widowControl w:val="0"/>
              <w:rPr>
                <w:rFonts w:ascii="Titillium" w:hAnsi="Titillium"/>
                <w:sz w:val="18"/>
                <w:szCs w:val="18"/>
              </w:rPr>
            </w:pPr>
          </w:p>
        </w:tc>
      </w:tr>
      <w:tr w:rsidR="00A67350" w14:paraId="422ACD68" w14:textId="77777777" w:rsidTr="003C6266">
        <w:tc>
          <w:tcPr>
            <w:tcW w:w="5948" w:type="dxa"/>
          </w:tcPr>
          <w:p w14:paraId="4E1FCADA" w14:textId="0CB33523" w:rsidR="00A67350" w:rsidRDefault="00A67350" w:rsidP="003C6266">
            <w:pPr>
              <w:widowControl w:val="0"/>
              <w:rPr>
                <w:rFonts w:ascii="Titillium" w:hAnsi="Titillium"/>
                <w:sz w:val="18"/>
                <w:szCs w:val="18"/>
              </w:rPr>
            </w:pPr>
            <w:r>
              <w:rPr>
                <w:rFonts w:ascii="Titillium" w:hAnsi="Titillium"/>
                <w:sz w:val="18"/>
                <w:szCs w:val="18"/>
              </w:rPr>
              <w:t>importo modifiche del contratto</w:t>
            </w:r>
            <w:r w:rsidR="003A430E">
              <w:rPr>
                <w:rFonts w:ascii="Titillium" w:hAnsi="Titillium"/>
                <w:sz w:val="18"/>
                <w:szCs w:val="18"/>
              </w:rPr>
              <w:t xml:space="preserve"> </w:t>
            </w:r>
          </w:p>
        </w:tc>
        <w:tc>
          <w:tcPr>
            <w:tcW w:w="3265" w:type="dxa"/>
          </w:tcPr>
          <w:p w14:paraId="34B5EBFB" w14:textId="77777777" w:rsidR="00A67350" w:rsidRDefault="00A67350" w:rsidP="003C6266">
            <w:pPr>
              <w:widowControl w:val="0"/>
              <w:rPr>
                <w:rFonts w:ascii="Titillium" w:hAnsi="Titillium"/>
                <w:sz w:val="18"/>
                <w:szCs w:val="18"/>
              </w:rPr>
            </w:pPr>
          </w:p>
        </w:tc>
      </w:tr>
      <w:tr w:rsidR="00A67350" w14:paraId="4BE2128C" w14:textId="77777777" w:rsidTr="003C6266">
        <w:tc>
          <w:tcPr>
            <w:tcW w:w="5948" w:type="dxa"/>
          </w:tcPr>
          <w:p w14:paraId="7F16E4B8" w14:textId="26D7536A" w:rsidR="00A67350" w:rsidRDefault="00770000" w:rsidP="003C6266">
            <w:pPr>
              <w:widowControl w:val="0"/>
              <w:rPr>
                <w:rFonts w:ascii="Titillium" w:hAnsi="Titillium"/>
                <w:sz w:val="18"/>
                <w:szCs w:val="18"/>
              </w:rPr>
            </w:pPr>
            <w:r w:rsidRPr="0085117B">
              <w:rPr>
                <w:rFonts w:ascii="Titillium" w:hAnsi="Titillium"/>
                <w:sz w:val="18"/>
                <w:szCs w:val="18"/>
              </w:rPr>
              <w:t>Importo per</w:t>
            </w:r>
            <w:r w:rsidR="00B60175" w:rsidRPr="0085117B">
              <w:rPr>
                <w:rFonts w:ascii="Titillium" w:hAnsi="Titillium"/>
                <w:sz w:val="18"/>
                <w:szCs w:val="18"/>
              </w:rPr>
              <w:t xml:space="preserve"> affidamento opzionale o per </w:t>
            </w:r>
            <w:r w:rsidRPr="0085117B">
              <w:rPr>
                <w:rFonts w:ascii="Titillium" w:hAnsi="Titillium"/>
                <w:sz w:val="18"/>
                <w:szCs w:val="18"/>
              </w:rPr>
              <w:t>servizi analoghi</w:t>
            </w:r>
            <w:r>
              <w:rPr>
                <w:rFonts w:ascii="Titillium" w:hAnsi="Titillium"/>
                <w:sz w:val="18"/>
                <w:szCs w:val="18"/>
              </w:rPr>
              <w:t xml:space="preserve"> </w:t>
            </w:r>
          </w:p>
        </w:tc>
        <w:tc>
          <w:tcPr>
            <w:tcW w:w="3265" w:type="dxa"/>
          </w:tcPr>
          <w:p w14:paraId="2C517429" w14:textId="77777777" w:rsidR="00A67350" w:rsidRDefault="00A67350" w:rsidP="003C6266">
            <w:pPr>
              <w:widowControl w:val="0"/>
              <w:rPr>
                <w:rFonts w:ascii="Titillium" w:hAnsi="Titillium"/>
                <w:sz w:val="18"/>
                <w:szCs w:val="18"/>
              </w:rPr>
            </w:pPr>
          </w:p>
        </w:tc>
      </w:tr>
      <w:tr w:rsidR="00770000" w14:paraId="25CBCF1F" w14:textId="77777777" w:rsidTr="003C6266">
        <w:tc>
          <w:tcPr>
            <w:tcW w:w="5948" w:type="dxa"/>
          </w:tcPr>
          <w:p w14:paraId="09B99170" w14:textId="0B068103" w:rsidR="00770000" w:rsidRDefault="00770000" w:rsidP="003C6266">
            <w:pPr>
              <w:widowControl w:val="0"/>
              <w:rPr>
                <w:rFonts w:ascii="Titillium" w:hAnsi="Titillium"/>
                <w:sz w:val="18"/>
                <w:szCs w:val="18"/>
              </w:rPr>
            </w:pPr>
            <w:r>
              <w:rPr>
                <w:rFonts w:ascii="Titillium" w:hAnsi="Titillium"/>
                <w:sz w:val="18"/>
                <w:szCs w:val="18"/>
              </w:rPr>
              <w:t>Importo massimo del quinto d’obbligo</w:t>
            </w:r>
          </w:p>
        </w:tc>
        <w:tc>
          <w:tcPr>
            <w:tcW w:w="3265" w:type="dxa"/>
          </w:tcPr>
          <w:p w14:paraId="2F0D2186" w14:textId="77777777" w:rsidR="00770000" w:rsidRDefault="00770000" w:rsidP="003C6266">
            <w:pPr>
              <w:widowControl w:val="0"/>
              <w:rPr>
                <w:rFonts w:ascii="Titillium" w:hAnsi="Titillium"/>
                <w:sz w:val="18"/>
                <w:szCs w:val="18"/>
              </w:rPr>
            </w:pPr>
          </w:p>
        </w:tc>
      </w:tr>
      <w:tr w:rsidR="00A67350" w14:paraId="254B1D7A" w14:textId="77777777" w:rsidTr="003C6266">
        <w:tc>
          <w:tcPr>
            <w:tcW w:w="5948" w:type="dxa"/>
          </w:tcPr>
          <w:p w14:paraId="3AEE73E7" w14:textId="77777777" w:rsidR="00A67350" w:rsidRDefault="00A67350" w:rsidP="003C6266">
            <w:pPr>
              <w:widowControl w:val="0"/>
              <w:rPr>
                <w:rFonts w:ascii="Titillium" w:hAnsi="Titillium"/>
                <w:sz w:val="18"/>
                <w:szCs w:val="18"/>
              </w:rPr>
            </w:pPr>
            <w:r>
              <w:rPr>
                <w:rFonts w:ascii="Titillium" w:hAnsi="Titillium"/>
                <w:sz w:val="18"/>
                <w:szCs w:val="18"/>
              </w:rPr>
              <w:t>….</w:t>
            </w:r>
            <w:r>
              <w:rPr>
                <w:rFonts w:ascii="Titillium" w:hAnsi="Titillium"/>
                <w:i/>
                <w:iCs/>
                <w:sz w:val="18"/>
                <w:szCs w:val="18"/>
              </w:rPr>
              <w:t xml:space="preserve"> [Importo delle ulteriori opzioni, ove quantificabili]</w:t>
            </w:r>
          </w:p>
        </w:tc>
        <w:tc>
          <w:tcPr>
            <w:tcW w:w="3265" w:type="dxa"/>
          </w:tcPr>
          <w:p w14:paraId="68E14619" w14:textId="77777777" w:rsidR="00A67350" w:rsidRDefault="00A67350" w:rsidP="003C6266">
            <w:pPr>
              <w:widowControl w:val="0"/>
              <w:rPr>
                <w:rFonts w:ascii="Titillium" w:hAnsi="Titillium"/>
                <w:sz w:val="18"/>
                <w:szCs w:val="18"/>
              </w:rPr>
            </w:pPr>
          </w:p>
        </w:tc>
      </w:tr>
      <w:tr w:rsidR="00A67350" w14:paraId="534B0B3E" w14:textId="77777777" w:rsidTr="003C6266">
        <w:tc>
          <w:tcPr>
            <w:tcW w:w="5948" w:type="dxa"/>
          </w:tcPr>
          <w:p w14:paraId="4DB6967B" w14:textId="77777777" w:rsidR="00A67350" w:rsidRDefault="00A67350" w:rsidP="003C6266">
            <w:pPr>
              <w:widowControl w:val="0"/>
              <w:jc w:val="right"/>
              <w:rPr>
                <w:rFonts w:ascii="Titillium" w:hAnsi="Titillium"/>
                <w:sz w:val="18"/>
                <w:szCs w:val="18"/>
              </w:rPr>
            </w:pPr>
            <w:r>
              <w:rPr>
                <w:rFonts w:ascii="Titillium" w:hAnsi="Titillium"/>
                <w:b/>
                <w:bCs/>
                <w:sz w:val="18"/>
                <w:szCs w:val="18"/>
              </w:rPr>
              <w:t>Valore globale stimato</w:t>
            </w:r>
          </w:p>
        </w:tc>
        <w:tc>
          <w:tcPr>
            <w:tcW w:w="3265" w:type="dxa"/>
          </w:tcPr>
          <w:p w14:paraId="70B7B942" w14:textId="77777777" w:rsidR="00A67350" w:rsidRDefault="00A67350" w:rsidP="003C6266">
            <w:pPr>
              <w:widowControl w:val="0"/>
              <w:rPr>
                <w:rFonts w:ascii="Titillium" w:hAnsi="Titillium"/>
                <w:i/>
                <w:iCs/>
                <w:sz w:val="18"/>
                <w:szCs w:val="18"/>
              </w:rPr>
            </w:pPr>
            <w:r>
              <w:rPr>
                <w:rFonts w:ascii="Titillium" w:hAnsi="Titillium"/>
                <w:i/>
                <w:iCs/>
                <w:sz w:val="18"/>
                <w:szCs w:val="18"/>
              </w:rPr>
              <w:t xml:space="preserve"> … [somma di tutti gli importi]</w:t>
            </w:r>
          </w:p>
        </w:tc>
      </w:tr>
    </w:tbl>
    <w:p w14:paraId="00FB2384" w14:textId="77777777" w:rsidR="00A67350" w:rsidRDefault="00A67350" w:rsidP="00A67350"/>
    <w:p w14:paraId="0686BC6D" w14:textId="7869997D" w:rsidR="00E7030C" w:rsidRPr="004D06AD" w:rsidRDefault="00631638" w:rsidP="004D06AD">
      <w:pPr>
        <w:pStyle w:val="Titolo3"/>
        <w:numPr>
          <w:ilvl w:val="1"/>
          <w:numId w:val="3"/>
        </w:numPr>
        <w:spacing w:before="120"/>
        <w:ind w:left="426" w:hanging="426"/>
        <w:rPr>
          <w:rFonts w:ascii="Titillium" w:hAnsi="Titillium"/>
          <w:sz w:val="18"/>
          <w:szCs w:val="18"/>
          <w:lang w:val="it-IT"/>
        </w:rPr>
      </w:pPr>
      <w:bookmarkStart w:id="245" w:name="_Toc227921622"/>
      <w:bookmarkStart w:id="246" w:name="_Hlk203037171"/>
      <w:r w:rsidRPr="004D06AD">
        <w:rPr>
          <w:rFonts w:ascii="Titillium" w:hAnsi="Titillium"/>
          <w:sz w:val="18"/>
          <w:szCs w:val="18"/>
          <w:lang w:val="it-IT"/>
        </w:rPr>
        <w:t>REVISIONE PREZZI</w:t>
      </w:r>
      <w:bookmarkStart w:id="247" w:name="_Toc187166259"/>
      <w:bookmarkStart w:id="248" w:name="_Toc190086218"/>
      <w:r w:rsidR="00FE4736" w:rsidRPr="004D06AD">
        <w:rPr>
          <w:rFonts w:ascii="Titillium" w:hAnsi="Titillium"/>
          <w:sz w:val="18"/>
          <w:szCs w:val="18"/>
          <w:lang w:val="it-IT"/>
        </w:rPr>
        <w:t>,</w:t>
      </w:r>
      <w:r w:rsidR="0035531B" w:rsidRPr="004D06AD">
        <w:rPr>
          <w:rFonts w:ascii="Titillium" w:hAnsi="Titillium"/>
          <w:sz w:val="18"/>
          <w:szCs w:val="18"/>
          <w:lang w:val="it-IT"/>
        </w:rPr>
        <w:t xml:space="preserve"> </w:t>
      </w:r>
      <w:r w:rsidR="00FE4736" w:rsidRPr="004D06AD">
        <w:rPr>
          <w:rFonts w:ascii="Titillium" w:hAnsi="Titillium"/>
          <w:sz w:val="18"/>
          <w:szCs w:val="18"/>
          <w:lang w:val="it-IT"/>
        </w:rPr>
        <w:t xml:space="preserve">ANTICIPAZIONE </w:t>
      </w:r>
      <w:r w:rsidR="00E7030C" w:rsidRPr="004D06AD">
        <w:rPr>
          <w:rFonts w:ascii="Titillium" w:hAnsi="Titillium"/>
          <w:sz w:val="18"/>
          <w:szCs w:val="18"/>
          <w:lang w:val="it-IT"/>
        </w:rPr>
        <w:t>E</w:t>
      </w:r>
      <w:bookmarkEnd w:id="247"/>
      <w:r w:rsidR="00E7030C" w:rsidRPr="004D06AD">
        <w:rPr>
          <w:rFonts w:ascii="Titillium" w:hAnsi="Titillium"/>
          <w:sz w:val="18"/>
          <w:szCs w:val="18"/>
          <w:lang w:val="it-IT"/>
        </w:rPr>
        <w:t xml:space="preserve"> PREMIO DI ACCELERAZIONE</w:t>
      </w:r>
      <w:bookmarkEnd w:id="245"/>
      <w:r w:rsidR="00E7030C" w:rsidRPr="004D06AD">
        <w:rPr>
          <w:rFonts w:ascii="Titillium" w:hAnsi="Titillium"/>
          <w:sz w:val="18"/>
          <w:szCs w:val="18"/>
          <w:lang w:val="it-IT"/>
        </w:rPr>
        <w:t xml:space="preserve"> </w:t>
      </w:r>
      <w:bookmarkEnd w:id="248"/>
    </w:p>
    <w:bookmarkEnd w:id="246"/>
    <w:p w14:paraId="1B02EC75" w14:textId="35008504" w:rsidR="003E71EA" w:rsidRPr="000B0E59" w:rsidRDefault="00B548D2" w:rsidP="00631638">
      <w:pPr>
        <w:spacing w:before="60" w:after="60"/>
        <w:rPr>
          <w:rFonts w:ascii="Titillium" w:hAnsi="Titillium" w:cs="Calibri"/>
          <w:color w:val="000000" w:themeColor="text1"/>
          <w:sz w:val="18"/>
          <w:szCs w:val="18"/>
        </w:rPr>
      </w:pPr>
      <w:r w:rsidRPr="0085117B">
        <w:rPr>
          <w:rFonts w:ascii="Titillium" w:hAnsi="Titillium" w:cs="Calibri"/>
          <w:b/>
          <w:bCs/>
          <w:color w:val="000000" w:themeColor="text1"/>
          <w:sz w:val="18"/>
          <w:szCs w:val="18"/>
        </w:rPr>
        <w:t>Revisione prezzi</w:t>
      </w:r>
      <w:r w:rsidR="009C19B0" w:rsidRPr="0085117B">
        <w:rPr>
          <w:rFonts w:ascii="Titillium" w:hAnsi="Titillium" w:cs="Calibri"/>
          <w:b/>
          <w:bCs/>
          <w:color w:val="000000" w:themeColor="text1"/>
          <w:sz w:val="18"/>
          <w:szCs w:val="18"/>
        </w:rPr>
        <w:t xml:space="preserve"> [</w:t>
      </w:r>
      <w:r w:rsidR="009C19B0" w:rsidRPr="004308E6">
        <w:rPr>
          <w:rFonts w:ascii="Titillium" w:hAnsi="Titillium" w:cs="Calibri"/>
          <w:b/>
          <w:bCs/>
          <w:i/>
          <w:iCs/>
          <w:color w:val="000000" w:themeColor="text1"/>
          <w:sz w:val="18"/>
          <w:szCs w:val="18"/>
        </w:rPr>
        <w:t xml:space="preserve">Obbligatoria nel caso di contratto di durata quali </w:t>
      </w:r>
      <w:r w:rsidR="00605CD0" w:rsidRPr="004308E6">
        <w:rPr>
          <w:rFonts w:ascii="Titillium" w:hAnsi="Titillium" w:cs="Calibri"/>
          <w:b/>
          <w:bCs/>
          <w:i/>
          <w:iCs/>
          <w:color w:val="000000" w:themeColor="text1"/>
          <w:sz w:val="18"/>
          <w:szCs w:val="18"/>
        </w:rPr>
        <w:t>direzione dei lavori</w:t>
      </w:r>
      <w:r w:rsidR="009C19B0" w:rsidRPr="004308E6">
        <w:rPr>
          <w:rFonts w:ascii="Titillium" w:hAnsi="Titillium" w:cs="Calibri"/>
          <w:b/>
          <w:bCs/>
          <w:i/>
          <w:iCs/>
          <w:color w:val="000000" w:themeColor="text1"/>
          <w:sz w:val="18"/>
          <w:szCs w:val="18"/>
        </w:rPr>
        <w:t xml:space="preserve"> o </w:t>
      </w:r>
      <w:r w:rsidR="00605CD0" w:rsidRPr="004308E6">
        <w:rPr>
          <w:rFonts w:ascii="Titillium" w:hAnsi="Titillium" w:cs="Calibri"/>
          <w:b/>
          <w:bCs/>
          <w:i/>
          <w:iCs/>
          <w:color w:val="000000" w:themeColor="text1"/>
          <w:sz w:val="18"/>
          <w:szCs w:val="18"/>
        </w:rPr>
        <w:t xml:space="preserve">coordinamento per la salute e la sicurezza </w:t>
      </w:r>
      <w:r w:rsidR="009C19B0" w:rsidRPr="004308E6">
        <w:rPr>
          <w:rFonts w:ascii="Titillium" w:hAnsi="Titillium" w:cs="Calibri"/>
          <w:b/>
          <w:bCs/>
          <w:i/>
          <w:iCs/>
          <w:color w:val="000000" w:themeColor="text1"/>
          <w:sz w:val="18"/>
          <w:szCs w:val="18"/>
        </w:rPr>
        <w:t>e Facoltativa, previa motivazione nella determina a contrarre, nel caso di progettazioni complesse e con sviluppo temporale esteso</w:t>
      </w:r>
      <w:r w:rsidR="009C19B0" w:rsidRPr="0085117B">
        <w:rPr>
          <w:rFonts w:ascii="Titillium" w:hAnsi="Titillium" w:cs="Calibri"/>
          <w:b/>
          <w:bCs/>
          <w:color w:val="000000" w:themeColor="text1"/>
          <w:sz w:val="18"/>
          <w:szCs w:val="18"/>
        </w:rPr>
        <w:t>]</w:t>
      </w:r>
      <w:r w:rsidRPr="0085117B">
        <w:rPr>
          <w:rFonts w:ascii="Titillium" w:hAnsi="Titillium" w:cs="Calibri"/>
          <w:b/>
          <w:bCs/>
          <w:color w:val="000000" w:themeColor="text1"/>
          <w:sz w:val="18"/>
          <w:szCs w:val="18"/>
        </w:rPr>
        <w:t>:</w:t>
      </w:r>
      <w:r>
        <w:rPr>
          <w:rFonts w:ascii="Titillium" w:hAnsi="Titillium" w:cs="Calibri"/>
          <w:color w:val="000000" w:themeColor="text1"/>
          <w:sz w:val="18"/>
          <w:szCs w:val="18"/>
        </w:rPr>
        <w:t xml:space="preserve"> </w:t>
      </w:r>
      <w:r w:rsidR="00631638" w:rsidRPr="000B6D7A">
        <w:rPr>
          <w:rFonts w:ascii="Titillium" w:hAnsi="Titillium" w:cs="Calibri"/>
          <w:color w:val="000000" w:themeColor="text1"/>
          <w:sz w:val="18"/>
          <w:szCs w:val="18"/>
        </w:rPr>
        <w:t xml:space="preserve">Qualora nel corso di esecuzione del contratto, al verificarsi di particolari condizioni di natura oggettiva, </w:t>
      </w:r>
      <w:r w:rsidR="00631638" w:rsidRPr="000B0E59">
        <w:rPr>
          <w:rFonts w:ascii="Titillium" w:hAnsi="Titillium" w:cs="Calibri"/>
          <w:color w:val="000000" w:themeColor="text1"/>
          <w:sz w:val="18"/>
          <w:szCs w:val="18"/>
        </w:rPr>
        <w:t>si determin</w:t>
      </w:r>
      <w:r w:rsidR="00C63C5B" w:rsidRPr="000B0E59">
        <w:rPr>
          <w:rFonts w:ascii="Titillium" w:hAnsi="Titillium" w:cs="Calibri"/>
          <w:color w:val="000000" w:themeColor="text1"/>
          <w:sz w:val="18"/>
          <w:szCs w:val="18"/>
        </w:rPr>
        <w:t xml:space="preserve">i </w:t>
      </w:r>
      <w:r w:rsidR="00631638" w:rsidRPr="000B0E59">
        <w:rPr>
          <w:rFonts w:ascii="Titillium" w:hAnsi="Titillium" w:cs="Calibri"/>
          <w:color w:val="000000" w:themeColor="text1"/>
          <w:sz w:val="18"/>
          <w:szCs w:val="18"/>
        </w:rPr>
        <w:t>una variazione</w:t>
      </w:r>
      <w:r w:rsidR="00F3758E" w:rsidRPr="000B0E59">
        <w:rPr>
          <w:rFonts w:ascii="Titillium" w:hAnsi="Titillium" w:cs="Calibri"/>
          <w:color w:val="000000" w:themeColor="text1"/>
          <w:sz w:val="18"/>
          <w:szCs w:val="18"/>
        </w:rPr>
        <w:t xml:space="preserve"> in aumento o in diminuzione, della componente delle spese e degli oneri accessori</w:t>
      </w:r>
      <w:r w:rsidR="00631638" w:rsidRPr="000B0E59">
        <w:rPr>
          <w:rFonts w:ascii="Titillium" w:hAnsi="Titillium" w:cs="Calibri"/>
          <w:color w:val="000000" w:themeColor="text1"/>
          <w:sz w:val="18"/>
          <w:szCs w:val="18"/>
        </w:rPr>
        <w:t>,</w:t>
      </w:r>
      <w:r w:rsidR="003E71EA" w:rsidRPr="000B0E59">
        <w:rPr>
          <w:rFonts w:ascii="Titillium" w:hAnsi="Titillium" w:cs="Calibri"/>
          <w:color w:val="000000" w:themeColor="text1"/>
          <w:sz w:val="18"/>
          <w:szCs w:val="18"/>
        </w:rPr>
        <w:t xml:space="preserve"> s</w:t>
      </w:r>
      <w:r w:rsidR="00631638" w:rsidRPr="000B0E59">
        <w:rPr>
          <w:rFonts w:ascii="Titillium" w:hAnsi="Titillium" w:cs="Calibri"/>
          <w:color w:val="000000" w:themeColor="text1"/>
          <w:sz w:val="18"/>
          <w:szCs w:val="18"/>
        </w:rPr>
        <w:t>uperiore al cinque per cento dell’importo</w:t>
      </w:r>
      <w:r w:rsidR="00F3758E" w:rsidRPr="000B0E59">
        <w:rPr>
          <w:rFonts w:ascii="Titillium" w:hAnsi="Titillium" w:cs="Calibri"/>
          <w:color w:val="000000" w:themeColor="text1"/>
          <w:sz w:val="18"/>
          <w:szCs w:val="18"/>
        </w:rPr>
        <w:t xml:space="preserve"> </w:t>
      </w:r>
      <w:r w:rsidR="00631638" w:rsidRPr="000B0E59">
        <w:rPr>
          <w:rFonts w:ascii="Titillium" w:hAnsi="Titillium" w:cs="Calibri"/>
          <w:color w:val="000000" w:themeColor="text1"/>
          <w:sz w:val="18"/>
          <w:szCs w:val="18"/>
        </w:rPr>
        <w:t>complessivo</w:t>
      </w:r>
      <w:r w:rsidR="00F3758E" w:rsidRPr="000B0E59">
        <w:rPr>
          <w:rFonts w:ascii="Titillium" w:hAnsi="Titillium" w:cs="Calibri"/>
          <w:color w:val="000000" w:themeColor="text1"/>
          <w:sz w:val="18"/>
          <w:szCs w:val="18"/>
        </w:rPr>
        <w:t xml:space="preserve"> della componente</w:t>
      </w:r>
      <w:r w:rsidR="00631638" w:rsidRPr="000B0E59">
        <w:rPr>
          <w:rFonts w:ascii="Titillium" w:hAnsi="Titillium" w:cs="Calibri"/>
          <w:color w:val="000000" w:themeColor="text1"/>
          <w:sz w:val="18"/>
          <w:szCs w:val="18"/>
        </w:rPr>
        <w:t>, i prezzi sono aggiornati nella misura dell’ottanta per cento della variazione del valore eccedente la variazione del</w:t>
      </w:r>
      <w:r w:rsidR="00937EDE" w:rsidRPr="000B0E59">
        <w:rPr>
          <w:rFonts w:ascii="Titillium" w:hAnsi="Titillium" w:cs="Calibri"/>
          <w:color w:val="000000" w:themeColor="text1"/>
          <w:sz w:val="18"/>
          <w:szCs w:val="18"/>
        </w:rPr>
        <w:t xml:space="preserve"> cinque</w:t>
      </w:r>
      <w:r w:rsidR="00631638" w:rsidRPr="000B0E59">
        <w:rPr>
          <w:rFonts w:ascii="Titillium" w:hAnsi="Titillium" w:cs="Calibri"/>
          <w:color w:val="000000" w:themeColor="text1"/>
          <w:sz w:val="18"/>
          <w:szCs w:val="18"/>
        </w:rPr>
        <w:t xml:space="preserve"> per cento applicata alle prestazioni da eseguire. </w:t>
      </w:r>
    </w:p>
    <w:p w14:paraId="6AE9E7C7" w14:textId="58629C42" w:rsidR="005B6DDF" w:rsidRPr="000B0E59" w:rsidRDefault="00BC6543" w:rsidP="00631638">
      <w:pPr>
        <w:spacing w:before="60" w:after="60"/>
        <w:rPr>
          <w:rFonts w:ascii="Titillium" w:hAnsi="Titillium" w:cs="Calibri"/>
          <w:color w:val="000000" w:themeColor="text1"/>
          <w:sz w:val="18"/>
          <w:szCs w:val="18"/>
        </w:rPr>
      </w:pPr>
      <w:r w:rsidRPr="000B0E59">
        <w:rPr>
          <w:rFonts w:ascii="Titillium" w:hAnsi="Titillium" w:cs="Calibri"/>
          <w:color w:val="000000" w:themeColor="text1"/>
          <w:sz w:val="18"/>
          <w:szCs w:val="18"/>
        </w:rPr>
        <w:t xml:space="preserve">Ai fini della determinazione della suddetta variazione si utilizzano i seguenti indici … </w:t>
      </w:r>
      <w:r w:rsidRPr="000B0E59">
        <w:rPr>
          <w:rFonts w:ascii="Titillium" w:hAnsi="Titillium" w:cs="Calibri"/>
          <w:i/>
          <w:iCs/>
          <w:color w:val="000000" w:themeColor="text1"/>
          <w:sz w:val="18"/>
          <w:szCs w:val="18"/>
        </w:rPr>
        <w:t>[indicare quale indice o quale combinazione di indici tra quelli indicati all’articolo 60, comma 3, lettera b del Codice, tenuto conto delle previsioni di cui all’</w:t>
      </w:r>
      <w:r w:rsidR="003E71EA" w:rsidRPr="000B0E59">
        <w:rPr>
          <w:rFonts w:ascii="Titillium" w:hAnsi="Titillium" w:cs="Calibri"/>
          <w:i/>
          <w:iCs/>
          <w:color w:val="000000" w:themeColor="text1"/>
          <w:sz w:val="18"/>
          <w:szCs w:val="18"/>
        </w:rPr>
        <w:t>A</w:t>
      </w:r>
      <w:r w:rsidRPr="000B0E59">
        <w:rPr>
          <w:rFonts w:ascii="Titillium" w:hAnsi="Titillium" w:cs="Calibri"/>
          <w:i/>
          <w:iCs/>
          <w:color w:val="000000" w:themeColor="text1"/>
          <w:sz w:val="18"/>
          <w:szCs w:val="18"/>
        </w:rPr>
        <w:t>llegato II.2-bis],</w:t>
      </w:r>
      <w:r w:rsidRPr="000B0E59">
        <w:rPr>
          <w:rFonts w:ascii="Titillium" w:hAnsi="Titillium" w:cs="Calibri"/>
          <w:color w:val="000000" w:themeColor="text1"/>
          <w:sz w:val="18"/>
          <w:szCs w:val="18"/>
        </w:rPr>
        <w:t xml:space="preserve"> in applicazione di quanto previsto nello schema di </w:t>
      </w:r>
      <w:r w:rsidR="00FB6DF2">
        <w:rPr>
          <w:rFonts w:ascii="Titillium" w:hAnsi="Titillium" w:cs="Calibri"/>
          <w:color w:val="000000" w:themeColor="text1"/>
          <w:sz w:val="18"/>
          <w:szCs w:val="18"/>
        </w:rPr>
        <w:t>C</w:t>
      </w:r>
      <w:r w:rsidRPr="000B0E59">
        <w:rPr>
          <w:rFonts w:ascii="Titillium" w:hAnsi="Titillium" w:cs="Calibri"/>
          <w:color w:val="000000" w:themeColor="text1"/>
          <w:sz w:val="18"/>
          <w:szCs w:val="18"/>
        </w:rPr>
        <w:t xml:space="preserve">ontratto e/o nel capitolato speciale allegati al presente disciplinare. </w:t>
      </w:r>
    </w:p>
    <w:p w14:paraId="76E879E7" w14:textId="7CDB6716" w:rsidR="001E1F33" w:rsidRPr="000B0E59" w:rsidRDefault="001E1F33" w:rsidP="001E1F33">
      <w:pPr>
        <w:spacing w:before="60" w:after="60"/>
        <w:rPr>
          <w:rFonts w:ascii="Titillium" w:hAnsi="Titillium" w:cs="Calibri"/>
          <w:color w:val="000000" w:themeColor="text1"/>
          <w:sz w:val="18"/>
          <w:szCs w:val="18"/>
        </w:rPr>
      </w:pPr>
      <w:r w:rsidRPr="000B0E59">
        <w:rPr>
          <w:rFonts w:ascii="Titillium" w:hAnsi="Titillium" w:cs="Calibri"/>
          <w:color w:val="000000" w:themeColor="text1"/>
          <w:sz w:val="18"/>
          <w:szCs w:val="18"/>
        </w:rPr>
        <w:t xml:space="preserve">Al verificarsi delle particolari condizioni di natura oggettiva indicate al primo capoverso, la revisione dei prezzi si </w:t>
      </w:r>
      <w:r w:rsidR="00950BD8" w:rsidRPr="000B0E59">
        <w:rPr>
          <w:rFonts w:ascii="Titillium" w:hAnsi="Titillium" w:cs="Calibri"/>
          <w:color w:val="000000" w:themeColor="text1"/>
          <w:sz w:val="18"/>
          <w:szCs w:val="18"/>
        </w:rPr>
        <w:t>applica anche</w:t>
      </w:r>
      <w:r w:rsidRPr="000B0E59">
        <w:rPr>
          <w:rFonts w:ascii="Titillium" w:hAnsi="Titillium" w:cs="Calibri"/>
          <w:color w:val="000000" w:themeColor="text1"/>
          <w:sz w:val="18"/>
          <w:szCs w:val="18"/>
        </w:rPr>
        <w:t xml:space="preserve"> ai contratti di subappalto e ai subcontratti comunicati alla stazione appaltante.</w:t>
      </w:r>
    </w:p>
    <w:tbl>
      <w:tblPr>
        <w:tblStyle w:val="Grigliatabella"/>
        <w:tblW w:w="0" w:type="auto"/>
        <w:tblLook w:val="04A0" w:firstRow="1" w:lastRow="0" w:firstColumn="1" w:lastColumn="0" w:noHBand="0" w:noVBand="1"/>
      </w:tblPr>
      <w:tblGrid>
        <w:gridCol w:w="9214"/>
      </w:tblGrid>
      <w:tr w:rsidR="00FF0F52" w14:paraId="64A5DD61" w14:textId="77777777" w:rsidTr="00FF0F52">
        <w:tc>
          <w:tcPr>
            <w:tcW w:w="9214" w:type="dxa"/>
          </w:tcPr>
          <w:p w14:paraId="7F11B050" w14:textId="7B417607" w:rsidR="00036997" w:rsidRDefault="00735F4A" w:rsidP="004A712A">
            <w:pPr>
              <w:spacing w:before="60" w:after="60"/>
              <w:rPr>
                <w:rFonts w:ascii="Titillium" w:hAnsi="Titillium" w:cs="Calibri"/>
                <w:i/>
                <w:iCs/>
                <w:color w:val="000000" w:themeColor="text1"/>
                <w:sz w:val="18"/>
                <w:szCs w:val="18"/>
              </w:rPr>
            </w:pPr>
            <w:r w:rsidRPr="000B0E59">
              <w:rPr>
                <w:rFonts w:ascii="Titillium" w:hAnsi="Titillium" w:cs="Calibri"/>
                <w:i/>
                <w:iCs/>
                <w:color w:val="000000" w:themeColor="text1"/>
                <w:sz w:val="18"/>
                <w:szCs w:val="18"/>
              </w:rPr>
              <w:t xml:space="preserve">Nei casi in cui  il servizio di ingegneria ed architettura, </w:t>
            </w:r>
            <w:r w:rsidR="0035778C" w:rsidRPr="000B0E59">
              <w:rPr>
                <w:rFonts w:ascii="Titillium" w:hAnsi="Titillium" w:cs="Calibri"/>
                <w:i/>
                <w:iCs/>
                <w:color w:val="000000" w:themeColor="text1"/>
                <w:sz w:val="18"/>
                <w:szCs w:val="18"/>
              </w:rPr>
              <w:t>per cause sopravvenute ed imprevedibili, non imputabili al pro</w:t>
            </w:r>
            <w:r w:rsidRPr="000B0E59">
              <w:rPr>
                <w:rFonts w:ascii="Titillium" w:hAnsi="Titillium" w:cs="Calibri"/>
                <w:i/>
                <w:iCs/>
                <w:color w:val="000000" w:themeColor="text1"/>
                <w:sz w:val="18"/>
                <w:szCs w:val="18"/>
              </w:rPr>
              <w:t xml:space="preserve">fessionista incaricato, subisca variazioni </w:t>
            </w:r>
            <w:r w:rsidR="007D7A07" w:rsidRPr="000B0E59">
              <w:rPr>
                <w:rFonts w:ascii="Titillium" w:hAnsi="Titillium" w:cs="Calibri"/>
                <w:i/>
                <w:iCs/>
                <w:color w:val="000000" w:themeColor="text1"/>
                <w:sz w:val="18"/>
                <w:szCs w:val="18"/>
              </w:rPr>
              <w:t xml:space="preserve">dei costi </w:t>
            </w:r>
            <w:r w:rsidRPr="000B0E59">
              <w:rPr>
                <w:rFonts w:ascii="Titillium" w:hAnsi="Titillium" w:cs="Calibri"/>
                <w:i/>
                <w:iCs/>
                <w:color w:val="000000" w:themeColor="text1"/>
                <w:sz w:val="18"/>
                <w:szCs w:val="18"/>
              </w:rPr>
              <w:t>complessivi, estrane</w:t>
            </w:r>
            <w:r w:rsidR="004A712A" w:rsidRPr="000B0E59">
              <w:rPr>
                <w:rFonts w:ascii="Titillium" w:hAnsi="Titillium" w:cs="Calibri"/>
                <w:i/>
                <w:iCs/>
                <w:color w:val="000000" w:themeColor="text1"/>
                <w:sz w:val="18"/>
                <w:szCs w:val="18"/>
              </w:rPr>
              <w:t>i</w:t>
            </w:r>
            <w:r w:rsidRPr="000B0E59">
              <w:rPr>
                <w:rFonts w:ascii="Titillium" w:hAnsi="Titillium" w:cs="Calibri"/>
                <w:i/>
                <w:iCs/>
                <w:color w:val="000000" w:themeColor="text1"/>
                <w:sz w:val="18"/>
                <w:szCs w:val="18"/>
              </w:rPr>
              <w:t xml:space="preserve"> alla normale alea, all’ordinaria fluttuazione economica e</w:t>
            </w:r>
            <w:r w:rsidR="004A712A" w:rsidRPr="000B0E59">
              <w:rPr>
                <w:rFonts w:ascii="Titillium" w:hAnsi="Titillium" w:cs="Calibri"/>
                <w:i/>
                <w:iCs/>
                <w:color w:val="000000" w:themeColor="text1"/>
                <w:sz w:val="18"/>
                <w:szCs w:val="18"/>
              </w:rPr>
              <w:t>d</w:t>
            </w:r>
            <w:r w:rsidRPr="000B0E59">
              <w:rPr>
                <w:rFonts w:ascii="Titillium" w:hAnsi="Titillium" w:cs="Calibri"/>
                <w:i/>
                <w:iCs/>
                <w:color w:val="000000" w:themeColor="text1"/>
                <w:sz w:val="18"/>
                <w:szCs w:val="18"/>
              </w:rPr>
              <w:t xml:space="preserve"> al rischio di mercato e tali da alterare in maniera rilevante l’equilibrio originario del contratto,</w:t>
            </w:r>
            <w:r w:rsidR="004A712A" w:rsidRPr="000B0E59">
              <w:rPr>
                <w:rFonts w:ascii="Titillium" w:hAnsi="Titillium" w:cs="Calibri"/>
                <w:i/>
                <w:iCs/>
                <w:color w:val="000000" w:themeColor="text1"/>
                <w:sz w:val="18"/>
                <w:szCs w:val="18"/>
              </w:rPr>
              <w:t xml:space="preserve"> </w:t>
            </w:r>
            <w:r w:rsidR="008D1A0D" w:rsidRPr="000B0E59">
              <w:rPr>
                <w:rFonts w:ascii="Titillium" w:hAnsi="Titillium" w:cs="Calibri"/>
                <w:i/>
                <w:iCs/>
                <w:color w:val="000000" w:themeColor="text1"/>
                <w:sz w:val="18"/>
                <w:szCs w:val="18"/>
              </w:rPr>
              <w:t>può trovare applicazione l’art</w:t>
            </w:r>
            <w:r w:rsidR="00AF0987" w:rsidRPr="000B0E59">
              <w:rPr>
                <w:rFonts w:ascii="Titillium" w:hAnsi="Titillium" w:cs="Calibri"/>
                <w:i/>
                <w:iCs/>
                <w:color w:val="000000" w:themeColor="text1"/>
                <w:sz w:val="18"/>
                <w:szCs w:val="18"/>
              </w:rPr>
              <w:t>icolo</w:t>
            </w:r>
            <w:r w:rsidR="008D1A0D" w:rsidRPr="000B0E59">
              <w:rPr>
                <w:rFonts w:ascii="Titillium" w:hAnsi="Titillium" w:cs="Calibri"/>
                <w:i/>
                <w:iCs/>
                <w:color w:val="000000" w:themeColor="text1"/>
                <w:sz w:val="18"/>
                <w:szCs w:val="18"/>
              </w:rPr>
              <w:t xml:space="preserve"> 9 (Principio di conservazione dell’equilibrio contrattuale) del Codice dei contratti pubblici, con  conseguente dir</w:t>
            </w:r>
            <w:r w:rsidRPr="000B0E59">
              <w:rPr>
                <w:rFonts w:ascii="Titillium" w:hAnsi="Titillium" w:cs="Calibri"/>
                <w:i/>
                <w:iCs/>
                <w:color w:val="000000" w:themeColor="text1"/>
                <w:sz w:val="18"/>
                <w:szCs w:val="18"/>
              </w:rPr>
              <w:t>itto alla rinegoziazione secondo buona fede delle condizioni contrattuali</w:t>
            </w:r>
            <w:r w:rsidR="00AF0987" w:rsidRPr="000B0E59">
              <w:rPr>
                <w:rFonts w:ascii="Titillium" w:hAnsi="Titillium" w:cs="Calibri"/>
                <w:i/>
                <w:iCs/>
                <w:color w:val="000000" w:themeColor="text1"/>
                <w:sz w:val="18"/>
                <w:szCs w:val="18"/>
              </w:rPr>
              <w:t>.</w:t>
            </w:r>
          </w:p>
        </w:tc>
      </w:tr>
    </w:tbl>
    <w:p w14:paraId="469C33A7" w14:textId="4DA6B036" w:rsidR="00F54FA4" w:rsidRPr="000B6D7A" w:rsidRDefault="00F54FA4" w:rsidP="00631638">
      <w:pPr>
        <w:spacing w:before="60" w:after="60"/>
        <w:rPr>
          <w:rFonts w:ascii="Titillium" w:hAnsi="Titillium" w:cs="Calibri"/>
          <w:i/>
          <w:iCs/>
          <w:color w:val="000000" w:themeColor="text1"/>
          <w:sz w:val="18"/>
          <w:szCs w:val="18"/>
        </w:rPr>
      </w:pPr>
      <w:r w:rsidRPr="000B6D7A">
        <w:rPr>
          <w:rFonts w:ascii="Titillium" w:hAnsi="Titillium" w:cs="Calibri"/>
          <w:i/>
          <w:iCs/>
          <w:color w:val="000000" w:themeColor="text1"/>
          <w:sz w:val="18"/>
          <w:szCs w:val="18"/>
        </w:rPr>
        <w:t xml:space="preserve"> </w:t>
      </w:r>
    </w:p>
    <w:p w14:paraId="2062A03A" w14:textId="710DC648" w:rsidR="009D5563" w:rsidRPr="00B93FA6" w:rsidRDefault="006D1A97" w:rsidP="00F661D1">
      <w:pPr>
        <w:spacing w:before="60" w:after="60"/>
        <w:rPr>
          <w:rFonts w:ascii="Titillium" w:hAnsi="Titillium" w:cs="Calibri"/>
          <w:i/>
          <w:iCs/>
          <w:sz w:val="18"/>
          <w:szCs w:val="18"/>
        </w:rPr>
      </w:pPr>
      <w:bookmarkStart w:id="249" w:name="_Toc498419727"/>
      <w:bookmarkStart w:id="250" w:name="_Toc497831535"/>
      <w:bookmarkStart w:id="251" w:name="_Hlk209079096"/>
      <w:bookmarkEnd w:id="249"/>
      <w:bookmarkEnd w:id="250"/>
      <w:r w:rsidRPr="008D1A0D">
        <w:rPr>
          <w:rFonts w:ascii="Titillium" w:hAnsi="Titillium" w:cs="Calibri"/>
          <w:b/>
          <w:bCs/>
          <w:i/>
          <w:iCs/>
          <w:sz w:val="18"/>
          <w:szCs w:val="18"/>
        </w:rPr>
        <w:t>[Facoltativo</w:t>
      </w:r>
      <w:r w:rsidR="00FE4736" w:rsidRPr="008D1A0D">
        <w:rPr>
          <w:rFonts w:ascii="Titillium" w:hAnsi="Titillium" w:cs="Calibri"/>
          <w:b/>
          <w:bCs/>
          <w:sz w:val="18"/>
          <w:szCs w:val="18"/>
        </w:rPr>
        <w:t>]</w:t>
      </w:r>
      <w:r w:rsidR="00FE4736" w:rsidRPr="008D1A0D">
        <w:t xml:space="preserve"> </w:t>
      </w:r>
      <w:r w:rsidR="00B548D2" w:rsidRPr="008D1A0D">
        <w:rPr>
          <w:rFonts w:ascii="Titillium" w:hAnsi="Titillium"/>
          <w:b/>
          <w:bCs/>
          <w:sz w:val="18"/>
          <w:szCs w:val="18"/>
        </w:rPr>
        <w:t>Anticipazione:</w:t>
      </w:r>
      <w:r w:rsidR="00B548D2">
        <w:rPr>
          <w:rFonts w:ascii="Titillium" w:hAnsi="Titillium"/>
          <w:sz w:val="18"/>
          <w:szCs w:val="18"/>
        </w:rPr>
        <w:t xml:space="preserve"> Ai</w:t>
      </w:r>
      <w:r w:rsidR="00FE4736" w:rsidRPr="00FE0FE8">
        <w:rPr>
          <w:rFonts w:ascii="Titillium" w:hAnsi="Titillium"/>
          <w:sz w:val="18"/>
          <w:szCs w:val="18"/>
        </w:rPr>
        <w:t xml:space="preserve"> sensi di quanto previsto dal comma 1 bis dell’</w:t>
      </w:r>
      <w:r w:rsidR="00C63C5B">
        <w:rPr>
          <w:rFonts w:ascii="Titillium" w:hAnsi="Titillium"/>
          <w:sz w:val="18"/>
          <w:szCs w:val="18"/>
        </w:rPr>
        <w:t>articolo</w:t>
      </w:r>
      <w:r w:rsidR="00FE4736" w:rsidRPr="00FE0FE8">
        <w:rPr>
          <w:rFonts w:ascii="Titillium" w:hAnsi="Titillium"/>
          <w:sz w:val="18"/>
          <w:szCs w:val="18"/>
        </w:rPr>
        <w:t xml:space="preserve"> 33 dell’Allegato II.14 e dell’</w:t>
      </w:r>
      <w:r w:rsidR="00C63C5B">
        <w:rPr>
          <w:rFonts w:ascii="Titillium" w:hAnsi="Titillium"/>
          <w:sz w:val="18"/>
          <w:szCs w:val="18"/>
        </w:rPr>
        <w:t>articolo</w:t>
      </w:r>
      <w:r w:rsidR="00FE4736" w:rsidRPr="00FE0FE8">
        <w:rPr>
          <w:rFonts w:ascii="Titillium" w:hAnsi="Titillium"/>
          <w:sz w:val="18"/>
          <w:szCs w:val="18"/>
        </w:rPr>
        <w:t xml:space="preserve"> 125 comma 1 </w:t>
      </w:r>
      <w:r w:rsidR="00BE4E5D">
        <w:rPr>
          <w:rFonts w:ascii="Titillium" w:hAnsi="Titillium"/>
          <w:sz w:val="18"/>
          <w:szCs w:val="18"/>
        </w:rPr>
        <w:t xml:space="preserve">del Codice </w:t>
      </w:r>
      <w:r w:rsidR="00016161" w:rsidRPr="00FE0FE8">
        <w:rPr>
          <w:rFonts w:ascii="Titillium" w:hAnsi="Titillium"/>
          <w:sz w:val="18"/>
          <w:szCs w:val="18"/>
        </w:rPr>
        <w:t xml:space="preserve">è </w:t>
      </w:r>
      <w:r w:rsidR="00FE4736" w:rsidRPr="00FE0FE8">
        <w:rPr>
          <w:rFonts w:ascii="Titillium" w:hAnsi="Titillium"/>
          <w:sz w:val="18"/>
          <w:szCs w:val="18"/>
        </w:rPr>
        <w:t>prevista un’anticipazione del prezzo</w:t>
      </w:r>
      <w:r w:rsidR="00016161" w:rsidRPr="00FE0FE8">
        <w:rPr>
          <w:rFonts w:ascii="Titillium" w:hAnsi="Titillium"/>
          <w:sz w:val="18"/>
          <w:szCs w:val="18"/>
        </w:rPr>
        <w:t xml:space="preserve"> pari al </w:t>
      </w:r>
      <w:r w:rsidR="00C63C5B">
        <w:rPr>
          <w:rFonts w:ascii="Titillium" w:hAnsi="Titillium"/>
          <w:sz w:val="18"/>
          <w:szCs w:val="18"/>
        </w:rPr>
        <w:t xml:space="preserve">… </w:t>
      </w:r>
      <w:r w:rsidR="00016161" w:rsidRPr="00FE0FE8">
        <w:rPr>
          <w:rFonts w:ascii="Titillium" w:hAnsi="Titillium"/>
          <w:sz w:val="18"/>
          <w:szCs w:val="18"/>
        </w:rPr>
        <w:t>[</w:t>
      </w:r>
      <w:r w:rsidR="00016161" w:rsidRPr="00FE0FE8">
        <w:rPr>
          <w:rFonts w:ascii="Titillium" w:hAnsi="Titillium"/>
          <w:i/>
          <w:iCs/>
          <w:sz w:val="18"/>
          <w:szCs w:val="18"/>
        </w:rPr>
        <w:t>indicare una percentuale fino al massimo del 10 per cento</w:t>
      </w:r>
      <w:r w:rsidR="00A64823" w:rsidRPr="00A64823">
        <w:t xml:space="preserve"> </w:t>
      </w:r>
      <w:r w:rsidR="00A64823" w:rsidRPr="00A64823">
        <w:rPr>
          <w:rFonts w:ascii="Titillium" w:hAnsi="Titillium"/>
          <w:i/>
          <w:iCs/>
          <w:sz w:val="18"/>
          <w:szCs w:val="18"/>
        </w:rPr>
        <w:t>del valore del contratto</w:t>
      </w:r>
      <w:r w:rsidR="00016161" w:rsidRPr="00FE0FE8">
        <w:rPr>
          <w:rFonts w:ascii="Titillium" w:hAnsi="Titillium"/>
          <w:i/>
          <w:iCs/>
          <w:sz w:val="18"/>
          <w:szCs w:val="18"/>
        </w:rPr>
        <w:t>, nei limiti delle disponibilità del quadro economico]</w:t>
      </w:r>
      <w:r w:rsidR="00FE4736" w:rsidRPr="00FE0FE8">
        <w:rPr>
          <w:rFonts w:ascii="Titillium" w:hAnsi="Titillium" w:cs="Calibri"/>
          <w:b/>
          <w:bCs/>
          <w:sz w:val="18"/>
          <w:szCs w:val="18"/>
        </w:rPr>
        <w:t>,</w:t>
      </w:r>
      <w:r w:rsidR="00912C99" w:rsidRPr="00FE0FE8">
        <w:t xml:space="preserve"> </w:t>
      </w:r>
      <w:r w:rsidR="00912C99" w:rsidRPr="00FE0FE8">
        <w:rPr>
          <w:rFonts w:ascii="Titillium" w:hAnsi="Titillium" w:cs="Calibri"/>
          <w:sz w:val="18"/>
          <w:szCs w:val="18"/>
        </w:rPr>
        <w:t xml:space="preserve">da erogarsi previa costituzione dell’apposita garanzia fideiussoria bancaria o assicurativa di cui al richiamato </w:t>
      </w:r>
      <w:r w:rsidR="00C63C5B">
        <w:rPr>
          <w:rFonts w:ascii="Titillium" w:hAnsi="Titillium" w:cs="Calibri"/>
          <w:sz w:val="18"/>
          <w:szCs w:val="18"/>
        </w:rPr>
        <w:t>articolo</w:t>
      </w:r>
      <w:r w:rsidR="00912C99" w:rsidRPr="00FE0FE8">
        <w:rPr>
          <w:rFonts w:ascii="Titillium" w:hAnsi="Titillium" w:cs="Calibri"/>
          <w:sz w:val="18"/>
          <w:szCs w:val="18"/>
        </w:rPr>
        <w:t xml:space="preserve"> 125 comma 1 e secondo le modalità dettagliate nell’</w:t>
      </w:r>
      <w:r w:rsidR="00C63C5B">
        <w:rPr>
          <w:rFonts w:ascii="Titillium" w:hAnsi="Titillium" w:cs="Calibri"/>
          <w:sz w:val="18"/>
          <w:szCs w:val="18"/>
        </w:rPr>
        <w:t>articolo</w:t>
      </w:r>
      <w:r w:rsidRPr="00FE0FE8">
        <w:rPr>
          <w:rFonts w:ascii="Titillium" w:hAnsi="Titillium" w:cs="Calibri"/>
          <w:sz w:val="18"/>
          <w:szCs w:val="18"/>
        </w:rPr>
        <w:t xml:space="preserve"> </w:t>
      </w:r>
      <w:r w:rsidR="00912C99" w:rsidRPr="00FE0FE8">
        <w:rPr>
          <w:rFonts w:ascii="Titillium" w:hAnsi="Titillium" w:cs="Calibri"/>
          <w:sz w:val="18"/>
          <w:szCs w:val="18"/>
        </w:rPr>
        <w:t>…. [</w:t>
      </w:r>
      <w:r w:rsidR="00912C99" w:rsidRPr="00FE0FE8">
        <w:rPr>
          <w:rFonts w:ascii="Titillium" w:hAnsi="Titillium" w:cs="Calibri"/>
          <w:i/>
          <w:iCs/>
          <w:sz w:val="18"/>
          <w:szCs w:val="18"/>
        </w:rPr>
        <w:t>specificare]</w:t>
      </w:r>
      <w:r w:rsidR="00912C99" w:rsidRPr="00FE0FE8">
        <w:rPr>
          <w:rFonts w:ascii="Titillium" w:hAnsi="Titillium" w:cs="Calibri"/>
          <w:sz w:val="18"/>
          <w:szCs w:val="18"/>
        </w:rPr>
        <w:t xml:space="preserve"> del Capitolato Speciale</w:t>
      </w:r>
      <w:r w:rsidR="006A7735" w:rsidRPr="00FE0FE8">
        <w:rPr>
          <w:rFonts w:ascii="Titillium" w:hAnsi="Titillium" w:cs="Calibri"/>
          <w:sz w:val="18"/>
          <w:szCs w:val="18"/>
        </w:rPr>
        <w:t xml:space="preserve"> o dello schema di </w:t>
      </w:r>
      <w:r w:rsidR="00B548D2">
        <w:rPr>
          <w:rFonts w:ascii="Titillium" w:hAnsi="Titillium" w:cs="Calibri"/>
          <w:sz w:val="18"/>
          <w:szCs w:val="18"/>
        </w:rPr>
        <w:t>C</w:t>
      </w:r>
      <w:r w:rsidR="006A7735" w:rsidRPr="00FE0FE8">
        <w:rPr>
          <w:rFonts w:ascii="Titillium" w:hAnsi="Titillium" w:cs="Calibri"/>
          <w:sz w:val="18"/>
          <w:szCs w:val="18"/>
        </w:rPr>
        <w:t>ontratto</w:t>
      </w:r>
      <w:r w:rsidR="00912C99" w:rsidRPr="00FE0FE8">
        <w:rPr>
          <w:rFonts w:ascii="Titillium" w:hAnsi="Titillium" w:cs="Calibri"/>
          <w:sz w:val="18"/>
          <w:szCs w:val="18"/>
        </w:rPr>
        <w:t>.</w:t>
      </w:r>
      <w:r w:rsidR="00912C99" w:rsidRPr="00912C99">
        <w:rPr>
          <w:rFonts w:ascii="Titillium" w:hAnsi="Titillium" w:cs="Calibri"/>
          <w:sz w:val="18"/>
          <w:szCs w:val="18"/>
        </w:rPr>
        <w:t xml:space="preserve"> </w:t>
      </w:r>
      <w:r w:rsidR="00FE4736" w:rsidRPr="00912C99">
        <w:rPr>
          <w:rFonts w:ascii="Titillium" w:hAnsi="Titillium" w:cs="Calibri"/>
          <w:sz w:val="18"/>
          <w:szCs w:val="18"/>
        </w:rPr>
        <w:t xml:space="preserve"> </w:t>
      </w:r>
    </w:p>
    <w:bookmarkEnd w:id="251"/>
    <w:p w14:paraId="2623E3EA" w14:textId="77777777" w:rsidR="00B548D2" w:rsidRDefault="00B548D2" w:rsidP="009D5563">
      <w:pPr>
        <w:spacing w:before="60" w:after="60"/>
        <w:rPr>
          <w:rFonts w:ascii="Titillium" w:hAnsi="Titillium"/>
          <w:i/>
          <w:iCs/>
          <w:color w:val="000000" w:themeColor="text1"/>
          <w:sz w:val="18"/>
          <w:szCs w:val="18"/>
        </w:rPr>
      </w:pPr>
    </w:p>
    <w:p w14:paraId="54D9C2E1" w14:textId="791CD898" w:rsidR="002828F4" w:rsidRPr="00122FB2" w:rsidRDefault="00087B02" w:rsidP="00122FB2">
      <w:pPr>
        <w:rPr>
          <w:rFonts w:ascii="Titillium" w:hAnsi="Titillium"/>
          <w:color w:val="000000" w:themeColor="text1"/>
          <w:sz w:val="18"/>
          <w:szCs w:val="18"/>
        </w:rPr>
      </w:pPr>
      <w:r w:rsidRPr="008D1A0D">
        <w:rPr>
          <w:rFonts w:ascii="Titillium" w:hAnsi="Titillium"/>
          <w:i/>
          <w:iCs/>
          <w:color w:val="000000" w:themeColor="text1"/>
          <w:sz w:val="18"/>
          <w:szCs w:val="18"/>
        </w:rPr>
        <w:t>[</w:t>
      </w:r>
      <w:r w:rsidR="0035531B" w:rsidRPr="008D1A0D">
        <w:rPr>
          <w:rFonts w:ascii="Titillium" w:hAnsi="Titillium"/>
          <w:b/>
          <w:bCs/>
          <w:i/>
          <w:iCs/>
          <w:color w:val="000000" w:themeColor="text1"/>
          <w:sz w:val="18"/>
          <w:szCs w:val="18"/>
        </w:rPr>
        <w:t>F</w:t>
      </w:r>
      <w:r w:rsidR="00E7030C" w:rsidRPr="008D1A0D">
        <w:rPr>
          <w:rFonts w:ascii="Titillium" w:hAnsi="Titillium"/>
          <w:b/>
          <w:bCs/>
          <w:i/>
          <w:iCs/>
          <w:color w:val="000000" w:themeColor="text1"/>
          <w:sz w:val="18"/>
          <w:szCs w:val="18"/>
        </w:rPr>
        <w:t>acoltativo]</w:t>
      </w:r>
      <w:r w:rsidR="00E7030C" w:rsidRPr="008D1A0D">
        <w:rPr>
          <w:rFonts w:ascii="Titillium" w:hAnsi="Titillium"/>
          <w:color w:val="000000" w:themeColor="text1"/>
          <w:sz w:val="18"/>
          <w:szCs w:val="18"/>
        </w:rPr>
        <w:t xml:space="preserve"> </w:t>
      </w:r>
      <w:r w:rsidR="00B548D2" w:rsidRPr="008D1A0D">
        <w:rPr>
          <w:rFonts w:ascii="Titillium" w:hAnsi="Titillium"/>
          <w:b/>
          <w:bCs/>
          <w:color w:val="000000" w:themeColor="text1"/>
          <w:sz w:val="18"/>
          <w:szCs w:val="18"/>
        </w:rPr>
        <w:t>Premio di accelerazione</w:t>
      </w:r>
      <w:r w:rsidR="00B548D2">
        <w:rPr>
          <w:rFonts w:ascii="Titillium" w:hAnsi="Titillium"/>
          <w:color w:val="000000" w:themeColor="text1"/>
          <w:sz w:val="18"/>
          <w:szCs w:val="18"/>
        </w:rPr>
        <w:t>:</w:t>
      </w:r>
      <w:r w:rsidR="00B548D2" w:rsidRPr="000B6D7A">
        <w:rPr>
          <w:rFonts w:ascii="Titillium" w:hAnsi="Titillium"/>
          <w:color w:val="000000" w:themeColor="text1"/>
          <w:sz w:val="18"/>
          <w:szCs w:val="18"/>
        </w:rPr>
        <w:t xml:space="preserve"> In</w:t>
      </w:r>
      <w:r w:rsidR="00E7030C" w:rsidRPr="000B6D7A">
        <w:rPr>
          <w:rFonts w:ascii="Titillium" w:hAnsi="Titillium"/>
          <w:color w:val="000000" w:themeColor="text1"/>
          <w:sz w:val="18"/>
          <w:szCs w:val="18"/>
        </w:rPr>
        <w:t xml:space="preserve"> caso di ultimazione anticipata della prestazione progettuale è riconosciuto un premio di accelerazione </w:t>
      </w:r>
      <w:r w:rsidR="00BF5C91" w:rsidRPr="000B6D7A">
        <w:rPr>
          <w:rFonts w:ascii="Titillium" w:hAnsi="Titillium"/>
          <w:color w:val="000000" w:themeColor="text1"/>
          <w:sz w:val="18"/>
          <w:szCs w:val="18"/>
        </w:rPr>
        <w:t>secondo le modalità e i criteri indicati al punto</w:t>
      </w:r>
      <w:r w:rsidR="00DE0A2A" w:rsidRPr="000B6D7A">
        <w:rPr>
          <w:rFonts w:ascii="Titillium" w:hAnsi="Titillium"/>
          <w:color w:val="000000" w:themeColor="text1"/>
          <w:sz w:val="18"/>
          <w:szCs w:val="18"/>
        </w:rPr>
        <w:t xml:space="preserve"> … </w:t>
      </w:r>
      <w:r w:rsidR="00B548D2">
        <w:rPr>
          <w:rFonts w:ascii="Titillium" w:hAnsi="Titillium"/>
          <w:color w:val="000000" w:themeColor="text1"/>
          <w:sz w:val="18"/>
          <w:szCs w:val="18"/>
        </w:rPr>
        <w:t>[</w:t>
      </w:r>
      <w:r w:rsidR="00B548D2" w:rsidRPr="00B548D2">
        <w:rPr>
          <w:rFonts w:ascii="Titillium" w:hAnsi="Titillium"/>
          <w:i/>
          <w:iCs/>
          <w:color w:val="000000" w:themeColor="text1"/>
          <w:sz w:val="18"/>
          <w:szCs w:val="18"/>
        </w:rPr>
        <w:t>specificare</w:t>
      </w:r>
      <w:r w:rsidR="00B548D2" w:rsidRPr="00B548D2">
        <w:rPr>
          <w:rFonts w:ascii="Titillium" w:hAnsi="Titillium"/>
          <w:color w:val="000000" w:themeColor="text1"/>
          <w:sz w:val="18"/>
          <w:szCs w:val="18"/>
        </w:rPr>
        <w:t xml:space="preserve">] del Capitolato Speciale o dello schema di Contratto.  </w:t>
      </w:r>
    </w:p>
    <w:p w14:paraId="0D07CEF9" w14:textId="1582B8F6" w:rsidR="006842EE" w:rsidRPr="00B544E7" w:rsidRDefault="008F2625" w:rsidP="00B544E7">
      <w:pPr>
        <w:pStyle w:val="Titolo2"/>
        <w:numPr>
          <w:ilvl w:val="0"/>
          <w:numId w:val="3"/>
        </w:numPr>
        <w:ind w:left="357" w:hanging="357"/>
        <w:rPr>
          <w:rFonts w:ascii="Titillium" w:hAnsi="Titillium"/>
          <w:caps w:val="0"/>
          <w:sz w:val="18"/>
          <w:szCs w:val="18"/>
        </w:rPr>
      </w:pPr>
      <w:bookmarkStart w:id="252" w:name="_Toc227921623"/>
      <w:r w:rsidRPr="00B544E7">
        <w:rPr>
          <w:rFonts w:ascii="Titillium" w:hAnsi="Titillium"/>
          <w:caps w:val="0"/>
          <w:sz w:val="18"/>
          <w:szCs w:val="18"/>
        </w:rPr>
        <w:t>SOGGETTI AMMESSI IN FORMA SINGOLA E ASSOCIATA E CONDIZIONI DI PARTECIPAZIONE</w:t>
      </w:r>
      <w:bookmarkStart w:id="253" w:name="_Toc406058371"/>
      <w:bookmarkStart w:id="254" w:name="_Toc403471265"/>
      <w:bookmarkStart w:id="255" w:name="_Toc397422858"/>
      <w:bookmarkStart w:id="256" w:name="_Toc397346817"/>
      <w:bookmarkStart w:id="257" w:name="_Toc393706902"/>
      <w:bookmarkStart w:id="258" w:name="_Toc393700829"/>
      <w:bookmarkStart w:id="259" w:name="_Toc393283170"/>
      <w:bookmarkStart w:id="260" w:name="_Toc393272654"/>
      <w:bookmarkStart w:id="261" w:name="_Toc393272596"/>
      <w:bookmarkStart w:id="262" w:name="_Toc393187840"/>
      <w:bookmarkStart w:id="263" w:name="_Toc393112123"/>
      <w:bookmarkStart w:id="264" w:name="_Toc393110559"/>
      <w:bookmarkStart w:id="265" w:name="_Toc392577492"/>
      <w:bookmarkStart w:id="266" w:name="_Toc391036051"/>
      <w:bookmarkStart w:id="267" w:name="_Toc391035978"/>
      <w:bookmarkStart w:id="268" w:name="_Toc380501865"/>
      <w:bookmarkStart w:id="269" w:name="_Toc391036049"/>
      <w:bookmarkStart w:id="270" w:name="_Toc391035976"/>
      <w:bookmarkStart w:id="271" w:name="_Toc485218274"/>
      <w:bookmarkStart w:id="272" w:name="_Toc484688838"/>
      <w:bookmarkStart w:id="273" w:name="_Toc484688283"/>
      <w:bookmarkStart w:id="274" w:name="_Toc484605414"/>
      <w:bookmarkStart w:id="275" w:name="_Toc484605290"/>
      <w:bookmarkStart w:id="276" w:name="_Toc484526570"/>
      <w:bookmarkStart w:id="277" w:name="_Toc484449075"/>
      <w:bookmarkStart w:id="278" w:name="_Toc484448951"/>
      <w:bookmarkStart w:id="279" w:name="_Toc484448827"/>
      <w:bookmarkStart w:id="280" w:name="_Toc484448704"/>
      <w:bookmarkStart w:id="281" w:name="_Toc484448580"/>
      <w:bookmarkStart w:id="282" w:name="_Toc484448456"/>
      <w:bookmarkStart w:id="283" w:name="_Toc484448332"/>
      <w:bookmarkStart w:id="284" w:name="_Toc484448208"/>
      <w:bookmarkStart w:id="285" w:name="_Toc484448083"/>
      <w:bookmarkStart w:id="286" w:name="_Toc484440424"/>
      <w:bookmarkStart w:id="287" w:name="_Toc484440064"/>
      <w:bookmarkStart w:id="288" w:name="_Toc484439940"/>
      <w:bookmarkStart w:id="289" w:name="_Toc484439817"/>
      <w:bookmarkStart w:id="290" w:name="_Toc484438897"/>
      <w:bookmarkStart w:id="291" w:name="_Toc484438773"/>
      <w:bookmarkStart w:id="292" w:name="_Toc484438649"/>
      <w:bookmarkStart w:id="293" w:name="_Toc484429074"/>
      <w:bookmarkStart w:id="294" w:name="_Toc484428904"/>
      <w:bookmarkStart w:id="295" w:name="_Toc484097732"/>
      <w:bookmarkStart w:id="296" w:name="_Toc484011658"/>
      <w:bookmarkStart w:id="297" w:name="_Toc484011183"/>
      <w:bookmarkStart w:id="298" w:name="_Toc484011061"/>
      <w:bookmarkStart w:id="299" w:name="_Toc484010939"/>
      <w:bookmarkStart w:id="300" w:name="_Toc484010815"/>
      <w:bookmarkStart w:id="301" w:name="_Toc484010693"/>
      <w:bookmarkStart w:id="302" w:name="_Toc483906943"/>
      <w:bookmarkStart w:id="303" w:name="_Toc483571566"/>
      <w:bookmarkStart w:id="304" w:name="_Toc483571445"/>
      <w:bookmarkStart w:id="305" w:name="_Toc483474016"/>
      <w:bookmarkStart w:id="306" w:name="_Toc483401219"/>
      <w:bookmarkStart w:id="307" w:name="_Toc483325740"/>
      <w:bookmarkStart w:id="308" w:name="_Toc483316437"/>
      <w:bookmarkStart w:id="309" w:name="_Toc483316306"/>
      <w:bookmarkStart w:id="310" w:name="_Toc483316103"/>
      <w:bookmarkStart w:id="311" w:name="_Toc483315898"/>
      <w:bookmarkStart w:id="312" w:name="_Toc483302348"/>
      <w:bookmarkStart w:id="313" w:name="_Toc483233648"/>
      <w:bookmarkStart w:id="314" w:name="_Toc482979687"/>
      <w:bookmarkStart w:id="315" w:name="_Toc482979589"/>
      <w:bookmarkStart w:id="316" w:name="_Toc482979480"/>
      <w:bookmarkStart w:id="317" w:name="_Toc482979372"/>
      <w:bookmarkStart w:id="318" w:name="_Toc482979263"/>
      <w:bookmarkStart w:id="319" w:name="_Toc482979154"/>
      <w:bookmarkStart w:id="320" w:name="_Toc482979043"/>
      <w:bookmarkStart w:id="321" w:name="_Toc482978935"/>
      <w:bookmarkStart w:id="322" w:name="_Toc482978826"/>
      <w:bookmarkStart w:id="323" w:name="_Toc482959707"/>
      <w:bookmarkStart w:id="324" w:name="_Toc482959597"/>
      <w:bookmarkStart w:id="325" w:name="_Toc482959487"/>
      <w:bookmarkStart w:id="326" w:name="_Toc482712717"/>
      <w:bookmarkStart w:id="327" w:name="_Toc482641271"/>
      <w:bookmarkStart w:id="328" w:name="_Toc482633094"/>
      <w:bookmarkStart w:id="329" w:name="_Toc482352254"/>
      <w:bookmarkStart w:id="330" w:name="_Toc482352164"/>
      <w:bookmarkStart w:id="331" w:name="_Toc482352074"/>
      <w:bookmarkStart w:id="332" w:name="_Toc482351984"/>
      <w:bookmarkStart w:id="333" w:name="_Toc482102120"/>
      <w:bookmarkStart w:id="334" w:name="_Toc482102026"/>
      <w:bookmarkStart w:id="335" w:name="_Toc482101931"/>
      <w:bookmarkStart w:id="336" w:name="_Toc482101836"/>
      <w:bookmarkStart w:id="337" w:name="_Toc482101743"/>
      <w:bookmarkStart w:id="338" w:name="_Toc482101568"/>
      <w:bookmarkStart w:id="339" w:name="_Toc482101453"/>
      <w:bookmarkStart w:id="340" w:name="_Toc482101316"/>
      <w:bookmarkStart w:id="341" w:name="_Toc482100890"/>
      <w:bookmarkStart w:id="342" w:name="_Toc482100733"/>
      <w:bookmarkStart w:id="343" w:name="_Toc482099016"/>
      <w:bookmarkStart w:id="344" w:name="_Toc482097918"/>
      <w:bookmarkStart w:id="345" w:name="_Toc482097726"/>
      <w:bookmarkStart w:id="346" w:name="_Toc482097637"/>
      <w:bookmarkStart w:id="347" w:name="_Toc482097548"/>
      <w:bookmarkStart w:id="348" w:name="_Toc482025725"/>
      <w:bookmarkStart w:id="349" w:name="_Toc485218273"/>
      <w:bookmarkStart w:id="350" w:name="_Toc484688837"/>
      <w:bookmarkStart w:id="351" w:name="_Toc484688282"/>
      <w:bookmarkStart w:id="352" w:name="_Toc484605413"/>
      <w:bookmarkStart w:id="353" w:name="_Toc484605289"/>
      <w:bookmarkStart w:id="354" w:name="_Toc484526569"/>
      <w:bookmarkStart w:id="355" w:name="_Toc484449074"/>
      <w:bookmarkStart w:id="356" w:name="_Toc484448950"/>
      <w:bookmarkStart w:id="357" w:name="_Toc484448826"/>
      <w:bookmarkStart w:id="358" w:name="_Toc484448703"/>
      <w:bookmarkStart w:id="359" w:name="_Toc484448579"/>
      <w:bookmarkStart w:id="360" w:name="_Toc484448455"/>
      <w:bookmarkStart w:id="361" w:name="_Toc484448331"/>
      <w:bookmarkStart w:id="362" w:name="_Toc484448207"/>
      <w:bookmarkStart w:id="363" w:name="_Toc484448082"/>
      <w:bookmarkStart w:id="364" w:name="_Toc484440423"/>
      <w:bookmarkStart w:id="365" w:name="_Toc484440063"/>
      <w:bookmarkStart w:id="366" w:name="_Toc484439939"/>
      <w:bookmarkStart w:id="367" w:name="_Toc484439816"/>
      <w:bookmarkStart w:id="368" w:name="_Toc484438896"/>
      <w:bookmarkStart w:id="369" w:name="_Toc484438772"/>
      <w:bookmarkStart w:id="370" w:name="_Toc484438648"/>
      <w:bookmarkStart w:id="371" w:name="_Toc484429073"/>
      <w:bookmarkStart w:id="372" w:name="_Toc484428903"/>
      <w:bookmarkStart w:id="373" w:name="_Toc484097731"/>
      <w:bookmarkStart w:id="374" w:name="_Toc484011657"/>
      <w:bookmarkStart w:id="375" w:name="_Toc484011182"/>
      <w:bookmarkStart w:id="376" w:name="_Toc484011060"/>
      <w:bookmarkStart w:id="377" w:name="_Toc484010938"/>
      <w:bookmarkStart w:id="378" w:name="_Toc484010814"/>
      <w:bookmarkStart w:id="379" w:name="_Toc484010692"/>
      <w:bookmarkStart w:id="380" w:name="_Toc483906942"/>
      <w:bookmarkStart w:id="381" w:name="_Toc483571565"/>
      <w:bookmarkStart w:id="382" w:name="_Toc483571444"/>
      <w:bookmarkStart w:id="383" w:name="_Toc483474015"/>
      <w:bookmarkStart w:id="384" w:name="_Toc483401218"/>
      <w:bookmarkStart w:id="385" w:name="_Toc483325739"/>
      <w:bookmarkStart w:id="386" w:name="_Toc483316436"/>
      <w:bookmarkStart w:id="387" w:name="_Toc483316305"/>
      <w:bookmarkStart w:id="388" w:name="_Toc483316102"/>
      <w:bookmarkStart w:id="389" w:name="_Toc483315897"/>
      <w:bookmarkStart w:id="390" w:name="_Toc483302347"/>
      <w:bookmarkStart w:id="391" w:name="_Toc483233647"/>
      <w:bookmarkStart w:id="392" w:name="_Toc482979686"/>
      <w:bookmarkStart w:id="393" w:name="_Toc482979588"/>
      <w:bookmarkStart w:id="394" w:name="_Toc482979479"/>
      <w:bookmarkStart w:id="395" w:name="_Toc482979371"/>
      <w:bookmarkStart w:id="396" w:name="_Toc482979262"/>
      <w:bookmarkStart w:id="397" w:name="_Toc482979153"/>
      <w:bookmarkStart w:id="398" w:name="_Toc482979042"/>
      <w:bookmarkStart w:id="399" w:name="_Toc482978934"/>
      <w:bookmarkStart w:id="400" w:name="_Toc482978825"/>
      <w:bookmarkStart w:id="401" w:name="_Toc482959706"/>
      <w:bookmarkStart w:id="402" w:name="_Toc482959596"/>
      <w:bookmarkStart w:id="403" w:name="_Toc482959486"/>
      <w:bookmarkStart w:id="404" w:name="_Toc482712716"/>
      <w:bookmarkStart w:id="405" w:name="_Toc482641270"/>
      <w:bookmarkStart w:id="406" w:name="_Toc482633093"/>
      <w:bookmarkStart w:id="407" w:name="_Toc482352253"/>
      <w:bookmarkStart w:id="408" w:name="_Toc482352163"/>
      <w:bookmarkStart w:id="409" w:name="_Toc482352073"/>
      <w:bookmarkStart w:id="410" w:name="_Toc482351983"/>
      <w:bookmarkStart w:id="411" w:name="_Toc482102119"/>
      <w:bookmarkStart w:id="412" w:name="_Toc482102025"/>
      <w:bookmarkStart w:id="413" w:name="_Toc482101930"/>
      <w:bookmarkStart w:id="414" w:name="_Toc482101835"/>
      <w:bookmarkStart w:id="415" w:name="_Toc482101742"/>
      <w:bookmarkStart w:id="416" w:name="_Toc482101567"/>
      <w:bookmarkStart w:id="417" w:name="_Toc482101452"/>
      <w:bookmarkStart w:id="418" w:name="_Toc482101315"/>
      <w:bookmarkStart w:id="419" w:name="_Toc482100889"/>
      <w:bookmarkStart w:id="420" w:name="_Toc482100732"/>
      <w:bookmarkStart w:id="421" w:name="_Toc482099015"/>
      <w:bookmarkStart w:id="422" w:name="_Toc482097917"/>
      <w:bookmarkStart w:id="423" w:name="_Toc482097725"/>
      <w:bookmarkStart w:id="424" w:name="_Toc482097636"/>
      <w:bookmarkStart w:id="425" w:name="_Toc482097547"/>
      <w:bookmarkStart w:id="426" w:name="_Toc482025724"/>
      <w:bookmarkStart w:id="427" w:name="_Toc485218272"/>
      <w:bookmarkStart w:id="428" w:name="_Toc484688836"/>
      <w:bookmarkStart w:id="429" w:name="_Toc484688281"/>
      <w:bookmarkStart w:id="430" w:name="_Toc484605412"/>
      <w:bookmarkStart w:id="431" w:name="_Toc484605288"/>
      <w:bookmarkStart w:id="432" w:name="_Toc484526568"/>
      <w:bookmarkStart w:id="433" w:name="_Toc484449073"/>
      <w:bookmarkStart w:id="434" w:name="_Toc484448949"/>
      <w:bookmarkStart w:id="435" w:name="_Toc484448825"/>
      <w:bookmarkStart w:id="436" w:name="_Toc484448702"/>
      <w:bookmarkStart w:id="437" w:name="_Toc484448578"/>
      <w:bookmarkStart w:id="438" w:name="_Toc484448454"/>
      <w:bookmarkStart w:id="439" w:name="_Toc484448330"/>
      <w:bookmarkStart w:id="440" w:name="_Toc484448206"/>
      <w:bookmarkStart w:id="441" w:name="_Toc484448081"/>
      <w:bookmarkStart w:id="442" w:name="_Toc484440422"/>
      <w:bookmarkStart w:id="443" w:name="_Toc484440062"/>
      <w:bookmarkStart w:id="444" w:name="_Toc484439938"/>
      <w:bookmarkStart w:id="445" w:name="_Toc484439815"/>
      <w:bookmarkStart w:id="446" w:name="_Toc484438895"/>
      <w:bookmarkStart w:id="447" w:name="_Toc484438771"/>
      <w:bookmarkStart w:id="448" w:name="_Toc484438647"/>
      <w:bookmarkStart w:id="449" w:name="_Toc484429072"/>
      <w:bookmarkStart w:id="450" w:name="_Toc484428902"/>
      <w:bookmarkStart w:id="451" w:name="_Toc484097730"/>
      <w:bookmarkStart w:id="452" w:name="_Toc484011656"/>
      <w:bookmarkStart w:id="453" w:name="_Toc484011181"/>
      <w:bookmarkStart w:id="454" w:name="_Toc484011059"/>
      <w:bookmarkStart w:id="455" w:name="_Toc484010937"/>
      <w:bookmarkStart w:id="456" w:name="_Toc484010813"/>
      <w:bookmarkStart w:id="457" w:name="_Toc484010691"/>
      <w:bookmarkStart w:id="458" w:name="_Toc483906941"/>
      <w:bookmarkStart w:id="459" w:name="_Toc483571564"/>
      <w:bookmarkStart w:id="460" w:name="_Toc483571443"/>
      <w:bookmarkStart w:id="461" w:name="_Toc483474014"/>
      <w:bookmarkStart w:id="462" w:name="_Toc483401217"/>
      <w:bookmarkStart w:id="463" w:name="_Toc483325738"/>
      <w:bookmarkStart w:id="464" w:name="_Toc483316435"/>
      <w:bookmarkStart w:id="465" w:name="_Toc483316304"/>
      <w:bookmarkStart w:id="466" w:name="_Toc483316101"/>
      <w:bookmarkStart w:id="467" w:name="_Toc483315896"/>
      <w:bookmarkStart w:id="468" w:name="_Toc483302346"/>
      <w:bookmarkStart w:id="469" w:name="_Toc483233646"/>
      <w:bookmarkStart w:id="470" w:name="_Toc482979685"/>
      <w:bookmarkStart w:id="471" w:name="_Toc482979587"/>
      <w:bookmarkStart w:id="472" w:name="_Toc482979478"/>
      <w:bookmarkStart w:id="473" w:name="_Toc482979370"/>
      <w:bookmarkStart w:id="474" w:name="_Toc482979261"/>
      <w:bookmarkStart w:id="475" w:name="_Toc482979152"/>
      <w:bookmarkStart w:id="476" w:name="_Toc482979041"/>
      <w:bookmarkStart w:id="477" w:name="_Toc482978933"/>
      <w:bookmarkStart w:id="478" w:name="_Toc482978824"/>
      <w:bookmarkStart w:id="479" w:name="_Toc482959705"/>
      <w:bookmarkStart w:id="480" w:name="_Toc482959595"/>
      <w:bookmarkStart w:id="481" w:name="_Toc482959485"/>
      <w:bookmarkStart w:id="482" w:name="_Toc482712715"/>
      <w:bookmarkStart w:id="483" w:name="_Toc482641269"/>
      <w:bookmarkStart w:id="484" w:name="_Toc482633092"/>
      <w:bookmarkStart w:id="485" w:name="_Toc482352252"/>
      <w:bookmarkStart w:id="486" w:name="_Toc482352162"/>
      <w:bookmarkStart w:id="487" w:name="_Toc482352072"/>
      <w:bookmarkStart w:id="488" w:name="_Toc482351982"/>
      <w:bookmarkStart w:id="489" w:name="_Toc482102118"/>
      <w:bookmarkStart w:id="490" w:name="_Toc482102024"/>
      <w:bookmarkStart w:id="491" w:name="_Toc482101929"/>
      <w:bookmarkStart w:id="492" w:name="_Toc482101834"/>
      <w:bookmarkStart w:id="493" w:name="_Toc482101741"/>
      <w:bookmarkStart w:id="494" w:name="_Toc482101566"/>
      <w:bookmarkStart w:id="495" w:name="_Toc482101451"/>
      <w:bookmarkStart w:id="496" w:name="_Toc482101314"/>
      <w:bookmarkStart w:id="497" w:name="_Toc482100888"/>
      <w:bookmarkStart w:id="498" w:name="_Toc482100731"/>
      <w:bookmarkStart w:id="499" w:name="_Toc482099014"/>
      <w:bookmarkStart w:id="500" w:name="_Toc482097916"/>
      <w:bookmarkStart w:id="501" w:name="_Toc482097724"/>
      <w:bookmarkStart w:id="502" w:name="_Toc482097635"/>
      <w:bookmarkStart w:id="503" w:name="_Toc482097546"/>
      <w:bookmarkStart w:id="504" w:name="_Toc482025723"/>
      <w:bookmarkStart w:id="505" w:name="_Toc485218271"/>
      <w:bookmarkStart w:id="506" w:name="_Toc484688835"/>
      <w:bookmarkStart w:id="507" w:name="_Toc484688280"/>
      <w:bookmarkStart w:id="508" w:name="_Toc484605411"/>
      <w:bookmarkStart w:id="509" w:name="_Toc484605287"/>
      <w:bookmarkStart w:id="510" w:name="_Toc484526567"/>
      <w:bookmarkStart w:id="511" w:name="_Toc484449072"/>
      <w:bookmarkStart w:id="512" w:name="_Toc484448948"/>
      <w:bookmarkStart w:id="513" w:name="_Toc484448824"/>
      <w:bookmarkStart w:id="514" w:name="_Toc484448701"/>
      <w:bookmarkStart w:id="515" w:name="_Toc484448577"/>
      <w:bookmarkStart w:id="516" w:name="_Toc484448453"/>
      <w:bookmarkStart w:id="517" w:name="_Toc484448329"/>
      <w:bookmarkStart w:id="518" w:name="_Toc484448205"/>
      <w:bookmarkStart w:id="519" w:name="_Toc484448080"/>
      <w:bookmarkStart w:id="520" w:name="_Toc484440421"/>
      <w:bookmarkStart w:id="521" w:name="_Toc484440061"/>
      <w:bookmarkStart w:id="522" w:name="_Toc484439937"/>
      <w:bookmarkStart w:id="523" w:name="_Toc484439814"/>
      <w:bookmarkStart w:id="524" w:name="_Toc484438894"/>
      <w:bookmarkStart w:id="525" w:name="_Toc484438770"/>
      <w:bookmarkStart w:id="526" w:name="_Toc484438646"/>
      <w:bookmarkStart w:id="527" w:name="_Toc484429071"/>
      <w:bookmarkStart w:id="528" w:name="_Toc484428901"/>
      <w:bookmarkStart w:id="529" w:name="_Toc484097729"/>
      <w:bookmarkStart w:id="530" w:name="_Toc484011655"/>
      <w:bookmarkStart w:id="531" w:name="_Toc484011180"/>
      <w:bookmarkStart w:id="532" w:name="_Toc484011058"/>
      <w:bookmarkStart w:id="533" w:name="_Toc484010936"/>
      <w:bookmarkStart w:id="534" w:name="_Toc484010812"/>
      <w:bookmarkStart w:id="535" w:name="_Toc484010690"/>
      <w:bookmarkStart w:id="536" w:name="_Toc483906940"/>
      <w:bookmarkStart w:id="537" w:name="_Toc483571563"/>
      <w:bookmarkStart w:id="538" w:name="_Toc483571442"/>
      <w:bookmarkStart w:id="539" w:name="_Toc483474013"/>
      <w:bookmarkStart w:id="540" w:name="_Toc483401216"/>
      <w:bookmarkStart w:id="541" w:name="_Toc483325737"/>
      <w:bookmarkStart w:id="542" w:name="_Toc483316434"/>
      <w:bookmarkStart w:id="543" w:name="_Toc483316303"/>
      <w:bookmarkStart w:id="544" w:name="_Toc483316100"/>
      <w:bookmarkStart w:id="545" w:name="_Toc483315895"/>
      <w:bookmarkStart w:id="546" w:name="_Toc483302345"/>
      <w:bookmarkStart w:id="547" w:name="_Toc483233645"/>
      <w:bookmarkStart w:id="548" w:name="_Toc482979684"/>
      <w:bookmarkStart w:id="549" w:name="_Toc482979586"/>
      <w:bookmarkStart w:id="550" w:name="_Toc482979477"/>
      <w:bookmarkStart w:id="551" w:name="_Toc482979369"/>
      <w:bookmarkStart w:id="552" w:name="_Toc482979260"/>
      <w:bookmarkStart w:id="553" w:name="_Toc482979151"/>
      <w:bookmarkStart w:id="554" w:name="_Toc482979040"/>
      <w:bookmarkStart w:id="555" w:name="_Toc482978932"/>
      <w:bookmarkStart w:id="556" w:name="_Toc482978823"/>
      <w:bookmarkStart w:id="557" w:name="_Toc482959704"/>
      <w:bookmarkStart w:id="558" w:name="_Toc482959594"/>
      <w:bookmarkStart w:id="559" w:name="_Toc482959484"/>
      <w:bookmarkStart w:id="560" w:name="_Toc482712714"/>
      <w:bookmarkStart w:id="561" w:name="_Toc482641268"/>
      <w:bookmarkStart w:id="562" w:name="_Toc482633091"/>
      <w:bookmarkStart w:id="563" w:name="_Toc482352251"/>
      <w:bookmarkStart w:id="564" w:name="_Toc482352161"/>
      <w:bookmarkStart w:id="565" w:name="_Toc482352071"/>
      <w:bookmarkStart w:id="566" w:name="_Toc482351981"/>
      <w:bookmarkStart w:id="567" w:name="_Toc482102117"/>
      <w:bookmarkStart w:id="568" w:name="_Toc482102023"/>
      <w:bookmarkStart w:id="569" w:name="_Toc482101928"/>
      <w:bookmarkStart w:id="570" w:name="_Toc482101833"/>
      <w:bookmarkStart w:id="571" w:name="_Toc482101740"/>
      <w:bookmarkStart w:id="572" w:name="_Toc482101565"/>
      <w:bookmarkStart w:id="573" w:name="_Toc482101450"/>
      <w:bookmarkStart w:id="574" w:name="_Toc482101313"/>
      <w:bookmarkStart w:id="575" w:name="_Toc482100887"/>
      <w:bookmarkStart w:id="576" w:name="_Toc482100730"/>
      <w:bookmarkStart w:id="577" w:name="_Toc482099013"/>
      <w:bookmarkStart w:id="578" w:name="_Toc482097915"/>
      <w:bookmarkStart w:id="579" w:name="_Toc482097723"/>
      <w:bookmarkStart w:id="580" w:name="_Toc482097634"/>
      <w:bookmarkStart w:id="581" w:name="_Toc482097545"/>
      <w:bookmarkStart w:id="582" w:name="_Toc482025722"/>
      <w:bookmarkStart w:id="583" w:name="_Toc485218270"/>
      <w:bookmarkStart w:id="584" w:name="_Toc484688834"/>
      <w:bookmarkStart w:id="585" w:name="_Toc484688279"/>
      <w:bookmarkStart w:id="586" w:name="_Toc484605410"/>
      <w:bookmarkStart w:id="587" w:name="_Toc484605286"/>
      <w:bookmarkStart w:id="588" w:name="_Toc484526566"/>
      <w:bookmarkStart w:id="589" w:name="_Toc484449071"/>
      <w:bookmarkStart w:id="590" w:name="_Toc484448947"/>
      <w:bookmarkStart w:id="591" w:name="_Toc484448823"/>
      <w:bookmarkStart w:id="592" w:name="_Toc484448700"/>
      <w:bookmarkStart w:id="593" w:name="_Toc484448576"/>
      <w:bookmarkStart w:id="594" w:name="_Toc484448452"/>
      <w:bookmarkStart w:id="595" w:name="_Toc484448328"/>
      <w:bookmarkStart w:id="596" w:name="_Toc484448204"/>
      <w:bookmarkStart w:id="597" w:name="_Toc484448079"/>
      <w:bookmarkStart w:id="598" w:name="_Toc484440420"/>
      <w:bookmarkStart w:id="599" w:name="_Toc484440060"/>
      <w:bookmarkStart w:id="600" w:name="_Toc484439936"/>
      <w:bookmarkStart w:id="601" w:name="_Toc484439813"/>
      <w:bookmarkStart w:id="602" w:name="_Toc484438893"/>
      <w:bookmarkStart w:id="603" w:name="_Toc484438769"/>
      <w:bookmarkStart w:id="604" w:name="_Toc484438645"/>
      <w:bookmarkStart w:id="605" w:name="_Toc484429070"/>
      <w:bookmarkStart w:id="606" w:name="_Toc484428900"/>
      <w:bookmarkStart w:id="607" w:name="_Toc484097728"/>
      <w:bookmarkStart w:id="608" w:name="_Toc484011654"/>
      <w:bookmarkStart w:id="609" w:name="_Toc484011179"/>
      <w:bookmarkStart w:id="610" w:name="_Toc484011057"/>
      <w:bookmarkStart w:id="611" w:name="_Toc484010935"/>
      <w:bookmarkStart w:id="612" w:name="_Toc484010811"/>
      <w:bookmarkStart w:id="613" w:name="_Toc484010689"/>
      <w:bookmarkStart w:id="614" w:name="_Toc483906939"/>
      <w:bookmarkStart w:id="615" w:name="_Toc483571562"/>
      <w:bookmarkStart w:id="616" w:name="_Toc483571441"/>
      <w:bookmarkStart w:id="617" w:name="_Toc483474012"/>
      <w:bookmarkStart w:id="618" w:name="_Toc483401215"/>
      <w:bookmarkStart w:id="619" w:name="_Toc483325736"/>
      <w:bookmarkStart w:id="620" w:name="_Toc483316433"/>
      <w:bookmarkStart w:id="621" w:name="_Toc483316302"/>
      <w:bookmarkStart w:id="622" w:name="_Toc483316099"/>
      <w:bookmarkStart w:id="623" w:name="_Toc483315894"/>
      <w:bookmarkStart w:id="624" w:name="_Toc483302344"/>
      <w:bookmarkStart w:id="625" w:name="_Toc483233644"/>
      <w:bookmarkStart w:id="626" w:name="_Toc482979683"/>
      <w:bookmarkStart w:id="627" w:name="_Toc482979585"/>
      <w:bookmarkStart w:id="628" w:name="_Toc482979476"/>
      <w:bookmarkStart w:id="629" w:name="_Toc482979368"/>
      <w:bookmarkStart w:id="630" w:name="_Toc482979259"/>
      <w:bookmarkStart w:id="631" w:name="_Toc482979150"/>
      <w:bookmarkStart w:id="632" w:name="_Toc482979039"/>
      <w:bookmarkStart w:id="633" w:name="_Toc482978931"/>
      <w:bookmarkStart w:id="634" w:name="_Toc482978822"/>
      <w:bookmarkStart w:id="635" w:name="_Toc482959703"/>
      <w:bookmarkStart w:id="636" w:name="_Toc482959593"/>
      <w:bookmarkStart w:id="637" w:name="_Toc482959483"/>
      <w:bookmarkStart w:id="638" w:name="_Toc482712713"/>
      <w:bookmarkStart w:id="639" w:name="_Toc482641267"/>
      <w:bookmarkStart w:id="640" w:name="_Toc482633090"/>
      <w:bookmarkStart w:id="641" w:name="_Toc482352250"/>
      <w:bookmarkStart w:id="642" w:name="_Toc482352160"/>
      <w:bookmarkStart w:id="643" w:name="_Toc482352070"/>
      <w:bookmarkStart w:id="644" w:name="_Toc482351980"/>
      <w:bookmarkStart w:id="645" w:name="_Toc482102116"/>
      <w:bookmarkStart w:id="646" w:name="_Toc482102022"/>
      <w:bookmarkStart w:id="647" w:name="_Toc482101927"/>
      <w:bookmarkStart w:id="648" w:name="_Toc482101832"/>
      <w:bookmarkStart w:id="649" w:name="_Toc482101739"/>
      <w:bookmarkStart w:id="650" w:name="_Toc482101564"/>
      <w:bookmarkStart w:id="651" w:name="_Toc482101449"/>
      <w:bookmarkStart w:id="652" w:name="_Toc482101312"/>
      <w:bookmarkStart w:id="653" w:name="_Toc482100886"/>
      <w:bookmarkStart w:id="654" w:name="_Toc482100729"/>
      <w:bookmarkStart w:id="655" w:name="_Toc482099012"/>
      <w:bookmarkStart w:id="656" w:name="_Toc482097914"/>
      <w:bookmarkStart w:id="657" w:name="_Toc482097722"/>
      <w:bookmarkStart w:id="658" w:name="_Toc482097633"/>
      <w:bookmarkStart w:id="659" w:name="_Toc482097544"/>
      <w:bookmarkStart w:id="660" w:name="_Toc482025721"/>
      <w:bookmarkStart w:id="661" w:name="_Toc485218269"/>
      <w:bookmarkStart w:id="662" w:name="_Toc484688833"/>
      <w:bookmarkStart w:id="663" w:name="_Toc484688278"/>
      <w:bookmarkStart w:id="664" w:name="_Toc484605409"/>
      <w:bookmarkStart w:id="665" w:name="_Toc484605285"/>
      <w:bookmarkStart w:id="666" w:name="_Toc484526565"/>
      <w:bookmarkStart w:id="667" w:name="_Toc484449070"/>
      <w:bookmarkStart w:id="668" w:name="_Toc484448946"/>
      <w:bookmarkStart w:id="669" w:name="_Toc484448822"/>
      <w:bookmarkStart w:id="670" w:name="_Toc484448699"/>
      <w:bookmarkStart w:id="671" w:name="_Toc484448575"/>
      <w:bookmarkStart w:id="672" w:name="_Toc484448451"/>
      <w:bookmarkStart w:id="673" w:name="_Toc484448327"/>
      <w:bookmarkStart w:id="674" w:name="_Toc484448203"/>
      <w:bookmarkStart w:id="675" w:name="_Toc484448078"/>
      <w:bookmarkStart w:id="676" w:name="_Toc484440419"/>
      <w:bookmarkStart w:id="677" w:name="_Toc484440059"/>
      <w:bookmarkStart w:id="678" w:name="_Toc484439935"/>
      <w:bookmarkStart w:id="679" w:name="_Toc484439812"/>
      <w:bookmarkStart w:id="680" w:name="_Toc484438892"/>
      <w:bookmarkStart w:id="681" w:name="_Toc484438768"/>
      <w:bookmarkStart w:id="682" w:name="_Toc484438644"/>
      <w:bookmarkStart w:id="683" w:name="_Toc484429069"/>
      <w:bookmarkStart w:id="684" w:name="_Toc484428899"/>
      <w:bookmarkStart w:id="685" w:name="_Toc484097727"/>
      <w:bookmarkStart w:id="686" w:name="_Toc484011653"/>
      <w:bookmarkStart w:id="687" w:name="_Toc484011178"/>
      <w:bookmarkStart w:id="688" w:name="_Toc484011056"/>
      <w:bookmarkStart w:id="689" w:name="_Toc484010934"/>
      <w:bookmarkStart w:id="690" w:name="_Toc484010810"/>
      <w:bookmarkStart w:id="691" w:name="_Toc484010688"/>
      <w:bookmarkStart w:id="692" w:name="_Toc483906938"/>
      <w:bookmarkStart w:id="693" w:name="_Toc483571561"/>
      <w:bookmarkStart w:id="694" w:name="_Toc483571440"/>
      <w:bookmarkStart w:id="695" w:name="_Toc483474011"/>
      <w:bookmarkStart w:id="696" w:name="_Toc483401214"/>
      <w:bookmarkStart w:id="697" w:name="_Toc483325735"/>
      <w:bookmarkStart w:id="698" w:name="_Toc483316432"/>
      <w:bookmarkStart w:id="699" w:name="_Toc483316301"/>
      <w:bookmarkStart w:id="700" w:name="_Toc483316098"/>
      <w:bookmarkStart w:id="701" w:name="_Toc483315893"/>
      <w:bookmarkStart w:id="702" w:name="_Toc483302343"/>
      <w:bookmarkStart w:id="703" w:name="_Toc483233643"/>
      <w:bookmarkStart w:id="704" w:name="_Toc482979682"/>
      <w:bookmarkStart w:id="705" w:name="_Toc482979584"/>
      <w:bookmarkStart w:id="706" w:name="_Toc482979475"/>
      <w:bookmarkStart w:id="707" w:name="_Toc482979367"/>
      <w:bookmarkStart w:id="708" w:name="_Toc482979258"/>
      <w:bookmarkStart w:id="709" w:name="_Toc482979149"/>
      <w:bookmarkStart w:id="710" w:name="_Toc482979038"/>
      <w:bookmarkStart w:id="711" w:name="_Toc482978930"/>
      <w:bookmarkStart w:id="712" w:name="_Toc482978821"/>
      <w:bookmarkStart w:id="713" w:name="_Toc482959702"/>
      <w:bookmarkStart w:id="714" w:name="_Toc482959592"/>
      <w:bookmarkStart w:id="715" w:name="_Toc482959482"/>
      <w:bookmarkStart w:id="716" w:name="_Toc482712712"/>
      <w:bookmarkStart w:id="717" w:name="_Toc482641266"/>
      <w:bookmarkStart w:id="718" w:name="_Toc482633089"/>
      <w:bookmarkStart w:id="719" w:name="_Toc482352249"/>
      <w:bookmarkStart w:id="720" w:name="_Toc482352159"/>
      <w:bookmarkStart w:id="721" w:name="_Toc482352069"/>
      <w:bookmarkStart w:id="722" w:name="_Toc482351979"/>
      <w:bookmarkStart w:id="723" w:name="_Toc482102115"/>
      <w:bookmarkStart w:id="724" w:name="_Toc482102021"/>
      <w:bookmarkStart w:id="725" w:name="_Toc482101926"/>
      <w:bookmarkStart w:id="726" w:name="_Toc482101831"/>
      <w:bookmarkStart w:id="727" w:name="_Toc482101738"/>
      <w:bookmarkStart w:id="728" w:name="_Toc482101563"/>
      <w:bookmarkStart w:id="729" w:name="_Toc482101448"/>
      <w:bookmarkStart w:id="730" w:name="_Toc482101311"/>
      <w:bookmarkStart w:id="731" w:name="_Toc482100885"/>
      <w:bookmarkStart w:id="732" w:name="_Toc482100728"/>
      <w:bookmarkStart w:id="733" w:name="_Toc482099011"/>
      <w:bookmarkStart w:id="734" w:name="_Toc482097913"/>
      <w:bookmarkStart w:id="735" w:name="_Toc482097721"/>
      <w:bookmarkStart w:id="736" w:name="_Toc482097632"/>
      <w:bookmarkStart w:id="737" w:name="_Toc482097543"/>
      <w:bookmarkStart w:id="738" w:name="_Toc482025720"/>
      <w:bookmarkStart w:id="739" w:name="_Toc485218268"/>
      <w:bookmarkStart w:id="740" w:name="_Toc484688832"/>
      <w:bookmarkStart w:id="741" w:name="_Toc484688277"/>
      <w:bookmarkStart w:id="742" w:name="_Toc484605408"/>
      <w:bookmarkStart w:id="743" w:name="_Toc484605284"/>
      <w:bookmarkStart w:id="744" w:name="_Toc484526564"/>
      <w:bookmarkStart w:id="745" w:name="_Toc484449069"/>
      <w:bookmarkStart w:id="746" w:name="_Toc484448945"/>
      <w:bookmarkStart w:id="747" w:name="_Toc484448821"/>
      <w:bookmarkStart w:id="748" w:name="_Toc484448698"/>
      <w:bookmarkStart w:id="749" w:name="_Toc484448574"/>
      <w:bookmarkStart w:id="750" w:name="_Toc484448450"/>
      <w:bookmarkStart w:id="751" w:name="_Toc484448326"/>
      <w:bookmarkStart w:id="752" w:name="_Toc484448202"/>
      <w:bookmarkStart w:id="753" w:name="_Toc484448077"/>
      <w:bookmarkStart w:id="754" w:name="_Toc484440418"/>
      <w:bookmarkStart w:id="755" w:name="_Toc484440058"/>
      <w:bookmarkStart w:id="756" w:name="_Toc484439934"/>
      <w:bookmarkStart w:id="757" w:name="_Toc484439811"/>
      <w:bookmarkStart w:id="758" w:name="_Toc484438891"/>
      <w:bookmarkStart w:id="759" w:name="_Toc484438767"/>
      <w:bookmarkStart w:id="760" w:name="_Toc484438643"/>
      <w:bookmarkStart w:id="761" w:name="_Toc484429068"/>
      <w:bookmarkStart w:id="762" w:name="_Toc484428898"/>
      <w:bookmarkStart w:id="763" w:name="_Toc484097726"/>
      <w:bookmarkStart w:id="764" w:name="_Toc484011652"/>
      <w:bookmarkStart w:id="765" w:name="_Toc484011177"/>
      <w:bookmarkStart w:id="766" w:name="_Toc484011055"/>
      <w:bookmarkStart w:id="767" w:name="_Toc484010933"/>
      <w:bookmarkStart w:id="768" w:name="_Toc484010809"/>
      <w:bookmarkStart w:id="769" w:name="_Toc484010687"/>
      <w:bookmarkStart w:id="770" w:name="_Toc483906937"/>
      <w:bookmarkStart w:id="771" w:name="_Toc483571560"/>
      <w:bookmarkStart w:id="772" w:name="_Toc483571439"/>
      <w:bookmarkStart w:id="773" w:name="_Toc483474010"/>
      <w:bookmarkStart w:id="774" w:name="_Toc483401213"/>
      <w:bookmarkStart w:id="775" w:name="_Toc483325734"/>
      <w:bookmarkStart w:id="776" w:name="_Toc483316431"/>
      <w:bookmarkStart w:id="777" w:name="_Toc483316300"/>
      <w:bookmarkStart w:id="778" w:name="_Toc483316097"/>
      <w:bookmarkStart w:id="779" w:name="_Toc483315892"/>
      <w:bookmarkStart w:id="780" w:name="_Toc483302342"/>
      <w:bookmarkStart w:id="781" w:name="_Toc483233642"/>
      <w:bookmarkStart w:id="782" w:name="_Toc482979681"/>
      <w:bookmarkStart w:id="783" w:name="_Toc482979583"/>
      <w:bookmarkStart w:id="784" w:name="_Toc482979474"/>
      <w:bookmarkStart w:id="785" w:name="_Toc482979366"/>
      <w:bookmarkStart w:id="786" w:name="_Toc482979257"/>
      <w:bookmarkStart w:id="787" w:name="_Toc482979148"/>
      <w:bookmarkStart w:id="788" w:name="_Toc482979037"/>
      <w:bookmarkStart w:id="789" w:name="_Toc482978929"/>
      <w:bookmarkStart w:id="790" w:name="_Toc482978820"/>
      <w:bookmarkStart w:id="791" w:name="_Toc482959701"/>
      <w:bookmarkStart w:id="792" w:name="_Toc482959591"/>
      <w:bookmarkStart w:id="793" w:name="_Toc482959481"/>
      <w:bookmarkStart w:id="794" w:name="_Toc482712711"/>
      <w:bookmarkStart w:id="795" w:name="_Toc482641265"/>
      <w:bookmarkStart w:id="796" w:name="_Toc482633088"/>
      <w:bookmarkStart w:id="797" w:name="_Toc482352248"/>
      <w:bookmarkStart w:id="798" w:name="_Toc482352158"/>
      <w:bookmarkStart w:id="799" w:name="_Toc482352068"/>
      <w:bookmarkStart w:id="800" w:name="_Toc482351978"/>
      <w:bookmarkStart w:id="801" w:name="_Toc482102114"/>
      <w:bookmarkStart w:id="802" w:name="_Toc482102020"/>
      <w:bookmarkStart w:id="803" w:name="_Toc482101925"/>
      <w:bookmarkStart w:id="804" w:name="_Toc482101830"/>
      <w:bookmarkStart w:id="805" w:name="_Toc482101737"/>
      <w:bookmarkStart w:id="806" w:name="_Toc482101562"/>
      <w:bookmarkStart w:id="807" w:name="_Toc482101447"/>
      <w:bookmarkStart w:id="808" w:name="_Toc482101310"/>
      <w:bookmarkStart w:id="809" w:name="_Toc482100884"/>
      <w:bookmarkStart w:id="810" w:name="_Toc482100727"/>
      <w:bookmarkStart w:id="811" w:name="_Toc482099010"/>
      <w:bookmarkStart w:id="812" w:name="_Toc482097912"/>
      <w:bookmarkStart w:id="813" w:name="_Toc482097720"/>
      <w:bookmarkStart w:id="814" w:name="_Toc482097631"/>
      <w:bookmarkStart w:id="815" w:name="_Toc482097542"/>
      <w:bookmarkStart w:id="816" w:name="_Toc482025719"/>
      <w:bookmarkStart w:id="817" w:name="_Toc485218267"/>
      <w:bookmarkStart w:id="818" w:name="_Toc484688831"/>
      <w:bookmarkStart w:id="819" w:name="_Toc484688276"/>
      <w:bookmarkStart w:id="820" w:name="_Toc484605407"/>
      <w:bookmarkStart w:id="821" w:name="_Toc484605283"/>
      <w:bookmarkStart w:id="822" w:name="_Toc484526563"/>
      <w:bookmarkStart w:id="823" w:name="_Toc484449068"/>
      <w:bookmarkStart w:id="824" w:name="_Toc484448944"/>
      <w:bookmarkStart w:id="825" w:name="_Toc484448820"/>
      <w:bookmarkStart w:id="826" w:name="_Toc484448697"/>
      <w:bookmarkStart w:id="827" w:name="_Toc484448573"/>
      <w:bookmarkStart w:id="828" w:name="_Toc484448449"/>
      <w:bookmarkStart w:id="829" w:name="_Toc484448325"/>
      <w:bookmarkStart w:id="830" w:name="_Toc484448201"/>
      <w:bookmarkStart w:id="831" w:name="_Toc484448076"/>
      <w:bookmarkStart w:id="832" w:name="_Toc484440417"/>
      <w:bookmarkStart w:id="833" w:name="_Toc484440057"/>
      <w:bookmarkStart w:id="834" w:name="_Toc484439933"/>
      <w:bookmarkStart w:id="835" w:name="_Toc484439810"/>
      <w:bookmarkStart w:id="836" w:name="_Toc484438890"/>
      <w:bookmarkStart w:id="837" w:name="_Toc484438766"/>
      <w:bookmarkStart w:id="838" w:name="_Toc484438642"/>
      <w:bookmarkStart w:id="839" w:name="_Toc484429067"/>
      <w:bookmarkStart w:id="840" w:name="_Toc484428897"/>
      <w:bookmarkStart w:id="841" w:name="_Toc484097725"/>
      <w:bookmarkStart w:id="842" w:name="_Toc484011651"/>
      <w:bookmarkStart w:id="843" w:name="_Toc484011176"/>
      <w:bookmarkStart w:id="844" w:name="_Toc484011054"/>
      <w:bookmarkStart w:id="845" w:name="_Toc484010932"/>
      <w:bookmarkStart w:id="846" w:name="_Toc484010808"/>
      <w:bookmarkStart w:id="847" w:name="_Toc484010686"/>
      <w:bookmarkStart w:id="848" w:name="_Toc483906936"/>
      <w:bookmarkStart w:id="849" w:name="_Toc483571559"/>
      <w:bookmarkStart w:id="850" w:name="_Toc483571438"/>
      <w:bookmarkStart w:id="851" w:name="_Toc483474009"/>
      <w:bookmarkStart w:id="852" w:name="_Toc483401212"/>
      <w:bookmarkStart w:id="853" w:name="_Toc483325733"/>
      <w:bookmarkStart w:id="854" w:name="_Toc483316430"/>
      <w:bookmarkStart w:id="855" w:name="_Toc483316299"/>
      <w:bookmarkStart w:id="856" w:name="_Toc483316096"/>
      <w:bookmarkStart w:id="857" w:name="_Toc483315891"/>
      <w:bookmarkStart w:id="858" w:name="_Toc483302341"/>
      <w:bookmarkStart w:id="859" w:name="_Toc483233641"/>
      <w:bookmarkStart w:id="860" w:name="_Toc482979680"/>
      <w:bookmarkStart w:id="861" w:name="_Toc482979582"/>
      <w:bookmarkStart w:id="862" w:name="_Toc482979473"/>
      <w:bookmarkStart w:id="863" w:name="_Toc482979365"/>
      <w:bookmarkStart w:id="864" w:name="_Toc482979256"/>
      <w:bookmarkStart w:id="865" w:name="_Toc482979147"/>
      <w:bookmarkStart w:id="866" w:name="_Toc482979036"/>
      <w:bookmarkStart w:id="867" w:name="_Toc482978928"/>
      <w:bookmarkStart w:id="868" w:name="_Toc482978819"/>
      <w:bookmarkStart w:id="869" w:name="_Toc482959700"/>
      <w:bookmarkStart w:id="870" w:name="_Toc482959590"/>
      <w:bookmarkStart w:id="871" w:name="_Toc482959480"/>
      <w:bookmarkStart w:id="872" w:name="_Toc482712710"/>
      <w:bookmarkStart w:id="873" w:name="_Toc482641264"/>
      <w:bookmarkStart w:id="874" w:name="_Toc482633087"/>
      <w:bookmarkStart w:id="875" w:name="_Toc482352247"/>
      <w:bookmarkStart w:id="876" w:name="_Toc482352157"/>
      <w:bookmarkStart w:id="877" w:name="_Toc482352067"/>
      <w:bookmarkStart w:id="878" w:name="_Toc482351977"/>
      <w:bookmarkStart w:id="879" w:name="_Toc482102113"/>
      <w:bookmarkStart w:id="880" w:name="_Toc482102019"/>
      <w:bookmarkStart w:id="881" w:name="_Toc482101924"/>
      <w:bookmarkStart w:id="882" w:name="_Toc482101829"/>
      <w:bookmarkStart w:id="883" w:name="_Toc482101736"/>
      <w:bookmarkStart w:id="884" w:name="_Toc482101561"/>
      <w:bookmarkStart w:id="885" w:name="_Toc482101446"/>
      <w:bookmarkStart w:id="886" w:name="_Toc482101309"/>
      <w:bookmarkStart w:id="887" w:name="_Toc482100883"/>
      <w:bookmarkStart w:id="888" w:name="_Toc482100726"/>
      <w:bookmarkStart w:id="889" w:name="_Toc482099009"/>
      <w:bookmarkStart w:id="890" w:name="_Toc482097911"/>
      <w:bookmarkStart w:id="891" w:name="_Toc482097719"/>
      <w:bookmarkStart w:id="892" w:name="_Toc482097630"/>
      <w:bookmarkStart w:id="893" w:name="_Toc482097541"/>
      <w:bookmarkStart w:id="894" w:name="_Toc482025718"/>
      <w:bookmarkStart w:id="895" w:name="_Toc485218266"/>
      <w:bookmarkStart w:id="896" w:name="_Toc484688830"/>
      <w:bookmarkStart w:id="897" w:name="_Toc484688275"/>
      <w:bookmarkStart w:id="898" w:name="_Toc484605406"/>
      <w:bookmarkStart w:id="899" w:name="_Toc484605282"/>
      <w:bookmarkStart w:id="900" w:name="_Toc484526562"/>
      <w:bookmarkStart w:id="901" w:name="_Toc484449067"/>
      <w:bookmarkStart w:id="902" w:name="_Toc484448943"/>
      <w:bookmarkStart w:id="903" w:name="_Toc484448819"/>
      <w:bookmarkStart w:id="904" w:name="_Toc484448696"/>
      <w:bookmarkStart w:id="905" w:name="_Toc484448572"/>
      <w:bookmarkStart w:id="906" w:name="_Toc484448448"/>
      <w:bookmarkStart w:id="907" w:name="_Toc484448324"/>
      <w:bookmarkStart w:id="908" w:name="_Toc484448200"/>
      <w:bookmarkStart w:id="909" w:name="_Toc484448075"/>
      <w:bookmarkStart w:id="910" w:name="_Toc484440416"/>
      <w:bookmarkStart w:id="911" w:name="_Toc484440056"/>
      <w:bookmarkStart w:id="912" w:name="_Toc484439932"/>
      <w:bookmarkStart w:id="913" w:name="_Toc484439809"/>
      <w:bookmarkStart w:id="914" w:name="_Toc484438889"/>
      <w:bookmarkStart w:id="915" w:name="_Toc484438765"/>
      <w:bookmarkStart w:id="916" w:name="_Toc484438641"/>
      <w:bookmarkStart w:id="917" w:name="_Toc484429066"/>
      <w:bookmarkStart w:id="918" w:name="_Toc484428896"/>
      <w:bookmarkStart w:id="919" w:name="_Toc484097724"/>
      <w:bookmarkStart w:id="920" w:name="_Toc484011650"/>
      <w:bookmarkStart w:id="921" w:name="_Toc484011175"/>
      <w:bookmarkStart w:id="922" w:name="_Toc484011053"/>
      <w:bookmarkStart w:id="923" w:name="_Toc484010931"/>
      <w:bookmarkStart w:id="924" w:name="_Toc484010807"/>
      <w:bookmarkStart w:id="925" w:name="_Toc484010685"/>
      <w:bookmarkStart w:id="926" w:name="_Toc483906935"/>
      <w:bookmarkStart w:id="927" w:name="_Toc483571558"/>
      <w:bookmarkStart w:id="928" w:name="_Toc483571437"/>
      <w:bookmarkStart w:id="929" w:name="_Toc483474008"/>
      <w:bookmarkStart w:id="930" w:name="_Toc483401211"/>
      <w:bookmarkStart w:id="931" w:name="_Toc483325732"/>
      <w:bookmarkStart w:id="932" w:name="_Toc483316429"/>
      <w:bookmarkStart w:id="933" w:name="_Toc483316298"/>
      <w:bookmarkStart w:id="934" w:name="_Toc483316095"/>
      <w:bookmarkStart w:id="935" w:name="_Toc483315890"/>
      <w:bookmarkStart w:id="936" w:name="_Toc483302340"/>
      <w:bookmarkStart w:id="937" w:name="_Toc483233640"/>
      <w:bookmarkStart w:id="938" w:name="_Toc482979679"/>
      <w:bookmarkStart w:id="939" w:name="_Toc482979581"/>
      <w:bookmarkStart w:id="940" w:name="_Toc482979472"/>
      <w:bookmarkStart w:id="941" w:name="_Toc482979364"/>
      <w:bookmarkStart w:id="942" w:name="_Toc482979255"/>
      <w:bookmarkStart w:id="943" w:name="_Toc482979146"/>
      <w:bookmarkStart w:id="944" w:name="_Toc482979035"/>
      <w:bookmarkStart w:id="945" w:name="_Toc482978927"/>
      <w:bookmarkStart w:id="946" w:name="_Toc482978818"/>
      <w:bookmarkStart w:id="947" w:name="_Toc482959699"/>
      <w:bookmarkStart w:id="948" w:name="_Toc482959589"/>
      <w:bookmarkStart w:id="949" w:name="_Toc482959479"/>
      <w:bookmarkStart w:id="950" w:name="_Toc482712709"/>
      <w:bookmarkStart w:id="951" w:name="_Toc482641263"/>
      <w:bookmarkStart w:id="952" w:name="_Toc482633086"/>
      <w:bookmarkStart w:id="953" w:name="_Toc482352246"/>
      <w:bookmarkStart w:id="954" w:name="_Toc482352156"/>
      <w:bookmarkStart w:id="955" w:name="_Toc482352066"/>
      <w:bookmarkStart w:id="956" w:name="_Toc482351976"/>
      <w:bookmarkStart w:id="957" w:name="_Toc482102112"/>
      <w:bookmarkStart w:id="958" w:name="_Toc482102018"/>
      <w:bookmarkStart w:id="959" w:name="_Toc482101923"/>
      <w:bookmarkStart w:id="960" w:name="_Toc482101828"/>
      <w:bookmarkStart w:id="961" w:name="_Toc482101735"/>
      <w:bookmarkStart w:id="962" w:name="_Toc482101560"/>
      <w:bookmarkStart w:id="963" w:name="_Toc482101445"/>
      <w:bookmarkStart w:id="964" w:name="_Toc482101308"/>
      <w:bookmarkStart w:id="965" w:name="_Toc482100882"/>
      <w:bookmarkStart w:id="966" w:name="_Toc482100725"/>
      <w:bookmarkStart w:id="967" w:name="_Toc482099008"/>
      <w:bookmarkStart w:id="968" w:name="_Toc482097910"/>
      <w:bookmarkStart w:id="969" w:name="_Toc482097718"/>
      <w:bookmarkStart w:id="970" w:name="_Toc482097629"/>
      <w:bookmarkStart w:id="971" w:name="_Toc482097540"/>
      <w:bookmarkStart w:id="972" w:name="_Toc482025717"/>
      <w:bookmarkStart w:id="973" w:name="_Toc485218265"/>
      <w:bookmarkStart w:id="974" w:name="_Toc484688829"/>
      <w:bookmarkStart w:id="975" w:name="_Toc484688274"/>
      <w:bookmarkStart w:id="976" w:name="_Toc484605405"/>
      <w:bookmarkStart w:id="977" w:name="_Toc484605281"/>
      <w:bookmarkStart w:id="978" w:name="_Toc484526561"/>
      <w:bookmarkStart w:id="979" w:name="_Toc484449066"/>
      <w:bookmarkStart w:id="980" w:name="_Toc484448942"/>
      <w:bookmarkStart w:id="981" w:name="_Toc484448818"/>
      <w:bookmarkStart w:id="982" w:name="_Toc484448695"/>
      <w:bookmarkStart w:id="983" w:name="_Toc484448571"/>
      <w:bookmarkStart w:id="984" w:name="_Toc484448447"/>
      <w:bookmarkStart w:id="985" w:name="_Toc484448323"/>
      <w:bookmarkStart w:id="986" w:name="_Toc484448199"/>
      <w:bookmarkStart w:id="987" w:name="_Toc484448074"/>
      <w:bookmarkStart w:id="988" w:name="_Toc484440415"/>
      <w:bookmarkStart w:id="989" w:name="_Toc484440055"/>
      <w:bookmarkStart w:id="990" w:name="_Toc484439931"/>
      <w:bookmarkStart w:id="991" w:name="_Toc484439808"/>
      <w:bookmarkStart w:id="992" w:name="_Toc484438888"/>
      <w:bookmarkStart w:id="993" w:name="_Toc484438764"/>
      <w:bookmarkStart w:id="994" w:name="_Toc484438640"/>
      <w:bookmarkStart w:id="995" w:name="_Toc484429065"/>
      <w:bookmarkStart w:id="996" w:name="_Toc484428895"/>
      <w:bookmarkStart w:id="997" w:name="_Toc484097723"/>
      <w:bookmarkStart w:id="998" w:name="_Toc484011649"/>
      <w:bookmarkStart w:id="999" w:name="_Toc484011174"/>
      <w:bookmarkStart w:id="1000" w:name="_Toc484011052"/>
      <w:bookmarkStart w:id="1001" w:name="_Toc484010930"/>
      <w:bookmarkStart w:id="1002" w:name="_Toc484010806"/>
      <w:bookmarkStart w:id="1003" w:name="_Toc484010684"/>
      <w:bookmarkStart w:id="1004" w:name="_Toc483906934"/>
      <w:bookmarkStart w:id="1005" w:name="_Toc483571557"/>
      <w:bookmarkStart w:id="1006" w:name="_Toc483571436"/>
      <w:bookmarkStart w:id="1007" w:name="_Toc483474007"/>
      <w:bookmarkStart w:id="1008" w:name="_Toc483401210"/>
      <w:bookmarkStart w:id="1009" w:name="_Toc483325731"/>
      <w:bookmarkStart w:id="1010" w:name="_Toc483316428"/>
      <w:bookmarkStart w:id="1011" w:name="_Toc483316297"/>
      <w:bookmarkStart w:id="1012" w:name="_Toc483316094"/>
      <w:bookmarkStart w:id="1013" w:name="_Toc483315889"/>
      <w:bookmarkStart w:id="1014" w:name="_Toc483302339"/>
      <w:bookmarkStart w:id="1015" w:name="_Toc483233639"/>
      <w:bookmarkStart w:id="1016" w:name="_Toc482979678"/>
      <w:bookmarkStart w:id="1017" w:name="_Toc482979580"/>
      <w:bookmarkStart w:id="1018" w:name="_Toc482979471"/>
      <w:bookmarkStart w:id="1019" w:name="_Toc482979363"/>
      <w:bookmarkStart w:id="1020" w:name="_Toc482979254"/>
      <w:bookmarkStart w:id="1021" w:name="_Toc482979145"/>
      <w:bookmarkStart w:id="1022" w:name="_Toc482979034"/>
      <w:bookmarkStart w:id="1023" w:name="_Toc482978926"/>
      <w:bookmarkStart w:id="1024" w:name="_Toc482978817"/>
      <w:bookmarkStart w:id="1025" w:name="_Toc482959698"/>
      <w:bookmarkStart w:id="1026" w:name="_Toc482959588"/>
      <w:bookmarkStart w:id="1027" w:name="_Toc482959478"/>
      <w:bookmarkStart w:id="1028" w:name="_Toc482712708"/>
      <w:bookmarkStart w:id="1029" w:name="_Toc482641262"/>
      <w:bookmarkStart w:id="1030" w:name="_Toc482633085"/>
      <w:bookmarkStart w:id="1031" w:name="_Toc482352245"/>
      <w:bookmarkStart w:id="1032" w:name="_Toc482352155"/>
      <w:bookmarkStart w:id="1033" w:name="_Toc482352065"/>
      <w:bookmarkStart w:id="1034" w:name="_Toc482351975"/>
      <w:bookmarkStart w:id="1035" w:name="_Toc482102111"/>
      <w:bookmarkStart w:id="1036" w:name="_Toc482102017"/>
      <w:bookmarkStart w:id="1037" w:name="_Toc482101922"/>
      <w:bookmarkStart w:id="1038" w:name="_Toc482101827"/>
      <w:bookmarkStart w:id="1039" w:name="_Toc482101734"/>
      <w:bookmarkStart w:id="1040" w:name="_Toc482101559"/>
      <w:bookmarkStart w:id="1041" w:name="_Toc482101444"/>
      <w:bookmarkStart w:id="1042" w:name="_Toc482101307"/>
      <w:bookmarkStart w:id="1043" w:name="_Toc482100881"/>
      <w:bookmarkStart w:id="1044" w:name="_Toc482100724"/>
      <w:bookmarkStart w:id="1045" w:name="_Toc482099007"/>
      <w:bookmarkStart w:id="1046" w:name="_Toc482097909"/>
      <w:bookmarkStart w:id="1047" w:name="_Toc482097717"/>
      <w:bookmarkStart w:id="1048" w:name="_Toc482097628"/>
      <w:bookmarkStart w:id="1049" w:name="_Toc482097539"/>
      <w:bookmarkStart w:id="1050" w:name="_Toc482025716"/>
      <w:bookmarkStart w:id="1051" w:name="_Toc485218264"/>
      <w:bookmarkStart w:id="1052" w:name="_Toc484688828"/>
      <w:bookmarkStart w:id="1053" w:name="_Toc484688273"/>
      <w:bookmarkStart w:id="1054" w:name="_Toc484605404"/>
      <w:bookmarkStart w:id="1055" w:name="_Toc484605280"/>
      <w:bookmarkStart w:id="1056" w:name="_Toc484526560"/>
      <w:bookmarkStart w:id="1057" w:name="_Toc484449065"/>
      <w:bookmarkStart w:id="1058" w:name="_Toc484448941"/>
      <w:bookmarkStart w:id="1059" w:name="_Toc484448817"/>
      <w:bookmarkStart w:id="1060" w:name="_Toc484448694"/>
      <w:bookmarkStart w:id="1061" w:name="_Toc484448570"/>
      <w:bookmarkStart w:id="1062" w:name="_Toc484448446"/>
      <w:bookmarkStart w:id="1063" w:name="_Toc484448322"/>
      <w:bookmarkStart w:id="1064" w:name="_Toc484448198"/>
      <w:bookmarkStart w:id="1065" w:name="_Toc484448073"/>
      <w:bookmarkStart w:id="1066" w:name="_Toc484440414"/>
      <w:bookmarkStart w:id="1067" w:name="_Toc484440054"/>
      <w:bookmarkStart w:id="1068" w:name="_Toc484439930"/>
      <w:bookmarkStart w:id="1069" w:name="_Toc484439807"/>
      <w:bookmarkStart w:id="1070" w:name="_Toc484438887"/>
      <w:bookmarkStart w:id="1071" w:name="_Toc484438763"/>
      <w:bookmarkStart w:id="1072" w:name="_Toc484438639"/>
      <w:bookmarkStart w:id="1073" w:name="_Toc484429064"/>
      <w:bookmarkStart w:id="1074" w:name="_Toc484428894"/>
      <w:bookmarkStart w:id="1075" w:name="_Toc484097722"/>
      <w:bookmarkStart w:id="1076" w:name="_Toc484011648"/>
      <w:bookmarkStart w:id="1077" w:name="_Toc484011173"/>
      <w:bookmarkStart w:id="1078" w:name="_Toc484011051"/>
      <w:bookmarkStart w:id="1079" w:name="_Toc484010929"/>
      <w:bookmarkStart w:id="1080" w:name="_Toc484010805"/>
      <w:bookmarkStart w:id="1081" w:name="_Toc484010683"/>
      <w:bookmarkStart w:id="1082" w:name="_Toc483906933"/>
      <w:bookmarkStart w:id="1083" w:name="_Toc483571556"/>
      <w:bookmarkStart w:id="1084" w:name="_Toc483571435"/>
      <w:bookmarkStart w:id="1085" w:name="_Toc483474006"/>
      <w:bookmarkStart w:id="1086" w:name="_Toc483401209"/>
      <w:bookmarkStart w:id="1087" w:name="_Toc483325730"/>
      <w:bookmarkStart w:id="1088" w:name="_Toc483316427"/>
      <w:bookmarkStart w:id="1089" w:name="_Toc483316296"/>
      <w:bookmarkStart w:id="1090" w:name="_Toc483316093"/>
      <w:bookmarkStart w:id="1091" w:name="_Toc483315888"/>
      <w:bookmarkStart w:id="1092" w:name="_Toc483302338"/>
      <w:bookmarkStart w:id="1093" w:name="_Toc483233638"/>
      <w:bookmarkStart w:id="1094" w:name="_Toc482979677"/>
      <w:bookmarkStart w:id="1095" w:name="_Toc482979579"/>
      <w:bookmarkStart w:id="1096" w:name="_Toc482979470"/>
      <w:bookmarkStart w:id="1097" w:name="_Toc482979362"/>
      <w:bookmarkStart w:id="1098" w:name="_Toc482979253"/>
      <w:bookmarkStart w:id="1099" w:name="_Toc482979144"/>
      <w:bookmarkStart w:id="1100" w:name="_Toc482979033"/>
      <w:bookmarkStart w:id="1101" w:name="_Toc482978925"/>
      <w:bookmarkStart w:id="1102" w:name="_Toc482978816"/>
      <w:bookmarkStart w:id="1103" w:name="_Toc482959697"/>
      <w:bookmarkStart w:id="1104" w:name="_Toc482959587"/>
      <w:bookmarkStart w:id="1105" w:name="_Toc482959477"/>
      <w:bookmarkStart w:id="1106" w:name="_Toc482712707"/>
      <w:bookmarkStart w:id="1107" w:name="_Toc482641261"/>
      <w:bookmarkStart w:id="1108" w:name="_Toc482633084"/>
      <w:bookmarkStart w:id="1109" w:name="_Toc482352244"/>
      <w:bookmarkStart w:id="1110" w:name="_Toc482352154"/>
      <w:bookmarkStart w:id="1111" w:name="_Toc482352064"/>
      <w:bookmarkStart w:id="1112" w:name="_Toc482351974"/>
      <w:bookmarkStart w:id="1113" w:name="_Toc482102110"/>
      <w:bookmarkStart w:id="1114" w:name="_Toc482102016"/>
      <w:bookmarkStart w:id="1115" w:name="_Toc482101921"/>
      <w:bookmarkStart w:id="1116" w:name="_Toc482101826"/>
      <w:bookmarkStart w:id="1117" w:name="_Toc482101733"/>
      <w:bookmarkStart w:id="1118" w:name="_Toc482101558"/>
      <w:bookmarkStart w:id="1119" w:name="_Toc482101443"/>
      <w:bookmarkStart w:id="1120" w:name="_Toc482101306"/>
      <w:bookmarkStart w:id="1121" w:name="_Toc482100880"/>
      <w:bookmarkStart w:id="1122" w:name="_Toc482100723"/>
      <w:bookmarkStart w:id="1123" w:name="_Toc482099006"/>
      <w:bookmarkStart w:id="1124" w:name="_Toc482097908"/>
      <w:bookmarkStart w:id="1125" w:name="_Toc482097716"/>
      <w:bookmarkStart w:id="1126" w:name="_Toc482097627"/>
      <w:bookmarkStart w:id="1127" w:name="_Toc482097538"/>
      <w:bookmarkStart w:id="1128" w:name="_Toc482025715"/>
      <w:bookmarkStart w:id="1129" w:name="_Toc485218263"/>
      <w:bookmarkStart w:id="1130" w:name="_Toc484688827"/>
      <w:bookmarkStart w:id="1131" w:name="_Toc484688272"/>
      <w:bookmarkStart w:id="1132" w:name="_Toc484605403"/>
      <w:bookmarkStart w:id="1133" w:name="_Toc484605279"/>
      <w:bookmarkStart w:id="1134" w:name="_Toc484526559"/>
      <w:bookmarkStart w:id="1135" w:name="_Toc484449064"/>
      <w:bookmarkStart w:id="1136" w:name="_Toc484448940"/>
      <w:bookmarkStart w:id="1137" w:name="_Toc484448816"/>
      <w:bookmarkStart w:id="1138" w:name="_Toc484448693"/>
      <w:bookmarkStart w:id="1139" w:name="_Toc484448569"/>
      <w:bookmarkStart w:id="1140" w:name="_Toc484448445"/>
      <w:bookmarkStart w:id="1141" w:name="_Toc484448321"/>
      <w:bookmarkStart w:id="1142" w:name="_Toc484448197"/>
      <w:bookmarkStart w:id="1143" w:name="_Toc484448072"/>
      <w:bookmarkStart w:id="1144" w:name="_Toc484440413"/>
      <w:bookmarkStart w:id="1145" w:name="_Toc484440053"/>
      <w:bookmarkStart w:id="1146" w:name="_Toc484439929"/>
      <w:bookmarkStart w:id="1147" w:name="_Toc484439806"/>
      <w:bookmarkStart w:id="1148" w:name="_Toc484438886"/>
      <w:bookmarkStart w:id="1149" w:name="_Toc484438762"/>
      <w:bookmarkStart w:id="1150" w:name="_Toc484438638"/>
      <w:bookmarkStart w:id="1151" w:name="_Toc484429063"/>
      <w:bookmarkStart w:id="1152" w:name="_Toc484428893"/>
      <w:bookmarkStart w:id="1153" w:name="_Toc484097721"/>
      <w:bookmarkStart w:id="1154" w:name="_Toc484011647"/>
      <w:bookmarkStart w:id="1155" w:name="_Toc484011172"/>
      <w:bookmarkStart w:id="1156" w:name="_Toc484011050"/>
      <w:bookmarkStart w:id="1157" w:name="_Toc484010928"/>
      <w:bookmarkStart w:id="1158" w:name="_Toc484010804"/>
      <w:bookmarkStart w:id="1159" w:name="_Toc484010682"/>
      <w:bookmarkStart w:id="1160" w:name="_Toc483906932"/>
      <w:bookmarkStart w:id="1161" w:name="_Toc483571555"/>
      <w:bookmarkStart w:id="1162" w:name="_Toc483571434"/>
      <w:bookmarkStart w:id="1163" w:name="_Toc483474005"/>
      <w:bookmarkStart w:id="1164" w:name="_Toc483401208"/>
      <w:bookmarkStart w:id="1165" w:name="_Toc483325729"/>
      <w:bookmarkStart w:id="1166" w:name="_Toc483316426"/>
      <w:bookmarkStart w:id="1167" w:name="_Toc483316295"/>
      <w:bookmarkStart w:id="1168" w:name="_Toc483316092"/>
      <w:bookmarkStart w:id="1169" w:name="_Toc483315887"/>
      <w:bookmarkStart w:id="1170" w:name="_Toc483302337"/>
      <w:bookmarkStart w:id="1171" w:name="_Toc483233637"/>
      <w:bookmarkStart w:id="1172" w:name="_Toc482979676"/>
      <w:bookmarkStart w:id="1173" w:name="_Toc482979578"/>
      <w:bookmarkStart w:id="1174" w:name="_Toc482979469"/>
      <w:bookmarkStart w:id="1175" w:name="_Toc482979361"/>
      <w:bookmarkStart w:id="1176" w:name="_Toc482979252"/>
      <w:bookmarkStart w:id="1177" w:name="_Toc482979143"/>
      <w:bookmarkStart w:id="1178" w:name="_Toc482979032"/>
      <w:bookmarkStart w:id="1179" w:name="_Toc482978924"/>
      <w:bookmarkStart w:id="1180" w:name="_Toc482978815"/>
      <w:bookmarkStart w:id="1181" w:name="_Toc482959696"/>
      <w:bookmarkStart w:id="1182" w:name="_Toc482959586"/>
      <w:bookmarkStart w:id="1183" w:name="_Toc482959476"/>
      <w:bookmarkStart w:id="1184" w:name="_Toc482712706"/>
      <w:bookmarkStart w:id="1185" w:name="_Toc482641260"/>
      <w:bookmarkStart w:id="1186" w:name="_Toc482633083"/>
      <w:bookmarkStart w:id="1187" w:name="_Toc482352243"/>
      <w:bookmarkStart w:id="1188" w:name="_Toc482352153"/>
      <w:bookmarkStart w:id="1189" w:name="_Toc482352063"/>
      <w:bookmarkStart w:id="1190" w:name="_Toc482351973"/>
      <w:bookmarkStart w:id="1191" w:name="_Toc482102109"/>
      <w:bookmarkStart w:id="1192" w:name="_Toc482102015"/>
      <w:bookmarkStart w:id="1193" w:name="_Toc482101920"/>
      <w:bookmarkStart w:id="1194" w:name="_Toc482101825"/>
      <w:bookmarkStart w:id="1195" w:name="_Toc482101732"/>
      <w:bookmarkStart w:id="1196" w:name="_Toc482101557"/>
      <w:bookmarkStart w:id="1197" w:name="_Toc482101442"/>
      <w:bookmarkStart w:id="1198" w:name="_Toc482101305"/>
      <w:bookmarkStart w:id="1199" w:name="_Toc482100879"/>
      <w:bookmarkStart w:id="1200" w:name="_Toc482100722"/>
      <w:bookmarkStart w:id="1201" w:name="_Toc482099005"/>
      <w:bookmarkStart w:id="1202" w:name="_Toc482097907"/>
      <w:bookmarkStart w:id="1203" w:name="_Toc482097715"/>
      <w:bookmarkStart w:id="1204" w:name="_Toc482097626"/>
      <w:bookmarkStart w:id="1205" w:name="_Toc482097537"/>
      <w:bookmarkStart w:id="1206" w:name="_Toc482025714"/>
      <w:bookmarkStart w:id="1207" w:name="_Toc485218262"/>
      <w:bookmarkStart w:id="1208" w:name="_Toc484688826"/>
      <w:bookmarkStart w:id="1209" w:name="_Toc484688271"/>
      <w:bookmarkStart w:id="1210" w:name="_Toc484605402"/>
      <w:bookmarkStart w:id="1211" w:name="_Toc484605278"/>
      <w:bookmarkStart w:id="1212" w:name="_Toc484526558"/>
      <w:bookmarkStart w:id="1213" w:name="_Toc484449063"/>
      <w:bookmarkStart w:id="1214" w:name="_Toc484448939"/>
      <w:bookmarkStart w:id="1215" w:name="_Toc484448815"/>
      <w:bookmarkStart w:id="1216" w:name="_Toc484448692"/>
      <w:bookmarkStart w:id="1217" w:name="_Toc484448568"/>
      <w:bookmarkStart w:id="1218" w:name="_Toc484448444"/>
      <w:bookmarkStart w:id="1219" w:name="_Toc484448320"/>
      <w:bookmarkStart w:id="1220" w:name="_Toc484448196"/>
      <w:bookmarkStart w:id="1221" w:name="_Toc484448071"/>
      <w:bookmarkStart w:id="1222" w:name="_Toc484440412"/>
      <w:bookmarkStart w:id="1223" w:name="_Toc484440052"/>
      <w:bookmarkStart w:id="1224" w:name="_Toc484439928"/>
      <w:bookmarkStart w:id="1225" w:name="_Toc484439805"/>
      <w:bookmarkStart w:id="1226" w:name="_Toc484438885"/>
      <w:bookmarkStart w:id="1227" w:name="_Toc484438761"/>
      <w:bookmarkStart w:id="1228" w:name="_Toc484438637"/>
      <w:bookmarkStart w:id="1229" w:name="_Toc484429062"/>
      <w:bookmarkStart w:id="1230" w:name="_Toc484428892"/>
      <w:bookmarkStart w:id="1231" w:name="_Toc484097720"/>
      <w:bookmarkStart w:id="1232" w:name="_Toc484011646"/>
      <w:bookmarkStart w:id="1233" w:name="_Toc484011171"/>
      <w:bookmarkStart w:id="1234" w:name="_Toc484011049"/>
      <w:bookmarkStart w:id="1235" w:name="_Toc484010927"/>
      <w:bookmarkStart w:id="1236" w:name="_Toc484010803"/>
      <w:bookmarkStart w:id="1237" w:name="_Toc484010681"/>
      <w:bookmarkStart w:id="1238" w:name="_Toc483906931"/>
      <w:bookmarkStart w:id="1239" w:name="_Toc483571554"/>
      <w:bookmarkStart w:id="1240" w:name="_Toc483571433"/>
      <w:bookmarkStart w:id="1241" w:name="_Toc483474004"/>
      <w:bookmarkStart w:id="1242" w:name="_Toc483401207"/>
      <w:bookmarkStart w:id="1243" w:name="_Toc483325728"/>
      <w:bookmarkStart w:id="1244" w:name="_Toc483316425"/>
      <w:bookmarkStart w:id="1245" w:name="_Toc483316294"/>
      <w:bookmarkStart w:id="1246" w:name="_Toc483316091"/>
      <w:bookmarkStart w:id="1247" w:name="_Toc483315886"/>
      <w:bookmarkStart w:id="1248" w:name="_Toc483302336"/>
      <w:bookmarkStart w:id="1249" w:name="_Toc483233636"/>
      <w:bookmarkStart w:id="1250" w:name="_Toc482979675"/>
      <w:bookmarkStart w:id="1251" w:name="_Toc482979577"/>
      <w:bookmarkStart w:id="1252" w:name="_Toc482979468"/>
      <w:bookmarkStart w:id="1253" w:name="_Toc482979360"/>
      <w:bookmarkStart w:id="1254" w:name="_Toc482979251"/>
      <w:bookmarkStart w:id="1255" w:name="_Toc482979142"/>
      <w:bookmarkStart w:id="1256" w:name="_Toc482979031"/>
      <w:bookmarkStart w:id="1257" w:name="_Toc482978923"/>
      <w:bookmarkStart w:id="1258" w:name="_Toc482978814"/>
      <w:bookmarkStart w:id="1259" w:name="_Toc482959695"/>
      <w:bookmarkStart w:id="1260" w:name="_Toc482959585"/>
      <w:bookmarkStart w:id="1261" w:name="_Toc482959475"/>
      <w:bookmarkStart w:id="1262" w:name="_Toc482712705"/>
      <w:bookmarkStart w:id="1263" w:name="_Toc482641259"/>
      <w:bookmarkStart w:id="1264" w:name="_Toc482633082"/>
      <w:bookmarkStart w:id="1265" w:name="_Toc482352242"/>
      <w:bookmarkStart w:id="1266" w:name="_Toc482352152"/>
      <w:bookmarkStart w:id="1267" w:name="_Toc482352062"/>
      <w:bookmarkStart w:id="1268" w:name="_Toc482351972"/>
      <w:bookmarkStart w:id="1269" w:name="_Toc482102108"/>
      <w:bookmarkStart w:id="1270" w:name="_Toc482102014"/>
      <w:bookmarkStart w:id="1271" w:name="_Toc482101919"/>
      <w:bookmarkStart w:id="1272" w:name="_Toc482101824"/>
      <w:bookmarkStart w:id="1273" w:name="_Toc482101731"/>
      <w:bookmarkStart w:id="1274" w:name="_Toc482101556"/>
      <w:bookmarkStart w:id="1275" w:name="_Toc482101441"/>
      <w:bookmarkStart w:id="1276" w:name="_Toc482101304"/>
      <w:bookmarkStart w:id="1277" w:name="_Toc482100878"/>
      <w:bookmarkStart w:id="1278" w:name="_Toc482100721"/>
      <w:bookmarkStart w:id="1279" w:name="_Toc482099004"/>
      <w:bookmarkStart w:id="1280" w:name="_Toc482097906"/>
      <w:bookmarkStart w:id="1281" w:name="_Toc482097714"/>
      <w:bookmarkStart w:id="1282" w:name="_Toc482097625"/>
      <w:bookmarkStart w:id="1283" w:name="_Toc482097536"/>
      <w:bookmarkStart w:id="1284" w:name="_Toc482025713"/>
      <w:bookmarkStart w:id="1285" w:name="_Toc485218261"/>
      <w:bookmarkStart w:id="1286" w:name="_Toc484688825"/>
      <w:bookmarkStart w:id="1287" w:name="_Toc484688270"/>
      <w:bookmarkStart w:id="1288" w:name="_Toc484605401"/>
      <w:bookmarkStart w:id="1289" w:name="_Toc484605277"/>
      <w:bookmarkStart w:id="1290" w:name="_Toc484526557"/>
      <w:bookmarkStart w:id="1291" w:name="_Toc484449062"/>
      <w:bookmarkStart w:id="1292" w:name="_Toc484448938"/>
      <w:bookmarkStart w:id="1293" w:name="_Toc484448814"/>
      <w:bookmarkStart w:id="1294" w:name="_Toc484448691"/>
      <w:bookmarkStart w:id="1295" w:name="_Toc484448567"/>
      <w:bookmarkStart w:id="1296" w:name="_Toc484448443"/>
      <w:bookmarkStart w:id="1297" w:name="_Toc484448319"/>
      <w:bookmarkStart w:id="1298" w:name="_Toc484448195"/>
      <w:bookmarkStart w:id="1299" w:name="_Toc484448070"/>
      <w:bookmarkStart w:id="1300" w:name="_Toc484440411"/>
      <w:bookmarkStart w:id="1301" w:name="_Toc484440051"/>
      <w:bookmarkStart w:id="1302" w:name="_Toc484439927"/>
      <w:bookmarkStart w:id="1303" w:name="_Toc484439804"/>
      <w:bookmarkStart w:id="1304" w:name="_Toc484438884"/>
      <w:bookmarkStart w:id="1305" w:name="_Toc484438760"/>
      <w:bookmarkStart w:id="1306" w:name="_Toc484438636"/>
      <w:bookmarkStart w:id="1307" w:name="_Toc484429061"/>
      <w:bookmarkStart w:id="1308" w:name="_Toc484428891"/>
      <w:bookmarkStart w:id="1309" w:name="_Toc484097719"/>
      <w:bookmarkStart w:id="1310" w:name="_Toc484011645"/>
      <w:bookmarkStart w:id="1311" w:name="_Toc484011170"/>
      <w:bookmarkStart w:id="1312" w:name="_Toc484011048"/>
      <w:bookmarkStart w:id="1313" w:name="_Toc484010926"/>
      <w:bookmarkStart w:id="1314" w:name="_Toc484010802"/>
      <w:bookmarkStart w:id="1315" w:name="_Toc484010680"/>
      <w:bookmarkStart w:id="1316" w:name="_Toc483906930"/>
      <w:bookmarkStart w:id="1317" w:name="_Toc483571553"/>
      <w:bookmarkStart w:id="1318" w:name="_Toc483571432"/>
      <w:bookmarkStart w:id="1319" w:name="_Toc483474003"/>
      <w:bookmarkStart w:id="1320" w:name="_Toc483401206"/>
      <w:bookmarkStart w:id="1321" w:name="_Toc483325727"/>
      <w:bookmarkStart w:id="1322" w:name="_Toc483316424"/>
      <w:bookmarkStart w:id="1323" w:name="_Toc483316293"/>
      <w:bookmarkStart w:id="1324" w:name="_Toc483316090"/>
      <w:bookmarkStart w:id="1325" w:name="_Toc483315885"/>
      <w:bookmarkStart w:id="1326" w:name="_Toc483302335"/>
      <w:bookmarkStart w:id="1327" w:name="_Toc483233635"/>
      <w:bookmarkStart w:id="1328" w:name="_Toc482979674"/>
      <w:bookmarkStart w:id="1329" w:name="_Toc482979576"/>
      <w:bookmarkStart w:id="1330" w:name="_Toc482979467"/>
      <w:bookmarkStart w:id="1331" w:name="_Toc482979359"/>
      <w:bookmarkStart w:id="1332" w:name="_Toc482979250"/>
      <w:bookmarkStart w:id="1333" w:name="_Toc482979141"/>
      <w:bookmarkStart w:id="1334" w:name="_Toc482979030"/>
      <w:bookmarkStart w:id="1335" w:name="_Toc482978922"/>
      <w:bookmarkStart w:id="1336" w:name="_Toc482978813"/>
      <w:bookmarkStart w:id="1337" w:name="_Toc482959694"/>
      <w:bookmarkStart w:id="1338" w:name="_Toc482959584"/>
      <w:bookmarkStart w:id="1339" w:name="_Toc482959474"/>
      <w:bookmarkStart w:id="1340" w:name="_Toc482712704"/>
      <w:bookmarkStart w:id="1341" w:name="_Toc482641258"/>
      <w:bookmarkStart w:id="1342" w:name="_Toc482633081"/>
      <w:bookmarkStart w:id="1343" w:name="_Toc482352241"/>
      <w:bookmarkStart w:id="1344" w:name="_Toc482352151"/>
      <w:bookmarkStart w:id="1345" w:name="_Toc482352061"/>
      <w:bookmarkStart w:id="1346" w:name="_Toc482351971"/>
      <w:bookmarkStart w:id="1347" w:name="_Toc482102107"/>
      <w:bookmarkStart w:id="1348" w:name="_Toc482102013"/>
      <w:bookmarkStart w:id="1349" w:name="_Toc482101918"/>
      <w:bookmarkStart w:id="1350" w:name="_Toc482101823"/>
      <w:bookmarkStart w:id="1351" w:name="_Toc482101730"/>
      <w:bookmarkStart w:id="1352" w:name="_Toc482101555"/>
      <w:bookmarkStart w:id="1353" w:name="_Toc482101440"/>
      <w:bookmarkStart w:id="1354" w:name="_Toc482101303"/>
      <w:bookmarkStart w:id="1355" w:name="_Toc482100877"/>
      <w:bookmarkStart w:id="1356" w:name="_Toc482100720"/>
      <w:bookmarkStart w:id="1357" w:name="_Toc482099003"/>
      <w:bookmarkStart w:id="1358" w:name="_Toc482097905"/>
      <w:bookmarkStart w:id="1359" w:name="_Toc482097713"/>
      <w:bookmarkStart w:id="1360" w:name="_Toc482097624"/>
      <w:bookmarkStart w:id="1361" w:name="_Toc482097535"/>
      <w:bookmarkStart w:id="1362" w:name="_Toc482025712"/>
      <w:bookmarkStart w:id="1363" w:name="_Toc416423357"/>
      <w:bookmarkStart w:id="1364" w:name="_Toc406754172"/>
      <w:bookmarkStart w:id="1365" w:name="_Ref531184613"/>
      <w:bookmarkStart w:id="1366" w:name="_Ref128477566"/>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p>
    <w:p w14:paraId="1B1B1F72" w14:textId="1FC880A0" w:rsidR="006842EE" w:rsidRDefault="008F2625" w:rsidP="00F661D1">
      <w:pPr>
        <w:spacing w:before="60" w:after="60"/>
        <w:rPr>
          <w:rFonts w:ascii="Titillium" w:hAnsi="Titillium" w:cstheme="minorHAnsi"/>
          <w:sz w:val="18"/>
          <w:szCs w:val="18"/>
        </w:rPr>
      </w:pPr>
      <w:r>
        <w:rPr>
          <w:rFonts w:ascii="Titillium" w:hAnsi="Titillium" w:cstheme="minorHAnsi"/>
          <w:sz w:val="18"/>
          <w:szCs w:val="18"/>
        </w:rPr>
        <w:t xml:space="preserve">Gli operatori economici possono partecipare alla presente gara in forma singola o associata, secondo le disposizioni dell’articolo 66 del Codice, purché in possesso dei requisiti prescritti dai successivi articoli. </w:t>
      </w:r>
      <w:r w:rsidR="00DE0A2A">
        <w:rPr>
          <w:rFonts w:ascii="Titillium" w:hAnsi="Titillium" w:cstheme="minorHAnsi"/>
          <w:sz w:val="18"/>
          <w:szCs w:val="18"/>
        </w:rPr>
        <w:t>In particolare,</w:t>
      </w:r>
      <w:r>
        <w:rPr>
          <w:rFonts w:ascii="Titillium" w:hAnsi="Titillium" w:cstheme="minorHAnsi"/>
          <w:sz w:val="18"/>
          <w:szCs w:val="18"/>
        </w:rPr>
        <w:t xml:space="preserve"> sono ammessi a partecipare:</w:t>
      </w:r>
    </w:p>
    <w:p w14:paraId="7A920C30" w14:textId="77777777" w:rsidR="006842EE" w:rsidRDefault="008F2625" w:rsidP="00D26F03">
      <w:pPr>
        <w:widowControl w:val="0"/>
        <w:numPr>
          <w:ilvl w:val="0"/>
          <w:numId w:val="24"/>
        </w:numPr>
        <w:spacing w:line="240" w:lineRule="auto"/>
        <w:ind w:left="357" w:hanging="357"/>
        <w:rPr>
          <w:rFonts w:ascii="Titillium" w:hAnsi="Titillium" w:cstheme="minorHAnsi"/>
          <w:sz w:val="18"/>
          <w:szCs w:val="18"/>
        </w:rPr>
      </w:pPr>
      <w:r>
        <w:rPr>
          <w:rFonts w:ascii="Titillium" w:hAnsi="Titillium" w:cstheme="minorHAnsi"/>
          <w:sz w:val="18"/>
          <w:szCs w:val="18"/>
        </w:rPr>
        <w:t>liberi professionisti singoli od associati nelle forme riconosciute dal vigente quadro normativo;</w:t>
      </w:r>
    </w:p>
    <w:p w14:paraId="4FEA7AFB" w14:textId="77777777" w:rsidR="006842EE" w:rsidRDefault="008F2625" w:rsidP="00D26F03">
      <w:pPr>
        <w:widowControl w:val="0"/>
        <w:numPr>
          <w:ilvl w:val="0"/>
          <w:numId w:val="24"/>
        </w:numPr>
        <w:spacing w:line="240" w:lineRule="auto"/>
        <w:ind w:left="357" w:hanging="357"/>
        <w:rPr>
          <w:rFonts w:ascii="Titillium" w:hAnsi="Titillium" w:cstheme="minorHAnsi"/>
          <w:sz w:val="18"/>
          <w:szCs w:val="18"/>
        </w:rPr>
      </w:pPr>
      <w:r>
        <w:rPr>
          <w:rFonts w:ascii="Titillium" w:hAnsi="Titillium" w:cstheme="minorHAnsi"/>
          <w:sz w:val="18"/>
          <w:szCs w:val="18"/>
        </w:rPr>
        <w:t>società tra professionisti;</w:t>
      </w:r>
    </w:p>
    <w:p w14:paraId="717CDE99" w14:textId="77777777" w:rsidR="006842EE" w:rsidRDefault="008F2625" w:rsidP="00D26F03">
      <w:pPr>
        <w:widowControl w:val="0"/>
        <w:numPr>
          <w:ilvl w:val="0"/>
          <w:numId w:val="24"/>
        </w:numPr>
        <w:spacing w:line="240" w:lineRule="auto"/>
        <w:ind w:left="357" w:hanging="357"/>
        <w:rPr>
          <w:rFonts w:ascii="Titillium" w:hAnsi="Titillium" w:cstheme="minorHAnsi"/>
          <w:sz w:val="18"/>
          <w:szCs w:val="18"/>
        </w:rPr>
      </w:pPr>
      <w:r>
        <w:rPr>
          <w:rFonts w:ascii="Titillium" w:hAnsi="Titillium" w:cstheme="minorHAnsi"/>
          <w:sz w:val="18"/>
          <w:szCs w:val="18"/>
        </w:rPr>
        <w:t>società di ingegneria;</w:t>
      </w:r>
    </w:p>
    <w:p w14:paraId="5E74979B" w14:textId="77777777" w:rsidR="006842EE" w:rsidRDefault="008F2625" w:rsidP="00D26F03">
      <w:pPr>
        <w:widowControl w:val="0"/>
        <w:numPr>
          <w:ilvl w:val="0"/>
          <w:numId w:val="24"/>
        </w:numPr>
        <w:spacing w:line="240" w:lineRule="auto"/>
        <w:ind w:left="357" w:hanging="357"/>
        <w:rPr>
          <w:rFonts w:ascii="Titillium" w:hAnsi="Titillium" w:cstheme="minorHAnsi"/>
          <w:sz w:val="18"/>
          <w:szCs w:val="18"/>
        </w:rPr>
      </w:pPr>
      <w:r>
        <w:rPr>
          <w:rFonts w:ascii="Titillium" w:hAnsi="Titillium" w:cstheme="minorHAnsi"/>
          <w:sz w:val="18"/>
          <w:szCs w:val="18"/>
        </w:rPr>
        <w:t>prestatori di servizi di ingegneria e architettura identificati con i codici CPV da 74200000-1 a 74276400-8 e da 74310000-5 a 74323100-0 e 74874000-6 - e successivi aggiornamenti - stabiliti in altri Stati membri, costituiti conformemente alla legislazione vigente nei rispettivi Paesi;</w:t>
      </w:r>
    </w:p>
    <w:p w14:paraId="39E8F13F" w14:textId="77777777" w:rsidR="006842EE" w:rsidRDefault="008F2625" w:rsidP="00D26F03">
      <w:pPr>
        <w:widowControl w:val="0"/>
        <w:numPr>
          <w:ilvl w:val="0"/>
          <w:numId w:val="24"/>
        </w:numPr>
        <w:spacing w:line="240" w:lineRule="auto"/>
        <w:ind w:left="357" w:hanging="357"/>
        <w:rPr>
          <w:rFonts w:ascii="Titillium" w:hAnsi="Titillium" w:cstheme="minorHAnsi"/>
          <w:sz w:val="18"/>
          <w:szCs w:val="18"/>
        </w:rPr>
      </w:pPr>
      <w:r>
        <w:rPr>
          <w:rFonts w:ascii="Titillium" w:hAnsi="Titillium" w:cstheme="minorHAnsi"/>
          <w:sz w:val="18"/>
          <w:szCs w:val="18"/>
        </w:rPr>
        <w:t xml:space="preserve">altri soggetti abilitati in forza del diritto nazionale a offrire sul mercato servizi di ingegneria e di architettura, nel rispetto dei principi di non discriminazione e par condicio fra i diversi soggetti abilitati; </w:t>
      </w:r>
    </w:p>
    <w:p w14:paraId="387BD2DB" w14:textId="7BCAEEA4" w:rsidR="006842EE" w:rsidRDefault="008F2625" w:rsidP="00D26F03">
      <w:pPr>
        <w:widowControl w:val="0"/>
        <w:numPr>
          <w:ilvl w:val="0"/>
          <w:numId w:val="24"/>
        </w:numPr>
        <w:spacing w:line="240" w:lineRule="auto"/>
        <w:ind w:left="357" w:hanging="357"/>
        <w:rPr>
          <w:rFonts w:ascii="Titillium" w:hAnsi="Titillium" w:cstheme="minorHAnsi"/>
          <w:sz w:val="18"/>
          <w:szCs w:val="18"/>
        </w:rPr>
      </w:pPr>
      <w:r>
        <w:rPr>
          <w:rFonts w:ascii="Titillium" w:hAnsi="Titillium" w:cstheme="minorHAnsi"/>
          <w:sz w:val="18"/>
          <w:szCs w:val="18"/>
        </w:rPr>
        <w:t>raggruppamenti temporanei o consorzi ordinari costituiti dai soggetti di cui alle lettere da a) ad e) e h) del presente elenco;</w:t>
      </w:r>
    </w:p>
    <w:p w14:paraId="0154F4A7" w14:textId="77777777" w:rsidR="006842EE" w:rsidRDefault="008F2625" w:rsidP="00D26F03">
      <w:pPr>
        <w:widowControl w:val="0"/>
        <w:numPr>
          <w:ilvl w:val="0"/>
          <w:numId w:val="24"/>
        </w:numPr>
        <w:spacing w:line="240" w:lineRule="auto"/>
        <w:ind w:left="357" w:hanging="357"/>
        <w:rPr>
          <w:rFonts w:ascii="Titillium" w:hAnsi="Titillium" w:cstheme="minorHAnsi"/>
          <w:sz w:val="18"/>
          <w:szCs w:val="18"/>
        </w:rPr>
      </w:pPr>
      <w:r>
        <w:rPr>
          <w:rFonts w:ascii="Titillium" w:hAnsi="Titillium" w:cstheme="minorHAnsi"/>
          <w:sz w:val="18"/>
          <w:szCs w:val="18"/>
        </w:rPr>
        <w:t>consorzi stabili di società di professionisti, di società di ingegneria, anche in forma mista (in seguito anche consorzi stabili di società) e i GEIE;</w:t>
      </w:r>
    </w:p>
    <w:p w14:paraId="333A5D05" w14:textId="77777777" w:rsidR="006842EE" w:rsidRDefault="008F2625" w:rsidP="00D26F03">
      <w:pPr>
        <w:widowControl w:val="0"/>
        <w:numPr>
          <w:ilvl w:val="0"/>
          <w:numId w:val="24"/>
        </w:numPr>
        <w:spacing w:line="240" w:lineRule="auto"/>
        <w:ind w:left="357" w:hanging="357"/>
        <w:rPr>
          <w:rFonts w:ascii="Titillium" w:hAnsi="Titillium" w:cstheme="minorHAnsi"/>
          <w:sz w:val="18"/>
          <w:szCs w:val="18"/>
        </w:rPr>
      </w:pPr>
      <w:r>
        <w:rPr>
          <w:rFonts w:ascii="Titillium" w:hAnsi="Titillium" w:cstheme="minorHAnsi"/>
          <w:sz w:val="18"/>
          <w:szCs w:val="18"/>
        </w:rPr>
        <w:t>consorzi stabili professionali ai sensi dell’articolo 12 della l. 81/2017;</w:t>
      </w:r>
    </w:p>
    <w:p w14:paraId="610F650D" w14:textId="10AA137C" w:rsidR="006842EE" w:rsidRDefault="008F2625" w:rsidP="00D26F03">
      <w:pPr>
        <w:widowControl w:val="0"/>
        <w:numPr>
          <w:ilvl w:val="0"/>
          <w:numId w:val="24"/>
        </w:numPr>
        <w:spacing w:line="240" w:lineRule="auto"/>
        <w:ind w:left="357" w:hanging="357"/>
        <w:rPr>
          <w:rFonts w:ascii="Titillium" w:hAnsi="Titillium" w:cstheme="minorHAnsi"/>
          <w:sz w:val="18"/>
          <w:szCs w:val="18"/>
        </w:rPr>
      </w:pPr>
      <w:r w:rsidRPr="00E968A3">
        <w:rPr>
          <w:rFonts w:ascii="Titillium" w:hAnsi="Titillium" w:cstheme="minorHAnsi"/>
          <w:sz w:val="18"/>
          <w:szCs w:val="18"/>
        </w:rPr>
        <w:t>aggregazioni tra gli operatori economici di cui ai punti a), b) c), d) aderenti al contratto di rete (rete di imprese, rete di professionisti o rete mista ai sensi dell’articolo 12 della l. 81/2017) ai quali si applicano le disposizioni di cui all’articolo 68 in quanto compatibili</w:t>
      </w:r>
      <w:r>
        <w:rPr>
          <w:rFonts w:ascii="Titillium" w:hAnsi="Titillium" w:cstheme="minorHAnsi"/>
          <w:sz w:val="18"/>
          <w:szCs w:val="18"/>
        </w:rPr>
        <w:t>.</w:t>
      </w:r>
    </w:p>
    <w:p w14:paraId="149D8365" w14:textId="77777777" w:rsidR="006842EE" w:rsidRDefault="008F2625" w:rsidP="00F661D1">
      <w:pPr>
        <w:spacing w:before="60" w:after="60"/>
        <w:rPr>
          <w:rFonts w:ascii="Titillium" w:hAnsi="Titillium" w:cstheme="minorHAnsi"/>
          <w:sz w:val="18"/>
          <w:szCs w:val="18"/>
        </w:rPr>
      </w:pPr>
      <w:r>
        <w:rPr>
          <w:rFonts w:ascii="Titillium" w:hAnsi="Titillium" w:cstheme="minorHAnsi"/>
          <w:sz w:val="18"/>
          <w:szCs w:val="18"/>
        </w:rPr>
        <w:t>È ammessa la partecipazione dei soggetti di cui alla precedente lettera f) anche se non ancora costituiti.</w:t>
      </w:r>
    </w:p>
    <w:p w14:paraId="79C67DA6" w14:textId="77777777" w:rsidR="006842EE" w:rsidRDefault="008F2625" w:rsidP="00F661D1">
      <w:pPr>
        <w:spacing w:before="60" w:after="60"/>
        <w:rPr>
          <w:rFonts w:ascii="Titillium" w:hAnsi="Titillium" w:cstheme="minorHAnsi"/>
          <w:sz w:val="18"/>
          <w:szCs w:val="18"/>
        </w:rPr>
      </w:pPr>
      <w:r>
        <w:rPr>
          <w:rFonts w:ascii="Titillium" w:hAnsi="Titillium" w:cstheme="minorHAnsi"/>
          <w:sz w:val="18"/>
          <w:szCs w:val="18"/>
        </w:rPr>
        <w:t>Ai soggetti costituiti in forma associata si applicano le disposizioni di cui agli articoli 67 e 68 del Codice.</w:t>
      </w:r>
    </w:p>
    <w:p w14:paraId="7ED81515" w14:textId="4C73B71F" w:rsidR="00796092" w:rsidRPr="000B6D7A" w:rsidRDefault="00DE0A2A" w:rsidP="00F661D1">
      <w:pPr>
        <w:spacing w:before="60" w:after="60"/>
        <w:rPr>
          <w:rFonts w:ascii="Titillium" w:hAnsi="Titillium" w:cstheme="minorHAnsi"/>
          <w:color w:val="000000" w:themeColor="text1"/>
          <w:sz w:val="18"/>
          <w:szCs w:val="18"/>
        </w:rPr>
      </w:pPr>
      <w:r w:rsidRPr="000B6D7A">
        <w:rPr>
          <w:rFonts w:ascii="Titillium" w:hAnsi="Titillium" w:cstheme="minorHAnsi"/>
          <w:color w:val="000000" w:themeColor="text1"/>
          <w:sz w:val="18"/>
          <w:szCs w:val="18"/>
        </w:rPr>
        <w:t>I</w:t>
      </w:r>
      <w:r w:rsidR="00796092" w:rsidRPr="000B6D7A">
        <w:rPr>
          <w:rFonts w:ascii="Titillium" w:hAnsi="Titillium" w:cstheme="minorHAnsi"/>
          <w:color w:val="000000" w:themeColor="text1"/>
          <w:sz w:val="18"/>
          <w:szCs w:val="18"/>
        </w:rPr>
        <w:t xml:space="preserve"> R.T.</w:t>
      </w:r>
      <w:r w:rsidR="003824BF" w:rsidRPr="000B6D7A">
        <w:rPr>
          <w:rFonts w:ascii="Titillium" w:hAnsi="Titillium" w:cstheme="minorHAnsi"/>
          <w:color w:val="000000" w:themeColor="text1"/>
          <w:sz w:val="18"/>
          <w:szCs w:val="18"/>
        </w:rPr>
        <w:t xml:space="preserve"> </w:t>
      </w:r>
      <w:r w:rsidR="00796092" w:rsidRPr="000B6D7A">
        <w:rPr>
          <w:rFonts w:ascii="Titillium" w:hAnsi="Titillium" w:cstheme="minorHAnsi"/>
          <w:color w:val="000000" w:themeColor="text1"/>
          <w:sz w:val="18"/>
          <w:szCs w:val="18"/>
        </w:rPr>
        <w:t>(costituiti e costituendi), le aggregazioni tra gli operatori economici aderenti al contratto di rete e i G.E.I.E. indica</w:t>
      </w:r>
      <w:r w:rsidRPr="000B6D7A">
        <w:rPr>
          <w:rFonts w:ascii="Titillium" w:hAnsi="Titillium" w:cstheme="minorHAnsi"/>
          <w:color w:val="000000" w:themeColor="text1"/>
          <w:sz w:val="18"/>
          <w:szCs w:val="18"/>
        </w:rPr>
        <w:t>no</w:t>
      </w:r>
      <w:r w:rsidR="00796092" w:rsidRPr="000B6D7A">
        <w:rPr>
          <w:rFonts w:ascii="Titillium" w:hAnsi="Titillium" w:cstheme="minorHAnsi"/>
          <w:color w:val="000000" w:themeColor="text1"/>
          <w:sz w:val="18"/>
          <w:szCs w:val="18"/>
        </w:rPr>
        <w:t>, in sede di offerta, la mandataria e le mandanti,</w:t>
      </w:r>
      <w:r w:rsidR="00D80CD6" w:rsidRPr="000B6D7A">
        <w:rPr>
          <w:rFonts w:ascii="Titillium" w:hAnsi="Titillium" w:cstheme="minorHAnsi"/>
          <w:color w:val="000000" w:themeColor="text1"/>
          <w:sz w:val="18"/>
          <w:szCs w:val="18"/>
        </w:rPr>
        <w:t xml:space="preserve"> </w:t>
      </w:r>
      <w:r w:rsidRPr="000B6D7A">
        <w:rPr>
          <w:rFonts w:ascii="Titillium" w:hAnsi="Titillium" w:cstheme="minorHAnsi"/>
          <w:color w:val="000000" w:themeColor="text1"/>
          <w:sz w:val="18"/>
          <w:szCs w:val="18"/>
        </w:rPr>
        <w:t>specificando le</w:t>
      </w:r>
      <w:r w:rsidR="00796092" w:rsidRPr="000B6D7A">
        <w:rPr>
          <w:rFonts w:ascii="Titillium" w:hAnsi="Titillium" w:cstheme="minorHAnsi"/>
          <w:color w:val="000000" w:themeColor="text1"/>
          <w:sz w:val="18"/>
          <w:szCs w:val="18"/>
        </w:rPr>
        <w:t xml:space="preserve"> parti del servizio</w:t>
      </w:r>
      <w:r w:rsidR="00D80CD6" w:rsidRPr="000B6D7A">
        <w:rPr>
          <w:rFonts w:ascii="Titillium" w:hAnsi="Titillium" w:cstheme="minorHAnsi"/>
          <w:color w:val="000000" w:themeColor="text1"/>
          <w:sz w:val="18"/>
          <w:szCs w:val="18"/>
        </w:rPr>
        <w:t xml:space="preserve"> </w:t>
      </w:r>
      <w:r w:rsidR="00796092" w:rsidRPr="000B6D7A">
        <w:rPr>
          <w:rFonts w:ascii="Titillium" w:hAnsi="Titillium" w:cstheme="minorHAnsi"/>
          <w:color w:val="000000" w:themeColor="text1"/>
          <w:sz w:val="18"/>
          <w:szCs w:val="18"/>
        </w:rPr>
        <w:t>eseguite dai singoli componenti il R.T</w:t>
      </w:r>
      <w:r w:rsidR="001417A2" w:rsidRPr="000B6D7A">
        <w:rPr>
          <w:rFonts w:ascii="Titillium" w:hAnsi="Titillium" w:cstheme="minorHAnsi"/>
          <w:color w:val="000000" w:themeColor="text1"/>
          <w:sz w:val="18"/>
          <w:szCs w:val="18"/>
        </w:rPr>
        <w:t>.</w:t>
      </w:r>
      <w:r w:rsidR="00796092" w:rsidRPr="000B6D7A">
        <w:rPr>
          <w:rFonts w:ascii="Titillium" w:hAnsi="Titillium" w:cstheme="minorHAnsi"/>
          <w:color w:val="000000" w:themeColor="text1"/>
          <w:sz w:val="18"/>
          <w:szCs w:val="18"/>
        </w:rPr>
        <w:t>, le aggregazioni tra gli operatori economici aderenti al contratto di rete o il G.E.I.E., con l’impegno di questi a realizzarle.</w:t>
      </w:r>
    </w:p>
    <w:p w14:paraId="23FAC1E9" w14:textId="02F431C4" w:rsidR="00796092" w:rsidRPr="000B6D7A" w:rsidRDefault="00DE0A2A" w:rsidP="00F661D1">
      <w:pPr>
        <w:spacing w:before="60" w:after="60"/>
        <w:rPr>
          <w:rFonts w:ascii="Titillium" w:hAnsi="Titillium" w:cstheme="minorHAnsi"/>
          <w:strike/>
          <w:color w:val="000000" w:themeColor="text1"/>
          <w:sz w:val="18"/>
          <w:szCs w:val="18"/>
        </w:rPr>
      </w:pPr>
      <w:r w:rsidRPr="000B6D7A">
        <w:rPr>
          <w:rFonts w:ascii="Titillium" w:hAnsi="Titillium" w:cstheme="minorHAnsi"/>
          <w:color w:val="000000" w:themeColor="text1"/>
          <w:sz w:val="18"/>
          <w:szCs w:val="18"/>
        </w:rPr>
        <w:t>I</w:t>
      </w:r>
      <w:r w:rsidR="00796092" w:rsidRPr="000B6D7A">
        <w:rPr>
          <w:rFonts w:ascii="Titillium" w:hAnsi="Titillium" w:cstheme="minorHAnsi"/>
          <w:color w:val="000000" w:themeColor="text1"/>
          <w:sz w:val="18"/>
          <w:szCs w:val="18"/>
        </w:rPr>
        <w:t xml:space="preserve"> consorzi </w:t>
      </w:r>
      <w:r w:rsidR="00AC05A0">
        <w:rPr>
          <w:rFonts w:ascii="Titillium" w:hAnsi="Titillium" w:cstheme="minorHAnsi"/>
          <w:color w:val="000000" w:themeColor="text1"/>
          <w:sz w:val="18"/>
          <w:szCs w:val="18"/>
        </w:rPr>
        <w:t xml:space="preserve">di cui alle </w:t>
      </w:r>
      <w:r w:rsidR="0088198B" w:rsidRPr="000B6D7A">
        <w:rPr>
          <w:rFonts w:ascii="Titillium" w:hAnsi="Titillium" w:cstheme="minorHAnsi"/>
          <w:color w:val="000000" w:themeColor="text1"/>
          <w:sz w:val="18"/>
          <w:szCs w:val="18"/>
        </w:rPr>
        <w:t>letter</w:t>
      </w:r>
      <w:r w:rsidR="00AC05A0">
        <w:rPr>
          <w:rFonts w:ascii="Titillium" w:hAnsi="Titillium" w:cstheme="minorHAnsi"/>
          <w:color w:val="000000" w:themeColor="text1"/>
          <w:sz w:val="18"/>
          <w:szCs w:val="18"/>
        </w:rPr>
        <w:t>e</w:t>
      </w:r>
      <w:r w:rsidR="00796092" w:rsidRPr="000B6D7A">
        <w:rPr>
          <w:rFonts w:ascii="Titillium" w:hAnsi="Titillium" w:cstheme="minorHAnsi"/>
          <w:color w:val="000000" w:themeColor="text1"/>
          <w:sz w:val="18"/>
          <w:szCs w:val="18"/>
        </w:rPr>
        <w:t xml:space="preserve"> g)</w:t>
      </w:r>
      <w:r w:rsidR="00AC05A0">
        <w:rPr>
          <w:rFonts w:ascii="Titillium" w:hAnsi="Titillium" w:cstheme="minorHAnsi"/>
          <w:color w:val="000000" w:themeColor="text1"/>
          <w:sz w:val="18"/>
          <w:szCs w:val="18"/>
        </w:rPr>
        <w:t xml:space="preserve"> e h)</w:t>
      </w:r>
      <w:r w:rsidR="00796092" w:rsidRPr="000B6D7A">
        <w:rPr>
          <w:rFonts w:ascii="Titillium" w:hAnsi="Titillium" w:cstheme="minorHAnsi"/>
          <w:color w:val="000000" w:themeColor="text1"/>
          <w:sz w:val="18"/>
          <w:szCs w:val="18"/>
        </w:rPr>
        <w:t xml:space="preserve">, </w:t>
      </w:r>
      <w:r w:rsidR="00B23D2D" w:rsidRPr="008D1A0D">
        <w:rPr>
          <w:rFonts w:ascii="Titillium" w:hAnsi="Titillium" w:cstheme="minorHAnsi"/>
          <w:color w:val="000000" w:themeColor="text1"/>
          <w:sz w:val="18"/>
          <w:szCs w:val="18"/>
        </w:rPr>
        <w:t>che intendono eseguire le prestazioni tramite le proprie consorziate</w:t>
      </w:r>
      <w:r w:rsidR="00796092" w:rsidRPr="008D1A0D">
        <w:rPr>
          <w:rFonts w:ascii="Titillium" w:hAnsi="Titillium" w:cstheme="minorHAnsi"/>
          <w:color w:val="000000" w:themeColor="text1"/>
          <w:sz w:val="18"/>
          <w:szCs w:val="18"/>
        </w:rPr>
        <w:t>,</w:t>
      </w:r>
      <w:r w:rsidR="005C5ECA" w:rsidRPr="008D1A0D">
        <w:rPr>
          <w:rFonts w:ascii="Titillium" w:hAnsi="Titillium" w:cstheme="minorHAnsi"/>
          <w:color w:val="000000" w:themeColor="text1"/>
          <w:sz w:val="18"/>
          <w:szCs w:val="18"/>
        </w:rPr>
        <w:t xml:space="preserve"> </w:t>
      </w:r>
      <w:r w:rsidR="00796092" w:rsidRPr="008D1A0D">
        <w:rPr>
          <w:rFonts w:ascii="Titillium" w:hAnsi="Titillium" w:cstheme="minorHAnsi"/>
          <w:color w:val="000000" w:themeColor="text1"/>
          <w:sz w:val="18"/>
          <w:szCs w:val="18"/>
        </w:rPr>
        <w:t>sono</w:t>
      </w:r>
      <w:r w:rsidR="00796092" w:rsidRPr="000B6D7A">
        <w:rPr>
          <w:rFonts w:ascii="Titillium" w:hAnsi="Titillium" w:cstheme="minorHAnsi"/>
          <w:color w:val="000000" w:themeColor="text1"/>
          <w:sz w:val="18"/>
          <w:szCs w:val="18"/>
        </w:rPr>
        <w:t xml:space="preserve"> tenuti ad indicare, in sede di offerta, per qual</w:t>
      </w:r>
      <w:r w:rsidRPr="000B6D7A">
        <w:rPr>
          <w:rFonts w:ascii="Titillium" w:hAnsi="Titillium" w:cstheme="minorHAnsi"/>
          <w:color w:val="000000" w:themeColor="text1"/>
          <w:sz w:val="18"/>
          <w:szCs w:val="18"/>
        </w:rPr>
        <w:t>i</w:t>
      </w:r>
      <w:r w:rsidR="005C5ECA" w:rsidRPr="000B6D7A">
        <w:rPr>
          <w:rFonts w:ascii="Titillium" w:hAnsi="Titillium" w:cstheme="minorHAnsi"/>
          <w:color w:val="000000" w:themeColor="text1"/>
          <w:sz w:val="18"/>
          <w:szCs w:val="18"/>
        </w:rPr>
        <w:t xml:space="preserve"> </w:t>
      </w:r>
      <w:r w:rsidR="00796092" w:rsidRPr="000B6D7A">
        <w:rPr>
          <w:rFonts w:ascii="Titillium" w:hAnsi="Titillium" w:cstheme="minorHAnsi"/>
          <w:color w:val="000000" w:themeColor="text1"/>
          <w:sz w:val="18"/>
          <w:szCs w:val="18"/>
        </w:rPr>
        <w:t>consorziat</w:t>
      </w:r>
      <w:r w:rsidR="005C5ECA" w:rsidRPr="000B6D7A">
        <w:rPr>
          <w:rFonts w:ascii="Titillium" w:hAnsi="Titillium" w:cstheme="minorHAnsi"/>
          <w:color w:val="000000" w:themeColor="text1"/>
          <w:sz w:val="18"/>
          <w:szCs w:val="18"/>
        </w:rPr>
        <w:t xml:space="preserve">e </w:t>
      </w:r>
      <w:r w:rsidR="00796092" w:rsidRPr="000B6D7A">
        <w:rPr>
          <w:rFonts w:ascii="Titillium" w:hAnsi="Titillium" w:cstheme="minorHAnsi"/>
          <w:color w:val="000000" w:themeColor="text1"/>
          <w:sz w:val="18"/>
          <w:szCs w:val="18"/>
        </w:rPr>
        <w:t xml:space="preserve">il consorzio concorre; qualora </w:t>
      </w:r>
      <w:r w:rsidR="005C5ECA" w:rsidRPr="000B6D7A">
        <w:rPr>
          <w:rFonts w:ascii="Titillium" w:hAnsi="Titillium" w:cstheme="minorHAnsi"/>
          <w:color w:val="000000" w:themeColor="text1"/>
          <w:sz w:val="18"/>
          <w:szCs w:val="18"/>
        </w:rPr>
        <w:t xml:space="preserve">la </w:t>
      </w:r>
      <w:r w:rsidR="00796092" w:rsidRPr="000B6D7A">
        <w:rPr>
          <w:rFonts w:ascii="Titillium" w:hAnsi="Titillium" w:cstheme="minorHAnsi"/>
          <w:color w:val="000000" w:themeColor="text1"/>
          <w:sz w:val="18"/>
          <w:szCs w:val="18"/>
        </w:rPr>
        <w:t>consorziat</w:t>
      </w:r>
      <w:r w:rsidR="005C5ECA" w:rsidRPr="000B6D7A">
        <w:rPr>
          <w:rFonts w:ascii="Titillium" w:hAnsi="Titillium" w:cstheme="minorHAnsi"/>
          <w:color w:val="000000" w:themeColor="text1"/>
          <w:sz w:val="18"/>
          <w:szCs w:val="18"/>
        </w:rPr>
        <w:t>a</w:t>
      </w:r>
      <w:r w:rsidR="003824BF" w:rsidRPr="000B6D7A">
        <w:rPr>
          <w:rFonts w:ascii="Titillium" w:hAnsi="Titillium" w:cstheme="minorHAnsi"/>
          <w:color w:val="000000" w:themeColor="text1"/>
          <w:sz w:val="18"/>
          <w:szCs w:val="18"/>
        </w:rPr>
        <w:t xml:space="preserve"> </w:t>
      </w:r>
      <w:r w:rsidR="00796092" w:rsidRPr="000B6D7A">
        <w:rPr>
          <w:rFonts w:ascii="Titillium" w:hAnsi="Titillium" w:cstheme="minorHAnsi"/>
          <w:color w:val="000000" w:themeColor="text1"/>
          <w:sz w:val="18"/>
          <w:szCs w:val="18"/>
        </w:rPr>
        <w:t>designat</w:t>
      </w:r>
      <w:r w:rsidR="005C5ECA" w:rsidRPr="000B6D7A">
        <w:rPr>
          <w:rFonts w:ascii="Titillium" w:hAnsi="Titillium" w:cstheme="minorHAnsi"/>
          <w:color w:val="000000" w:themeColor="text1"/>
          <w:sz w:val="18"/>
          <w:szCs w:val="18"/>
        </w:rPr>
        <w:t>a</w:t>
      </w:r>
      <w:r w:rsidR="00796092" w:rsidRPr="000B6D7A">
        <w:rPr>
          <w:rFonts w:ascii="Titillium" w:hAnsi="Titillium" w:cstheme="minorHAnsi"/>
          <w:color w:val="000000" w:themeColor="text1"/>
          <w:sz w:val="18"/>
          <w:szCs w:val="18"/>
        </w:rPr>
        <w:t xml:space="preserve"> sia, a sua volta, un consorzio, è tenut</w:t>
      </w:r>
      <w:r w:rsidR="005C5ECA" w:rsidRPr="000B6D7A">
        <w:rPr>
          <w:rFonts w:ascii="Titillium" w:hAnsi="Titillium" w:cstheme="minorHAnsi"/>
          <w:color w:val="000000" w:themeColor="text1"/>
          <w:sz w:val="18"/>
          <w:szCs w:val="18"/>
        </w:rPr>
        <w:t>a</w:t>
      </w:r>
      <w:r w:rsidR="00796092" w:rsidRPr="000B6D7A">
        <w:rPr>
          <w:rFonts w:ascii="Titillium" w:hAnsi="Titillium" w:cstheme="minorHAnsi"/>
          <w:color w:val="000000" w:themeColor="text1"/>
          <w:sz w:val="18"/>
          <w:szCs w:val="18"/>
        </w:rPr>
        <w:t xml:space="preserve"> </w:t>
      </w:r>
      <w:r w:rsidRPr="000B6D7A">
        <w:rPr>
          <w:rFonts w:ascii="Titillium" w:hAnsi="Titillium" w:cstheme="minorHAnsi"/>
          <w:color w:val="000000" w:themeColor="text1"/>
          <w:sz w:val="18"/>
          <w:szCs w:val="18"/>
        </w:rPr>
        <w:t>anch’essa ad</w:t>
      </w:r>
      <w:r w:rsidR="00796092" w:rsidRPr="000B6D7A">
        <w:rPr>
          <w:rFonts w:ascii="Titillium" w:hAnsi="Titillium" w:cstheme="minorHAnsi"/>
          <w:color w:val="000000" w:themeColor="text1"/>
          <w:sz w:val="18"/>
          <w:szCs w:val="18"/>
        </w:rPr>
        <w:t xml:space="preserve"> indicare, in sede di offerta, </w:t>
      </w:r>
      <w:r w:rsidR="005C5ECA" w:rsidRPr="000B6D7A">
        <w:rPr>
          <w:rFonts w:ascii="Titillium" w:hAnsi="Titillium" w:cstheme="minorHAnsi"/>
          <w:color w:val="000000" w:themeColor="text1"/>
          <w:sz w:val="18"/>
          <w:szCs w:val="18"/>
        </w:rPr>
        <w:t xml:space="preserve">le </w:t>
      </w:r>
      <w:r w:rsidR="00796092" w:rsidRPr="000B6D7A">
        <w:rPr>
          <w:rFonts w:ascii="Titillium" w:hAnsi="Titillium" w:cstheme="minorHAnsi"/>
          <w:color w:val="000000" w:themeColor="text1"/>
          <w:sz w:val="18"/>
          <w:szCs w:val="18"/>
        </w:rPr>
        <w:t>consorziat</w:t>
      </w:r>
      <w:r w:rsidR="005C5ECA" w:rsidRPr="000B6D7A">
        <w:rPr>
          <w:rFonts w:ascii="Titillium" w:hAnsi="Titillium" w:cstheme="minorHAnsi"/>
          <w:color w:val="000000" w:themeColor="text1"/>
          <w:sz w:val="18"/>
          <w:szCs w:val="18"/>
        </w:rPr>
        <w:t>e</w:t>
      </w:r>
      <w:r w:rsidR="00796092" w:rsidRPr="000B6D7A">
        <w:rPr>
          <w:rFonts w:ascii="Titillium" w:hAnsi="Titillium" w:cstheme="minorHAnsi"/>
          <w:color w:val="000000" w:themeColor="text1"/>
          <w:sz w:val="18"/>
          <w:szCs w:val="18"/>
        </w:rPr>
        <w:t xml:space="preserve"> per </w:t>
      </w:r>
      <w:r w:rsidR="005C5ECA" w:rsidRPr="000B6D7A">
        <w:rPr>
          <w:rFonts w:ascii="Titillium" w:hAnsi="Titillium" w:cstheme="minorHAnsi"/>
          <w:color w:val="000000" w:themeColor="text1"/>
          <w:sz w:val="18"/>
          <w:szCs w:val="18"/>
        </w:rPr>
        <w:t xml:space="preserve">le </w:t>
      </w:r>
      <w:r w:rsidR="00796092" w:rsidRPr="000B6D7A">
        <w:rPr>
          <w:rFonts w:ascii="Titillium" w:hAnsi="Titillium" w:cstheme="minorHAnsi"/>
          <w:color w:val="000000" w:themeColor="text1"/>
          <w:sz w:val="18"/>
          <w:szCs w:val="18"/>
        </w:rPr>
        <w:t>quali concorre;</w:t>
      </w:r>
      <w:r w:rsidR="003824BF" w:rsidRPr="000B6D7A">
        <w:rPr>
          <w:rFonts w:ascii="Titillium" w:hAnsi="Titillium" w:cstheme="minorHAnsi"/>
          <w:color w:val="000000" w:themeColor="text1"/>
          <w:sz w:val="18"/>
          <w:szCs w:val="18"/>
        </w:rPr>
        <w:t xml:space="preserve"> </w:t>
      </w:r>
      <w:r w:rsidR="00796092" w:rsidRPr="000B6D7A">
        <w:rPr>
          <w:rFonts w:ascii="Titillium" w:hAnsi="Titillium" w:cstheme="minorHAnsi"/>
          <w:color w:val="000000" w:themeColor="text1"/>
          <w:sz w:val="18"/>
          <w:szCs w:val="18"/>
        </w:rPr>
        <w:t>a</w:t>
      </w:r>
      <w:r w:rsidR="00FA6663" w:rsidRPr="000B6D7A">
        <w:rPr>
          <w:rFonts w:ascii="Titillium" w:hAnsi="Titillium" w:cstheme="minorHAnsi"/>
          <w:color w:val="000000" w:themeColor="text1"/>
          <w:sz w:val="18"/>
          <w:szCs w:val="18"/>
        </w:rPr>
        <w:t xml:space="preserve">lle consorziate </w:t>
      </w:r>
      <w:r w:rsidR="00796092" w:rsidRPr="000B6D7A">
        <w:rPr>
          <w:rFonts w:ascii="Titillium" w:hAnsi="Titillium" w:cstheme="minorHAnsi"/>
          <w:color w:val="000000" w:themeColor="text1"/>
          <w:sz w:val="18"/>
          <w:szCs w:val="18"/>
        </w:rPr>
        <w:t>indicat</w:t>
      </w:r>
      <w:r w:rsidR="00FA6663" w:rsidRPr="000B6D7A">
        <w:rPr>
          <w:rFonts w:ascii="Titillium" w:hAnsi="Titillium" w:cstheme="minorHAnsi"/>
          <w:color w:val="000000" w:themeColor="text1"/>
          <w:sz w:val="18"/>
          <w:szCs w:val="18"/>
        </w:rPr>
        <w:t xml:space="preserve">e </w:t>
      </w:r>
      <w:r w:rsidR="00796092" w:rsidRPr="000B6D7A">
        <w:rPr>
          <w:rFonts w:ascii="Titillium" w:hAnsi="Titillium" w:cstheme="minorHAnsi"/>
          <w:color w:val="000000" w:themeColor="text1"/>
          <w:sz w:val="18"/>
          <w:szCs w:val="18"/>
        </w:rPr>
        <w:t>quali esecut</w:t>
      </w:r>
      <w:r w:rsidR="00FA6663" w:rsidRPr="000B6D7A">
        <w:rPr>
          <w:rFonts w:ascii="Titillium" w:hAnsi="Titillium" w:cstheme="minorHAnsi"/>
          <w:color w:val="000000" w:themeColor="text1"/>
          <w:sz w:val="18"/>
          <w:szCs w:val="18"/>
        </w:rPr>
        <w:t xml:space="preserve">rici </w:t>
      </w:r>
      <w:r w:rsidR="00796092" w:rsidRPr="000B6D7A">
        <w:rPr>
          <w:rFonts w:ascii="Titillium" w:hAnsi="Titillium" w:cstheme="minorHAnsi"/>
          <w:color w:val="000000" w:themeColor="text1"/>
          <w:sz w:val="18"/>
          <w:szCs w:val="18"/>
        </w:rPr>
        <w:t>è fatto divieto di partecipare, in qualsiasi altra forma, alla medesima gara.</w:t>
      </w:r>
      <w:r w:rsidR="000433C6">
        <w:rPr>
          <w:rFonts w:ascii="Titillium" w:hAnsi="Titillium" w:cstheme="minorHAnsi"/>
          <w:color w:val="000000" w:themeColor="text1"/>
          <w:sz w:val="18"/>
          <w:szCs w:val="18"/>
        </w:rPr>
        <w:t xml:space="preserve"> </w:t>
      </w:r>
      <w:r w:rsidR="00796092" w:rsidRPr="000B6D7A">
        <w:rPr>
          <w:rFonts w:ascii="Titillium" w:hAnsi="Titillium" w:cstheme="minorHAnsi"/>
          <w:color w:val="000000" w:themeColor="text1"/>
          <w:sz w:val="18"/>
          <w:szCs w:val="18"/>
        </w:rPr>
        <w:t xml:space="preserve"> In caso</w:t>
      </w:r>
      <w:r w:rsidR="003824BF" w:rsidRPr="000B6D7A">
        <w:rPr>
          <w:rFonts w:ascii="Titillium" w:hAnsi="Titillium" w:cstheme="minorHAnsi"/>
          <w:color w:val="000000" w:themeColor="text1"/>
          <w:sz w:val="18"/>
          <w:szCs w:val="18"/>
        </w:rPr>
        <w:t xml:space="preserve"> </w:t>
      </w:r>
      <w:r w:rsidR="00796092" w:rsidRPr="000B6D7A">
        <w:rPr>
          <w:rFonts w:ascii="Titillium" w:hAnsi="Titillium" w:cstheme="minorHAnsi"/>
          <w:color w:val="000000" w:themeColor="text1"/>
          <w:sz w:val="18"/>
          <w:szCs w:val="18"/>
        </w:rPr>
        <w:t>di violazione del predetto divieto, il consorzio è escluso dalla gara, laddove si accerti che le relative offerte siano</w:t>
      </w:r>
      <w:r w:rsidR="003824BF" w:rsidRPr="000B6D7A">
        <w:rPr>
          <w:rFonts w:ascii="Titillium" w:hAnsi="Titillium" w:cstheme="minorHAnsi"/>
          <w:color w:val="000000" w:themeColor="text1"/>
          <w:sz w:val="18"/>
          <w:szCs w:val="18"/>
        </w:rPr>
        <w:t xml:space="preserve"> </w:t>
      </w:r>
      <w:r w:rsidR="00796092" w:rsidRPr="000B6D7A">
        <w:rPr>
          <w:rFonts w:ascii="Titillium" w:hAnsi="Titillium" w:cstheme="minorHAnsi"/>
          <w:color w:val="000000" w:themeColor="text1"/>
          <w:sz w:val="18"/>
          <w:szCs w:val="18"/>
        </w:rPr>
        <w:t xml:space="preserve">imputabili ad un unico centro decisionale ai sensi dell’articolo 95, </w:t>
      </w:r>
      <w:r w:rsidRPr="000B6D7A">
        <w:rPr>
          <w:rFonts w:ascii="Titillium" w:hAnsi="Titillium" w:cstheme="minorHAnsi"/>
          <w:color w:val="000000" w:themeColor="text1"/>
          <w:sz w:val="18"/>
          <w:szCs w:val="18"/>
        </w:rPr>
        <w:t>comma</w:t>
      </w:r>
      <w:r w:rsidR="00796092" w:rsidRPr="000B6D7A">
        <w:rPr>
          <w:rFonts w:ascii="Titillium" w:hAnsi="Titillium" w:cstheme="minorHAnsi"/>
          <w:color w:val="000000" w:themeColor="text1"/>
          <w:sz w:val="18"/>
          <w:szCs w:val="18"/>
        </w:rPr>
        <w:t xml:space="preserve"> 1, </w:t>
      </w:r>
      <w:r w:rsidR="0088198B" w:rsidRPr="000B6D7A">
        <w:rPr>
          <w:rFonts w:ascii="Titillium" w:hAnsi="Titillium" w:cstheme="minorHAnsi"/>
          <w:color w:val="000000" w:themeColor="text1"/>
          <w:sz w:val="18"/>
          <w:szCs w:val="18"/>
        </w:rPr>
        <w:t>lettera</w:t>
      </w:r>
      <w:r w:rsidR="00796092" w:rsidRPr="000B6D7A">
        <w:rPr>
          <w:rFonts w:ascii="Titillium" w:hAnsi="Titillium" w:cstheme="minorHAnsi"/>
          <w:color w:val="000000" w:themeColor="text1"/>
          <w:sz w:val="18"/>
          <w:szCs w:val="18"/>
        </w:rPr>
        <w:t xml:space="preserve"> d), del Codice, sempre che</w:t>
      </w:r>
      <w:r w:rsidR="003824BF" w:rsidRPr="000B6D7A">
        <w:rPr>
          <w:rFonts w:ascii="Titillium" w:hAnsi="Titillium" w:cstheme="minorHAnsi"/>
          <w:color w:val="000000" w:themeColor="text1"/>
          <w:sz w:val="18"/>
          <w:szCs w:val="18"/>
        </w:rPr>
        <w:t xml:space="preserve"> </w:t>
      </w:r>
      <w:r w:rsidR="00796092" w:rsidRPr="000B6D7A">
        <w:rPr>
          <w:rFonts w:ascii="Titillium" w:hAnsi="Titillium" w:cstheme="minorHAnsi"/>
          <w:color w:val="000000" w:themeColor="text1"/>
          <w:sz w:val="18"/>
          <w:szCs w:val="18"/>
        </w:rPr>
        <w:t xml:space="preserve">l’operatore </w:t>
      </w:r>
      <w:r w:rsidR="00796092" w:rsidRPr="00BA0A00">
        <w:rPr>
          <w:rFonts w:ascii="Titillium" w:hAnsi="Titillium" w:cstheme="minorHAnsi"/>
          <w:color w:val="000000" w:themeColor="text1"/>
          <w:sz w:val="18"/>
          <w:szCs w:val="18"/>
        </w:rPr>
        <w:t>economico n</w:t>
      </w:r>
      <w:r w:rsidR="00796092" w:rsidRPr="000B6D7A">
        <w:rPr>
          <w:rFonts w:ascii="Titillium" w:hAnsi="Titillium" w:cstheme="minorHAnsi"/>
          <w:color w:val="000000" w:themeColor="text1"/>
          <w:sz w:val="18"/>
          <w:szCs w:val="18"/>
        </w:rPr>
        <w:t>on dimostri</w:t>
      </w:r>
      <w:r w:rsidR="00E36C1A" w:rsidRPr="000B6D7A">
        <w:rPr>
          <w:rFonts w:ascii="Titillium" w:hAnsi="Titillium" w:cstheme="minorHAnsi"/>
          <w:color w:val="000000" w:themeColor="text1"/>
          <w:sz w:val="18"/>
          <w:szCs w:val="18"/>
        </w:rPr>
        <w:t xml:space="preserve">, con idonea documentazione da inserire </w:t>
      </w:r>
      <w:r w:rsidR="00152662" w:rsidRPr="000B6D7A">
        <w:rPr>
          <w:rFonts w:ascii="Titillium" w:hAnsi="Titillium" w:cstheme="minorHAnsi"/>
          <w:color w:val="000000" w:themeColor="text1"/>
          <w:sz w:val="18"/>
          <w:szCs w:val="18"/>
        </w:rPr>
        <w:t>nel FVOE</w:t>
      </w:r>
      <w:r w:rsidR="00E36C1A" w:rsidRPr="000B6D7A">
        <w:rPr>
          <w:rFonts w:ascii="Titillium" w:hAnsi="Titillium" w:cstheme="minorHAnsi"/>
          <w:color w:val="000000" w:themeColor="text1"/>
          <w:sz w:val="18"/>
          <w:szCs w:val="18"/>
        </w:rPr>
        <w:t xml:space="preserve">, </w:t>
      </w:r>
      <w:r w:rsidR="00796092" w:rsidRPr="000B6D7A">
        <w:rPr>
          <w:rFonts w:ascii="Titillium" w:hAnsi="Titillium" w:cstheme="minorHAnsi"/>
          <w:color w:val="000000" w:themeColor="text1"/>
          <w:sz w:val="18"/>
          <w:szCs w:val="18"/>
        </w:rPr>
        <w:t>che la circostanza</w:t>
      </w:r>
      <w:r w:rsidR="003824BF" w:rsidRPr="000B6D7A">
        <w:rPr>
          <w:rFonts w:ascii="Titillium" w:hAnsi="Titillium" w:cstheme="minorHAnsi"/>
          <w:color w:val="000000" w:themeColor="text1"/>
          <w:sz w:val="18"/>
          <w:szCs w:val="18"/>
        </w:rPr>
        <w:t xml:space="preserve"> </w:t>
      </w:r>
      <w:r w:rsidR="00796092" w:rsidRPr="000B6D7A">
        <w:rPr>
          <w:rFonts w:ascii="Titillium" w:hAnsi="Titillium" w:cstheme="minorHAnsi"/>
          <w:color w:val="000000" w:themeColor="text1"/>
          <w:sz w:val="18"/>
          <w:szCs w:val="18"/>
        </w:rPr>
        <w:t>non ha influito sulla gara, né è idonea a incidere sulla capacità di rispettare gli obblighi contrattuali</w:t>
      </w:r>
      <w:r w:rsidR="00D80CD6" w:rsidRPr="000B6D7A">
        <w:rPr>
          <w:rFonts w:ascii="Titillium" w:hAnsi="Titillium" w:cstheme="minorHAnsi"/>
          <w:color w:val="000000" w:themeColor="text1"/>
          <w:sz w:val="18"/>
          <w:szCs w:val="18"/>
        </w:rPr>
        <w:t>.</w:t>
      </w:r>
    </w:p>
    <w:p w14:paraId="327AE8CB" w14:textId="2F71A7C9" w:rsidR="003824BF" w:rsidRPr="00BA0A00" w:rsidRDefault="00DE0A2A" w:rsidP="00F661D1">
      <w:pPr>
        <w:spacing w:before="60" w:after="60"/>
        <w:rPr>
          <w:rFonts w:ascii="Titillium" w:hAnsi="Titillium" w:cstheme="minorHAnsi"/>
          <w:color w:val="000000" w:themeColor="text1"/>
          <w:sz w:val="18"/>
          <w:szCs w:val="18"/>
        </w:rPr>
      </w:pPr>
      <w:r w:rsidRPr="00BA0A00">
        <w:rPr>
          <w:rFonts w:ascii="Titillium" w:hAnsi="Titillium" w:cstheme="minorHAnsi"/>
          <w:color w:val="000000" w:themeColor="text1"/>
          <w:sz w:val="18"/>
          <w:szCs w:val="18"/>
        </w:rPr>
        <w:t>S</w:t>
      </w:r>
      <w:r w:rsidR="003824BF" w:rsidRPr="00BA0A00">
        <w:rPr>
          <w:rFonts w:ascii="Titillium" w:hAnsi="Titillium" w:cstheme="minorHAnsi"/>
          <w:color w:val="000000" w:themeColor="text1"/>
          <w:sz w:val="18"/>
          <w:szCs w:val="18"/>
        </w:rPr>
        <w:t>ono esclusi dalla gara i concorrenti che partecipa</w:t>
      </w:r>
      <w:r w:rsidRPr="00BA0A00">
        <w:rPr>
          <w:rFonts w:ascii="Titillium" w:hAnsi="Titillium" w:cstheme="minorHAnsi"/>
          <w:color w:val="000000" w:themeColor="text1"/>
          <w:sz w:val="18"/>
          <w:szCs w:val="18"/>
        </w:rPr>
        <w:t>n</w:t>
      </w:r>
      <w:r w:rsidR="003824BF" w:rsidRPr="00BA0A00">
        <w:rPr>
          <w:rFonts w:ascii="Titillium" w:hAnsi="Titillium" w:cstheme="minorHAnsi"/>
          <w:color w:val="000000" w:themeColor="text1"/>
          <w:sz w:val="18"/>
          <w:szCs w:val="18"/>
        </w:rPr>
        <w:t>o in più di un R.T</w:t>
      </w:r>
      <w:r w:rsidR="00152662">
        <w:rPr>
          <w:rFonts w:ascii="Titillium" w:hAnsi="Titillium" w:cstheme="minorHAnsi"/>
          <w:color w:val="000000" w:themeColor="text1"/>
          <w:sz w:val="18"/>
          <w:szCs w:val="18"/>
        </w:rPr>
        <w:t>.</w:t>
      </w:r>
      <w:r w:rsidR="003824BF" w:rsidRPr="00BA0A00">
        <w:rPr>
          <w:rFonts w:ascii="Titillium" w:hAnsi="Titillium" w:cstheme="minorHAnsi"/>
          <w:color w:val="000000" w:themeColor="text1"/>
          <w:sz w:val="18"/>
          <w:szCs w:val="18"/>
        </w:rPr>
        <w:t xml:space="preserve">, ovvero anche in forma individuale qualora </w:t>
      </w:r>
      <w:r w:rsidR="00122FB2" w:rsidRPr="00BA0A00">
        <w:rPr>
          <w:rFonts w:ascii="Titillium" w:hAnsi="Titillium" w:cstheme="minorHAnsi"/>
          <w:color w:val="000000" w:themeColor="text1"/>
          <w:sz w:val="18"/>
          <w:szCs w:val="18"/>
        </w:rPr>
        <w:t>partecipino</w:t>
      </w:r>
      <w:r w:rsidR="003824BF" w:rsidRPr="00BA0A00">
        <w:rPr>
          <w:rFonts w:ascii="Titillium" w:hAnsi="Titillium" w:cstheme="minorHAnsi"/>
          <w:color w:val="000000" w:themeColor="text1"/>
          <w:sz w:val="18"/>
          <w:szCs w:val="18"/>
        </w:rPr>
        <w:t xml:space="preserve"> alla medesima gara in R.T.,</w:t>
      </w:r>
      <w:r w:rsidR="00FA6663" w:rsidRPr="00BA0A00">
        <w:rPr>
          <w:rFonts w:ascii="Titillium" w:hAnsi="Titillium" w:cstheme="minorHAnsi"/>
          <w:color w:val="000000" w:themeColor="text1"/>
          <w:sz w:val="18"/>
          <w:szCs w:val="18"/>
        </w:rPr>
        <w:t xml:space="preserve"> </w:t>
      </w:r>
      <w:r w:rsidR="003824BF" w:rsidRPr="00BA0A00">
        <w:rPr>
          <w:rFonts w:ascii="Titillium" w:hAnsi="Titillium" w:cstheme="minorHAnsi"/>
          <w:color w:val="000000" w:themeColor="text1"/>
          <w:sz w:val="18"/>
          <w:szCs w:val="18"/>
        </w:rPr>
        <w:t xml:space="preserve">se sono integrati i presupposti di cui all’articolo 95, </w:t>
      </w:r>
      <w:r w:rsidRPr="00BA0A00">
        <w:rPr>
          <w:rFonts w:ascii="Titillium" w:hAnsi="Titillium" w:cstheme="minorHAnsi"/>
          <w:color w:val="000000" w:themeColor="text1"/>
          <w:sz w:val="18"/>
          <w:szCs w:val="18"/>
        </w:rPr>
        <w:t>comma</w:t>
      </w:r>
      <w:r w:rsidR="003824BF" w:rsidRPr="00BA0A00">
        <w:rPr>
          <w:rFonts w:ascii="Titillium" w:hAnsi="Titillium" w:cstheme="minorHAnsi"/>
          <w:color w:val="000000" w:themeColor="text1"/>
          <w:sz w:val="18"/>
          <w:szCs w:val="18"/>
        </w:rPr>
        <w:t xml:space="preserve"> 1, </w:t>
      </w:r>
      <w:r w:rsidR="0088198B" w:rsidRPr="00BA0A00">
        <w:rPr>
          <w:rFonts w:ascii="Titillium" w:hAnsi="Titillium" w:cstheme="minorHAnsi"/>
          <w:color w:val="000000" w:themeColor="text1"/>
          <w:sz w:val="18"/>
          <w:szCs w:val="18"/>
        </w:rPr>
        <w:t>lettera</w:t>
      </w:r>
      <w:r w:rsidR="003824BF" w:rsidRPr="00BA0A00">
        <w:rPr>
          <w:rFonts w:ascii="Titillium" w:hAnsi="Titillium" w:cstheme="minorHAnsi"/>
          <w:color w:val="000000" w:themeColor="text1"/>
          <w:sz w:val="18"/>
          <w:szCs w:val="18"/>
        </w:rPr>
        <w:t xml:space="preserve"> d), del Codice, e sempre che l’operatore economico, non dimostri</w:t>
      </w:r>
      <w:r w:rsidR="00014A76" w:rsidRPr="00BA0A00">
        <w:rPr>
          <w:rFonts w:ascii="Titillium" w:hAnsi="Titillium" w:cstheme="minorHAnsi"/>
          <w:color w:val="000000" w:themeColor="text1"/>
          <w:sz w:val="18"/>
          <w:szCs w:val="18"/>
        </w:rPr>
        <w:t xml:space="preserve"> con idonea documentazione da inserire nel FVOE, </w:t>
      </w:r>
      <w:r w:rsidR="003824BF" w:rsidRPr="00BA0A00">
        <w:rPr>
          <w:rFonts w:ascii="Titillium" w:hAnsi="Titillium" w:cstheme="minorHAnsi"/>
          <w:color w:val="000000" w:themeColor="text1"/>
          <w:sz w:val="18"/>
          <w:szCs w:val="18"/>
        </w:rPr>
        <w:t>che la circostanza non ha influito sulla gara, né è idonea a incidere sulla capacità di rispettare gli obblighi contrattuali.</w:t>
      </w:r>
    </w:p>
    <w:p w14:paraId="3041900F" w14:textId="24AE1C82" w:rsidR="003824BF" w:rsidRPr="00361D0A" w:rsidRDefault="003824BF" w:rsidP="00F661D1">
      <w:pPr>
        <w:spacing w:before="60" w:after="60"/>
        <w:rPr>
          <w:rFonts w:ascii="Titillium" w:hAnsi="Titillium" w:cstheme="minorHAnsi"/>
          <w:color w:val="1F4E79" w:themeColor="accent1" w:themeShade="80"/>
          <w:sz w:val="18"/>
          <w:szCs w:val="18"/>
        </w:rPr>
      </w:pPr>
      <w:r w:rsidRPr="00BA0A00">
        <w:rPr>
          <w:rFonts w:ascii="Titillium" w:hAnsi="Titillium" w:cstheme="minorHAnsi"/>
          <w:color w:val="000000" w:themeColor="text1"/>
          <w:sz w:val="18"/>
          <w:szCs w:val="18"/>
        </w:rPr>
        <w:t xml:space="preserve">Ai sensi dell’articolo 68, </w:t>
      </w:r>
      <w:r w:rsidR="00DE0A2A" w:rsidRPr="00BA0A00">
        <w:rPr>
          <w:rFonts w:ascii="Titillium" w:hAnsi="Titillium" w:cstheme="minorHAnsi"/>
          <w:color w:val="000000" w:themeColor="text1"/>
          <w:sz w:val="18"/>
          <w:szCs w:val="18"/>
        </w:rPr>
        <w:t>comma</w:t>
      </w:r>
      <w:r w:rsidRPr="00BA0A00">
        <w:rPr>
          <w:rFonts w:ascii="Titillium" w:hAnsi="Titillium" w:cstheme="minorHAnsi"/>
          <w:color w:val="000000" w:themeColor="text1"/>
          <w:sz w:val="18"/>
          <w:szCs w:val="18"/>
        </w:rPr>
        <w:t xml:space="preserve"> 15, del Codice dei Contratti è vietata, a pena di esclusione, l’associazione in partecipazione</w:t>
      </w:r>
      <w:r w:rsidRPr="00361D0A">
        <w:rPr>
          <w:rFonts w:ascii="Titillium" w:hAnsi="Titillium" w:cstheme="minorHAnsi"/>
          <w:color w:val="1F4E79" w:themeColor="accent1" w:themeShade="80"/>
          <w:sz w:val="18"/>
          <w:szCs w:val="18"/>
        </w:rPr>
        <w:t>.</w:t>
      </w:r>
    </w:p>
    <w:p w14:paraId="4BA0FAD8" w14:textId="5E375DC4" w:rsidR="003824BF" w:rsidRDefault="003824BF" w:rsidP="00F661D1">
      <w:pPr>
        <w:spacing w:before="60" w:after="60"/>
        <w:rPr>
          <w:rFonts w:ascii="Titillium" w:hAnsi="Titillium" w:cstheme="minorHAnsi"/>
          <w:color w:val="000000" w:themeColor="text1"/>
          <w:sz w:val="18"/>
          <w:szCs w:val="18"/>
        </w:rPr>
      </w:pPr>
      <w:r w:rsidRPr="00BA0A00">
        <w:rPr>
          <w:rFonts w:ascii="Titillium" w:hAnsi="Titillium" w:cstheme="minorHAnsi"/>
          <w:color w:val="000000" w:themeColor="text1"/>
          <w:sz w:val="18"/>
          <w:szCs w:val="18"/>
        </w:rPr>
        <w:t>È altresì vietata, a pena di esclusione, qualsiasi modificazione alla composizione soggettiva dei R.T. e dei consorzi rispetto a quella risultante dall'impegno presentato in sede di offerta, laddove non ricorrano i presupposti di cui al comma 17 del medesimo articolo 68 del Codice e del successivo articolo 97.</w:t>
      </w:r>
    </w:p>
    <w:p w14:paraId="07F4AA8A" w14:textId="300276C3" w:rsidR="00560016" w:rsidRPr="00BA0A00" w:rsidRDefault="00560016" w:rsidP="00F661D1">
      <w:pPr>
        <w:spacing w:before="60" w:after="60"/>
        <w:rPr>
          <w:rFonts w:ascii="Titillium" w:hAnsi="Titillium" w:cstheme="minorHAnsi"/>
          <w:color w:val="000000" w:themeColor="text1"/>
          <w:sz w:val="18"/>
          <w:szCs w:val="18"/>
        </w:rPr>
      </w:pPr>
      <w:r w:rsidRPr="00BA0A00">
        <w:rPr>
          <w:rFonts w:ascii="Titillium" w:hAnsi="Titillium" w:cstheme="minorHAnsi"/>
          <w:color w:val="000000" w:themeColor="text1"/>
          <w:sz w:val="18"/>
          <w:szCs w:val="18"/>
        </w:rPr>
        <w:t xml:space="preserve">Le </w:t>
      </w:r>
      <w:r w:rsidRPr="008D1A0D">
        <w:rPr>
          <w:rFonts w:ascii="Titillium" w:hAnsi="Titillium" w:cstheme="minorHAnsi"/>
          <w:color w:val="000000" w:themeColor="text1"/>
          <w:sz w:val="18"/>
          <w:szCs w:val="18"/>
        </w:rPr>
        <w:t>aggregazioni</w:t>
      </w:r>
      <w:r w:rsidR="00B71D25" w:rsidRPr="008D1A0D">
        <w:rPr>
          <w:rFonts w:ascii="Titillium" w:hAnsi="Titillium" w:cstheme="minorHAnsi"/>
          <w:color w:val="000000" w:themeColor="text1"/>
          <w:sz w:val="18"/>
          <w:szCs w:val="18"/>
        </w:rPr>
        <w:t xml:space="preserve"> di rete (rete di imprese, rete di professionisti o rete mista)</w:t>
      </w:r>
      <w:r w:rsidR="00B71D25" w:rsidRPr="00B71D25">
        <w:rPr>
          <w:rFonts w:ascii="Titillium" w:hAnsi="Titillium" w:cstheme="minorHAnsi"/>
          <w:color w:val="000000" w:themeColor="text1"/>
          <w:sz w:val="18"/>
          <w:szCs w:val="18"/>
        </w:rPr>
        <w:t xml:space="preserve"> rispettano la disciplina prevista per i raggruppamenti temporanei in quanto compatibile</w:t>
      </w:r>
      <w:r w:rsidRPr="00BA0A00">
        <w:rPr>
          <w:rFonts w:ascii="Titillium" w:hAnsi="Titillium" w:cstheme="minorHAnsi"/>
          <w:color w:val="000000" w:themeColor="text1"/>
          <w:sz w:val="18"/>
          <w:szCs w:val="18"/>
        </w:rPr>
        <w:t>. In particolare:</w:t>
      </w:r>
    </w:p>
    <w:p w14:paraId="1D120483" w14:textId="77777777" w:rsidR="00DE0A2A" w:rsidRPr="00BA0A00" w:rsidRDefault="00560016" w:rsidP="00D26F03">
      <w:pPr>
        <w:pStyle w:val="Paragrafoelenco"/>
        <w:numPr>
          <w:ilvl w:val="2"/>
          <w:numId w:val="11"/>
        </w:numPr>
        <w:rPr>
          <w:rFonts w:ascii="Titillium" w:hAnsi="Titillium" w:cstheme="minorHAnsi"/>
          <w:color w:val="000000" w:themeColor="text1"/>
          <w:sz w:val="18"/>
          <w:szCs w:val="18"/>
        </w:rPr>
      </w:pPr>
      <w:r w:rsidRPr="00BA0A00">
        <w:rPr>
          <w:rFonts w:ascii="Titillium" w:hAnsi="Titillium" w:cstheme="minorHAnsi"/>
          <w:color w:val="000000" w:themeColor="text1"/>
          <w:sz w:val="18"/>
          <w:szCs w:val="18"/>
        </w:rPr>
        <w:t>nel caso in cui la rete sia dotata di organo comune con potere di rappresentanza e soggettività giuridica (cd. Rete – soggetto), l’aggregazione di retisti partecipa a mezzo dell’organo comune, che assume il ruolo del mandatario. L’organo comune può indicare anche solo alcuni tra i retisti per la partecipazione alla gara ma deve obbligatoriamente far parte di questi;</w:t>
      </w:r>
    </w:p>
    <w:p w14:paraId="7C208B95" w14:textId="77777777" w:rsidR="00DE0A2A" w:rsidRPr="00BA0A00" w:rsidRDefault="00560016" w:rsidP="00D26F03">
      <w:pPr>
        <w:pStyle w:val="Paragrafoelenco"/>
        <w:numPr>
          <w:ilvl w:val="2"/>
          <w:numId w:val="11"/>
        </w:numPr>
        <w:rPr>
          <w:rFonts w:ascii="Titillium" w:hAnsi="Titillium" w:cstheme="minorHAnsi"/>
          <w:color w:val="000000" w:themeColor="text1"/>
          <w:sz w:val="18"/>
          <w:szCs w:val="18"/>
        </w:rPr>
      </w:pPr>
      <w:r w:rsidRPr="00BA0A00">
        <w:rPr>
          <w:rFonts w:ascii="Titillium" w:hAnsi="Titillium" w:cstheme="minorHAnsi"/>
          <w:color w:val="000000" w:themeColor="text1"/>
          <w:sz w:val="18"/>
          <w:szCs w:val="18"/>
        </w:rPr>
        <w:t>nel caso in cui la rete sia dotata di organo comune con potere di rappresentanza ma priva di soggettività giuridica (cd. Rete – contratto), l’aggregazione di retisti partecipa a mezzo dell’organo comune, che assume il ruolo del mandatario, e qualora il contratto di rete rechi mandato allo stesso a presentare domanda di partecipazione o offerta per determinate tipologie di procedure di gara. L’organo comune può indicare anche solo alcuni tra i retisti per la partecipazione alla gara ma deve obbligatoriamente far parte di questi;</w:t>
      </w:r>
    </w:p>
    <w:p w14:paraId="58DCE9B0" w14:textId="1ECB664E" w:rsidR="00560016" w:rsidRPr="00BA0A00" w:rsidRDefault="00560016" w:rsidP="00D26F03">
      <w:pPr>
        <w:pStyle w:val="Paragrafoelenco"/>
        <w:numPr>
          <w:ilvl w:val="2"/>
          <w:numId w:val="11"/>
        </w:numPr>
        <w:rPr>
          <w:rFonts w:ascii="Titillium" w:hAnsi="Titillium" w:cstheme="minorHAnsi"/>
          <w:color w:val="000000" w:themeColor="text1"/>
          <w:sz w:val="18"/>
          <w:szCs w:val="18"/>
        </w:rPr>
      </w:pPr>
      <w:r w:rsidRPr="00BA0A00">
        <w:rPr>
          <w:rFonts w:ascii="Titillium" w:hAnsi="Titillium" w:cstheme="minorHAnsi"/>
          <w:color w:val="000000" w:themeColor="text1"/>
          <w:sz w:val="18"/>
          <w:szCs w:val="18"/>
        </w:rPr>
        <w:t>nel caso in cui la rete sia dotata di organo comune privo di potere di rappresentanza ovvero sia sprovvista di organo comune, oppure se l’organo comune è privo dei requisiti di qualificazione, l’aggregazione di retisti partecipa nella forma del raggruppamento costituito o costituendo, con applicazione integrale delle relative regole.</w:t>
      </w:r>
    </w:p>
    <w:p w14:paraId="2DFDEA04" w14:textId="77777777" w:rsidR="00560016" w:rsidRDefault="00560016" w:rsidP="00F661D1">
      <w:pPr>
        <w:spacing w:before="60" w:after="60"/>
        <w:rPr>
          <w:rFonts w:ascii="Titillium" w:hAnsi="Titillium" w:cstheme="minorHAnsi"/>
          <w:color w:val="000000" w:themeColor="text1"/>
          <w:sz w:val="18"/>
          <w:szCs w:val="18"/>
        </w:rPr>
      </w:pPr>
      <w:r w:rsidRPr="00BA0A00">
        <w:rPr>
          <w:rFonts w:ascii="Titillium" w:hAnsi="Titillium" w:cstheme="minorHAnsi"/>
          <w:color w:val="000000" w:themeColor="text1"/>
          <w:sz w:val="18"/>
          <w:szCs w:val="18"/>
        </w:rPr>
        <w:t>Per tutte le tipologie di rete, la partecipazione congiunta alle gare deve risultare individuata nel contratto di rete come uno degli scopi strategici inclusi nel programma comune, mentre la durata dello stesso dovrà essere commisurata ai tempi di realizzazione dell’appalto.</w:t>
      </w:r>
    </w:p>
    <w:p w14:paraId="13D86A8D" w14:textId="77777777" w:rsidR="00B71D25" w:rsidRDefault="00B71D25" w:rsidP="00B71D25">
      <w:pPr>
        <w:pStyle w:val="Default"/>
        <w:rPr>
          <w:sz w:val="18"/>
          <w:szCs w:val="18"/>
        </w:rPr>
      </w:pPr>
      <w:r w:rsidRPr="00883486">
        <w:rPr>
          <w:rFonts w:ascii="Titillium" w:hAnsi="Titillium"/>
          <w:sz w:val="18"/>
          <w:szCs w:val="18"/>
        </w:rPr>
        <w:t>Il ruolo di mandante/mandataria di un raggruppamento temporaneo può essere assunto anche da un consorzio stabile ovvero da una sub-associazione, nelle forme di un consorzio ordinario costituito oppure di un’aggregazione di rete</w:t>
      </w:r>
      <w:r w:rsidRPr="00883486">
        <w:rPr>
          <w:sz w:val="18"/>
          <w:szCs w:val="18"/>
        </w:rPr>
        <w:t>.</w:t>
      </w:r>
    </w:p>
    <w:p w14:paraId="1849CF26" w14:textId="6992D87A" w:rsidR="00242AB3" w:rsidRPr="00B71D25" w:rsidRDefault="00242AB3" w:rsidP="00B71D25">
      <w:pPr>
        <w:pStyle w:val="Default"/>
        <w:rPr>
          <w:sz w:val="18"/>
          <w:szCs w:val="18"/>
        </w:rPr>
      </w:pPr>
    </w:p>
    <w:p w14:paraId="0F89E1E8" w14:textId="6D480B7A" w:rsidR="00EF682A" w:rsidRDefault="00EF682A" w:rsidP="00EF682A">
      <w:pPr>
        <w:spacing w:before="60" w:after="60"/>
        <w:rPr>
          <w:rFonts w:ascii="Titillium" w:hAnsi="Titillium" w:cstheme="minorHAnsi"/>
          <w:color w:val="000000" w:themeColor="text1"/>
          <w:sz w:val="18"/>
          <w:szCs w:val="18"/>
        </w:rPr>
      </w:pPr>
      <w:r w:rsidRPr="00EF682A">
        <w:rPr>
          <w:rFonts w:ascii="Titillium" w:hAnsi="Titillium" w:cstheme="minorHAnsi"/>
          <w:color w:val="000000" w:themeColor="text1"/>
          <w:sz w:val="18"/>
          <w:szCs w:val="18"/>
        </w:rPr>
        <w:t>L’impresa in concordato preventivo può concorrere anche riunita in raggruppamento temporaneo di</w:t>
      </w:r>
      <w:r>
        <w:rPr>
          <w:rFonts w:ascii="Titillium" w:hAnsi="Titillium" w:cstheme="minorHAnsi"/>
          <w:color w:val="000000" w:themeColor="text1"/>
          <w:sz w:val="18"/>
          <w:szCs w:val="18"/>
        </w:rPr>
        <w:t xml:space="preserve"> </w:t>
      </w:r>
      <w:r w:rsidRPr="00EF682A">
        <w:rPr>
          <w:rFonts w:ascii="Titillium" w:hAnsi="Titillium" w:cstheme="minorHAnsi"/>
          <w:color w:val="000000" w:themeColor="text1"/>
          <w:sz w:val="18"/>
          <w:szCs w:val="18"/>
        </w:rPr>
        <w:t>imprese e sempre che le altre imprese aderenti al raggruppamento temporaneo di imprese non siano</w:t>
      </w:r>
      <w:r>
        <w:rPr>
          <w:rFonts w:ascii="Titillium" w:hAnsi="Titillium" w:cstheme="minorHAnsi"/>
          <w:color w:val="000000" w:themeColor="text1"/>
          <w:sz w:val="18"/>
          <w:szCs w:val="18"/>
        </w:rPr>
        <w:t xml:space="preserve"> </w:t>
      </w:r>
      <w:r w:rsidRPr="00EF682A">
        <w:rPr>
          <w:rFonts w:ascii="Titillium" w:hAnsi="Titillium" w:cstheme="minorHAnsi"/>
          <w:color w:val="000000" w:themeColor="text1"/>
          <w:sz w:val="18"/>
          <w:szCs w:val="18"/>
        </w:rPr>
        <w:t>assoggettate ad una procedura concorsuale.</w:t>
      </w:r>
    </w:p>
    <w:p w14:paraId="066F724E" w14:textId="77777777" w:rsidR="001220FA" w:rsidRDefault="001220FA" w:rsidP="00F661D1">
      <w:pPr>
        <w:spacing w:before="60" w:after="60"/>
        <w:rPr>
          <w:rFonts w:ascii="Titillium" w:hAnsi="Titillium" w:cstheme="minorHAnsi"/>
          <w:b/>
          <w:bCs/>
          <w:sz w:val="18"/>
          <w:szCs w:val="18"/>
        </w:rPr>
      </w:pPr>
    </w:p>
    <w:p w14:paraId="503B9B8B" w14:textId="0E44F4C9" w:rsidR="00005014" w:rsidRPr="00005014" w:rsidRDefault="00005014" w:rsidP="00F661D1">
      <w:pPr>
        <w:spacing w:before="60" w:after="60"/>
        <w:rPr>
          <w:rFonts w:ascii="Titillium" w:hAnsi="Titillium" w:cstheme="minorHAnsi"/>
          <w:sz w:val="18"/>
          <w:szCs w:val="18"/>
        </w:rPr>
      </w:pPr>
      <w:r w:rsidRPr="00AC4C6F">
        <w:rPr>
          <w:rFonts w:ascii="Titillium" w:hAnsi="Titillium" w:cstheme="minorHAnsi"/>
          <w:b/>
          <w:bCs/>
          <w:sz w:val="18"/>
          <w:szCs w:val="18"/>
        </w:rPr>
        <w:t>[</w:t>
      </w:r>
      <w:r w:rsidRPr="006E76F0">
        <w:rPr>
          <w:rFonts w:ascii="Titillium" w:hAnsi="Titillium" w:cstheme="minorHAnsi"/>
          <w:b/>
          <w:bCs/>
          <w:i/>
          <w:iCs/>
          <w:sz w:val="18"/>
          <w:szCs w:val="18"/>
        </w:rPr>
        <w:t xml:space="preserve">Facoltativo: se la stazione appaltante richiede una forma giuridica specifica per i </w:t>
      </w:r>
      <w:r w:rsidR="006E76F0">
        <w:rPr>
          <w:rFonts w:ascii="Titillium" w:hAnsi="Titillium" w:cstheme="minorHAnsi"/>
          <w:b/>
          <w:bCs/>
          <w:i/>
          <w:iCs/>
          <w:sz w:val="18"/>
          <w:szCs w:val="18"/>
        </w:rPr>
        <w:t>R</w:t>
      </w:r>
      <w:r w:rsidRPr="006E76F0">
        <w:rPr>
          <w:rFonts w:ascii="Titillium" w:hAnsi="Titillium" w:cstheme="minorHAnsi"/>
          <w:b/>
          <w:bCs/>
          <w:i/>
          <w:iCs/>
          <w:sz w:val="18"/>
          <w:szCs w:val="18"/>
        </w:rPr>
        <w:t>aggruppamenti</w:t>
      </w:r>
      <w:r w:rsidRPr="00AC4C6F">
        <w:rPr>
          <w:rFonts w:ascii="Titillium" w:hAnsi="Titillium" w:cstheme="minorHAnsi"/>
          <w:b/>
          <w:bCs/>
          <w:sz w:val="18"/>
          <w:szCs w:val="18"/>
        </w:rPr>
        <w:t>]</w:t>
      </w:r>
      <w:r w:rsidRPr="00005014">
        <w:rPr>
          <w:rFonts w:ascii="Titillium" w:hAnsi="Titillium" w:cstheme="minorHAnsi"/>
          <w:sz w:val="18"/>
          <w:szCs w:val="18"/>
        </w:rPr>
        <w:t xml:space="preserve"> I raggruppamenti di operatori economici, dopo l’aggiudicazione, devono assumere la forma di … [</w:t>
      </w:r>
      <w:r w:rsidRPr="006E76F0">
        <w:rPr>
          <w:rFonts w:ascii="Titillium" w:hAnsi="Titillium" w:cstheme="minorHAnsi"/>
          <w:i/>
          <w:iCs/>
          <w:sz w:val="18"/>
          <w:szCs w:val="18"/>
        </w:rPr>
        <w:t>inserire la forma giuridica specifica</w:t>
      </w:r>
      <w:r w:rsidRPr="00005014">
        <w:rPr>
          <w:rFonts w:ascii="Titillium" w:hAnsi="Titillium" w:cstheme="minorHAnsi"/>
          <w:sz w:val="18"/>
          <w:szCs w:val="18"/>
        </w:rPr>
        <w:t>].</w:t>
      </w:r>
    </w:p>
    <w:p w14:paraId="19CAFC4A" w14:textId="77777777" w:rsidR="00005014" w:rsidRPr="00005014" w:rsidRDefault="00005014" w:rsidP="00F661D1">
      <w:pPr>
        <w:spacing w:before="60" w:after="60"/>
        <w:rPr>
          <w:rFonts w:ascii="Titillium" w:hAnsi="Titillium" w:cstheme="minorHAnsi"/>
          <w:sz w:val="18"/>
          <w:szCs w:val="18"/>
        </w:rPr>
      </w:pPr>
    </w:p>
    <w:p w14:paraId="1B3D5FBA" w14:textId="0ADAC650" w:rsidR="00005014" w:rsidRPr="006E76F0" w:rsidRDefault="00005014" w:rsidP="00F661D1">
      <w:pPr>
        <w:spacing w:before="60" w:after="60"/>
        <w:rPr>
          <w:rFonts w:ascii="Titillium" w:hAnsi="Titillium" w:cstheme="minorHAnsi"/>
          <w:i/>
          <w:iCs/>
          <w:sz w:val="18"/>
          <w:szCs w:val="18"/>
        </w:rPr>
      </w:pPr>
      <w:r w:rsidRPr="00AC4C6F">
        <w:rPr>
          <w:rFonts w:ascii="Titillium" w:hAnsi="Titillium" w:cstheme="minorHAnsi"/>
          <w:b/>
          <w:bCs/>
          <w:sz w:val="18"/>
          <w:szCs w:val="18"/>
        </w:rPr>
        <w:t>[</w:t>
      </w:r>
      <w:r w:rsidRPr="006E76F0">
        <w:rPr>
          <w:rFonts w:ascii="Titillium" w:hAnsi="Titillium" w:cstheme="minorHAnsi"/>
          <w:b/>
          <w:bCs/>
          <w:i/>
          <w:iCs/>
          <w:sz w:val="18"/>
          <w:szCs w:val="18"/>
        </w:rPr>
        <w:t xml:space="preserve">Facoltativo: se la stazione appaltante richiede specifiche condizioni di esecuzione per i </w:t>
      </w:r>
      <w:r w:rsidR="006E76F0">
        <w:rPr>
          <w:rFonts w:ascii="Titillium" w:hAnsi="Titillium" w:cstheme="minorHAnsi"/>
          <w:b/>
          <w:bCs/>
          <w:i/>
          <w:iCs/>
          <w:sz w:val="18"/>
          <w:szCs w:val="18"/>
        </w:rPr>
        <w:t>R</w:t>
      </w:r>
      <w:r w:rsidRPr="006E76F0">
        <w:rPr>
          <w:rFonts w:ascii="Titillium" w:hAnsi="Titillium" w:cstheme="minorHAnsi"/>
          <w:b/>
          <w:bCs/>
          <w:i/>
          <w:iCs/>
          <w:sz w:val="18"/>
          <w:szCs w:val="18"/>
        </w:rPr>
        <w:t>aggruppamenti</w:t>
      </w:r>
      <w:r w:rsidRPr="00AC4C6F">
        <w:rPr>
          <w:rFonts w:ascii="Titillium" w:hAnsi="Titillium" w:cstheme="minorHAnsi"/>
          <w:b/>
          <w:bCs/>
          <w:sz w:val="18"/>
          <w:szCs w:val="18"/>
        </w:rPr>
        <w:t xml:space="preserve">] </w:t>
      </w:r>
      <w:r w:rsidRPr="00AC4C6F">
        <w:rPr>
          <w:rFonts w:ascii="Titillium" w:hAnsi="Titillium" w:cstheme="minorHAnsi"/>
          <w:sz w:val="18"/>
          <w:szCs w:val="18"/>
        </w:rPr>
        <w:t>I r</w:t>
      </w:r>
      <w:r w:rsidRPr="00005014">
        <w:rPr>
          <w:rFonts w:ascii="Titillium" w:hAnsi="Titillium" w:cstheme="minorHAnsi"/>
          <w:sz w:val="18"/>
          <w:szCs w:val="18"/>
        </w:rPr>
        <w:t>aggruppamenti di operatori economici, nell’esecuzione dell’appalto, devono rispettare le seguenti condizioni: …. [</w:t>
      </w:r>
      <w:r w:rsidRPr="006E76F0">
        <w:rPr>
          <w:rFonts w:ascii="Titillium" w:hAnsi="Titillium" w:cstheme="minorHAnsi"/>
          <w:i/>
          <w:iCs/>
          <w:sz w:val="18"/>
          <w:szCs w:val="18"/>
        </w:rPr>
        <w:t>inserire le condizioni richieste che devono essere proporzionate e giustificate da ragioni oggettive].</w:t>
      </w:r>
    </w:p>
    <w:p w14:paraId="681365B1" w14:textId="77777777" w:rsidR="00197829" w:rsidRDefault="00197829" w:rsidP="00F661D1">
      <w:pPr>
        <w:spacing w:before="60" w:after="60"/>
        <w:rPr>
          <w:rFonts w:ascii="Titillium" w:hAnsi="Titillium" w:cstheme="minorHAnsi"/>
          <w:sz w:val="18"/>
          <w:szCs w:val="18"/>
        </w:rPr>
      </w:pPr>
    </w:p>
    <w:p w14:paraId="6D2B3CD1" w14:textId="592401C7" w:rsidR="006842EE" w:rsidRPr="00005014" w:rsidRDefault="001D1590" w:rsidP="00F661D1">
      <w:pPr>
        <w:spacing w:before="60" w:after="60"/>
        <w:rPr>
          <w:rFonts w:ascii="Titillium" w:hAnsi="Titillium" w:cstheme="minorHAnsi"/>
          <w:b/>
          <w:sz w:val="18"/>
          <w:szCs w:val="18"/>
        </w:rPr>
      </w:pPr>
      <w:r w:rsidRPr="001D1590">
        <w:rPr>
          <w:rFonts w:ascii="Titillium" w:hAnsi="Titillium" w:cstheme="minorHAnsi"/>
          <w:b/>
          <w:i/>
          <w:iCs/>
          <w:sz w:val="18"/>
          <w:szCs w:val="18"/>
        </w:rPr>
        <w:t>[</w:t>
      </w:r>
      <w:r w:rsidR="008F2625" w:rsidRPr="001D1590">
        <w:rPr>
          <w:rFonts w:ascii="Titillium" w:hAnsi="Titillium" w:cstheme="minorHAnsi"/>
          <w:b/>
          <w:i/>
          <w:iCs/>
          <w:sz w:val="18"/>
          <w:szCs w:val="18"/>
        </w:rPr>
        <w:t>Facoltativo, in caso di suddivisione in lotti]</w:t>
      </w:r>
      <w:r w:rsidR="008F2625" w:rsidRPr="00005014">
        <w:rPr>
          <w:rFonts w:ascii="Titillium" w:hAnsi="Titillium" w:cstheme="minorHAnsi"/>
          <w:b/>
          <w:sz w:val="18"/>
          <w:szCs w:val="18"/>
        </w:rPr>
        <w:t xml:space="preserve"> Limitazione dell’aggiudicazione ad un numero massimo di lotti</w:t>
      </w:r>
    </w:p>
    <w:p w14:paraId="2EC91BA8" w14:textId="77777777" w:rsidR="006842EE" w:rsidRPr="00005014" w:rsidRDefault="008F2625" w:rsidP="00F661D1">
      <w:pPr>
        <w:spacing w:before="60" w:after="60"/>
        <w:rPr>
          <w:rFonts w:ascii="Titillium" w:hAnsi="Titillium" w:cstheme="minorHAnsi"/>
          <w:sz w:val="18"/>
          <w:szCs w:val="18"/>
        </w:rPr>
      </w:pPr>
      <w:r w:rsidRPr="00005014">
        <w:rPr>
          <w:rFonts w:ascii="Titillium" w:hAnsi="Titillium" w:cstheme="minorHAnsi"/>
          <w:sz w:val="18"/>
          <w:szCs w:val="18"/>
        </w:rPr>
        <w:t>Nel caso in cui un concorrente risulti primo in graduatoria per più lotti, al medesimo potranno essere aggiudicati fino ad un massimo di n. ... [</w:t>
      </w:r>
      <w:r w:rsidRPr="00005014">
        <w:rPr>
          <w:rFonts w:ascii="Titillium" w:hAnsi="Titillium" w:cstheme="minorHAnsi"/>
          <w:i/>
          <w:sz w:val="18"/>
          <w:szCs w:val="18"/>
        </w:rPr>
        <w:t>inserire numero massimo di lotti aggiudicabili</w:t>
      </w:r>
      <w:r w:rsidRPr="00005014">
        <w:rPr>
          <w:rFonts w:ascii="Titillium" w:hAnsi="Titillium" w:cstheme="minorHAnsi"/>
          <w:sz w:val="18"/>
          <w:szCs w:val="18"/>
        </w:rPr>
        <w:t>], lotti che saranno individuati sulla base del criterio … [</w:t>
      </w:r>
      <w:r w:rsidRPr="00005014">
        <w:rPr>
          <w:rFonts w:ascii="Titillium" w:hAnsi="Titillium" w:cstheme="minorHAnsi"/>
          <w:i/>
          <w:sz w:val="18"/>
          <w:szCs w:val="18"/>
        </w:rPr>
        <w:t>la stazione appaltante definisce il criterio, che deve essere oggettivo e non discriminatorio, per determinare quali lotti saranno aggiudicati</w:t>
      </w:r>
      <w:r w:rsidRPr="00005014">
        <w:rPr>
          <w:rFonts w:ascii="Titillium" w:hAnsi="Titillium" w:cstheme="minorHAnsi"/>
          <w:sz w:val="18"/>
          <w:szCs w:val="18"/>
        </w:rPr>
        <w:t>].</w:t>
      </w:r>
    </w:p>
    <w:p w14:paraId="7436CE13" w14:textId="77777777" w:rsidR="006842EE" w:rsidRPr="00005014" w:rsidRDefault="008F2625" w:rsidP="00F661D1">
      <w:pPr>
        <w:spacing w:before="60" w:after="60"/>
        <w:rPr>
          <w:rFonts w:ascii="Titillium" w:hAnsi="Titillium" w:cstheme="minorHAnsi"/>
          <w:sz w:val="18"/>
          <w:szCs w:val="18"/>
        </w:rPr>
      </w:pPr>
      <w:r w:rsidRPr="00005014">
        <w:rPr>
          <w:rFonts w:ascii="Titillium" w:hAnsi="Titillium" w:cstheme="minorHAnsi"/>
          <w:sz w:val="18"/>
          <w:szCs w:val="18"/>
        </w:rPr>
        <w:t>Tale limitazione è stata imposta perché …. [</w:t>
      </w:r>
      <w:r w:rsidRPr="00005014">
        <w:rPr>
          <w:rFonts w:ascii="Titillium" w:hAnsi="Titillium" w:cstheme="minorHAnsi"/>
          <w:i/>
          <w:sz w:val="18"/>
          <w:szCs w:val="18"/>
        </w:rPr>
        <w:t>Indicare le ragioni della scelta ai sensi dell’articolo 58 del Codice</w:t>
      </w:r>
      <w:r w:rsidRPr="00005014">
        <w:rPr>
          <w:rFonts w:ascii="Titillium" w:hAnsi="Titillium" w:cstheme="minorHAnsi"/>
          <w:sz w:val="18"/>
          <w:szCs w:val="18"/>
        </w:rPr>
        <w:t>]</w:t>
      </w:r>
    </w:p>
    <w:p w14:paraId="758CAB21" w14:textId="77777777" w:rsidR="006842EE" w:rsidRPr="00005014" w:rsidRDefault="006842EE" w:rsidP="00F661D1">
      <w:pPr>
        <w:spacing w:before="60" w:after="60"/>
        <w:rPr>
          <w:rFonts w:ascii="Titillium" w:hAnsi="Titillium" w:cstheme="minorHAnsi"/>
          <w:sz w:val="18"/>
          <w:szCs w:val="18"/>
        </w:rPr>
      </w:pPr>
    </w:p>
    <w:p w14:paraId="308E177C" w14:textId="77777777" w:rsidR="006842EE" w:rsidRPr="006E76F0" w:rsidRDefault="008F2625" w:rsidP="00F661D1">
      <w:pPr>
        <w:spacing w:before="60" w:after="60"/>
        <w:rPr>
          <w:rFonts w:ascii="Titillium" w:hAnsi="Titillium" w:cstheme="minorHAnsi"/>
          <w:b/>
          <w:i/>
          <w:iCs/>
          <w:sz w:val="18"/>
          <w:szCs w:val="18"/>
        </w:rPr>
      </w:pPr>
      <w:r w:rsidRPr="00005014">
        <w:rPr>
          <w:rFonts w:ascii="Titillium" w:hAnsi="Titillium" w:cstheme="minorHAnsi"/>
          <w:b/>
          <w:sz w:val="18"/>
          <w:szCs w:val="18"/>
        </w:rPr>
        <w:t>[</w:t>
      </w:r>
      <w:r w:rsidRPr="006E76F0">
        <w:rPr>
          <w:rFonts w:ascii="Titillium" w:hAnsi="Titillium" w:cstheme="minorHAnsi"/>
          <w:b/>
          <w:i/>
          <w:iCs/>
          <w:sz w:val="18"/>
          <w:szCs w:val="18"/>
        </w:rPr>
        <w:t xml:space="preserve">Facoltativo] </w:t>
      </w:r>
      <w:r w:rsidRPr="00151444">
        <w:rPr>
          <w:rFonts w:ascii="Titillium" w:hAnsi="Titillium" w:cstheme="minorHAnsi"/>
          <w:b/>
          <w:sz w:val="18"/>
          <w:szCs w:val="18"/>
        </w:rPr>
        <w:t>Limitazione della partecipazione ad un numero massimo di lotti</w:t>
      </w:r>
    </w:p>
    <w:p w14:paraId="5627CBAF" w14:textId="77777777" w:rsidR="006842EE" w:rsidRPr="00005014" w:rsidRDefault="008F2625" w:rsidP="00F661D1">
      <w:pPr>
        <w:spacing w:before="60" w:after="60"/>
        <w:rPr>
          <w:rFonts w:ascii="Titillium" w:hAnsi="Titillium" w:cstheme="minorHAnsi"/>
          <w:sz w:val="18"/>
          <w:szCs w:val="18"/>
        </w:rPr>
      </w:pPr>
      <w:r w:rsidRPr="00005014">
        <w:rPr>
          <w:rFonts w:ascii="Titillium" w:hAnsi="Titillium" w:cstheme="minorHAnsi"/>
          <w:sz w:val="18"/>
          <w:szCs w:val="18"/>
        </w:rPr>
        <w:t>Ciascun concorrente può presentare offerta per un numero massimo di … [</w:t>
      </w:r>
      <w:r w:rsidRPr="00005014">
        <w:rPr>
          <w:rFonts w:ascii="Titillium" w:hAnsi="Titillium" w:cstheme="minorHAnsi"/>
          <w:i/>
          <w:sz w:val="18"/>
          <w:szCs w:val="18"/>
        </w:rPr>
        <w:t>inserire il numero massimo di lotti a cui si può partecipare</w:t>
      </w:r>
      <w:r w:rsidRPr="00005014">
        <w:rPr>
          <w:rFonts w:ascii="Titillium" w:hAnsi="Titillium" w:cstheme="minorHAnsi"/>
          <w:sz w:val="18"/>
          <w:szCs w:val="18"/>
        </w:rPr>
        <w:t>] lotti. In caso di partecipazione ad un numero maggiore di lotti rispetto a quanto consentito, la domanda si considera presentata per … [</w:t>
      </w:r>
      <w:r w:rsidRPr="00005014">
        <w:rPr>
          <w:rFonts w:ascii="Titillium" w:hAnsi="Titillium" w:cstheme="minorHAnsi"/>
          <w:i/>
          <w:sz w:val="18"/>
          <w:szCs w:val="18"/>
        </w:rPr>
        <w:t>indicare il criterio per la individuazione dei lotti ai quali riferire la domanda di partecipazione, per esempio i lotti di maggiore valore economico</w:t>
      </w:r>
      <w:r w:rsidRPr="00005014">
        <w:rPr>
          <w:rFonts w:ascii="Titillium" w:hAnsi="Titillium" w:cstheme="minorHAnsi"/>
          <w:sz w:val="18"/>
          <w:szCs w:val="18"/>
        </w:rPr>
        <w:t>].</w:t>
      </w:r>
    </w:p>
    <w:p w14:paraId="4FBDD808" w14:textId="77777777" w:rsidR="006842EE" w:rsidRPr="00005014" w:rsidRDefault="008F2625" w:rsidP="00F661D1">
      <w:pPr>
        <w:spacing w:before="60" w:after="60"/>
        <w:rPr>
          <w:rFonts w:ascii="Titillium" w:hAnsi="Titillium" w:cstheme="minorHAnsi"/>
          <w:sz w:val="18"/>
          <w:szCs w:val="18"/>
        </w:rPr>
      </w:pPr>
      <w:r w:rsidRPr="00005014">
        <w:rPr>
          <w:rFonts w:ascii="Titillium" w:hAnsi="Titillium" w:cstheme="minorHAnsi"/>
          <w:sz w:val="18"/>
          <w:szCs w:val="18"/>
        </w:rPr>
        <w:t>Tale limitazione è stata imposta perché …. [</w:t>
      </w:r>
      <w:r w:rsidRPr="00005014">
        <w:rPr>
          <w:rFonts w:ascii="Titillium" w:hAnsi="Titillium" w:cstheme="minorHAnsi"/>
          <w:i/>
          <w:sz w:val="18"/>
          <w:szCs w:val="18"/>
        </w:rPr>
        <w:t>Indicare le ragioni della scelta ai sensi dell’articolo 58 del Codice</w:t>
      </w:r>
      <w:r w:rsidRPr="00005014">
        <w:rPr>
          <w:rFonts w:ascii="Titillium" w:hAnsi="Titillium" w:cstheme="minorHAnsi"/>
          <w:sz w:val="18"/>
          <w:szCs w:val="18"/>
        </w:rPr>
        <w:t>]</w:t>
      </w:r>
    </w:p>
    <w:p w14:paraId="73EE09E6" w14:textId="62AE493C" w:rsidR="006842EE" w:rsidRPr="00005014" w:rsidRDefault="008F2625" w:rsidP="00F661D1">
      <w:pPr>
        <w:spacing w:before="60" w:after="60"/>
        <w:rPr>
          <w:rFonts w:ascii="Titillium" w:hAnsi="Titillium" w:cstheme="minorHAnsi"/>
          <w:sz w:val="18"/>
          <w:szCs w:val="18"/>
        </w:rPr>
      </w:pPr>
      <w:r w:rsidRPr="00005014">
        <w:rPr>
          <w:rFonts w:ascii="Titillium" w:hAnsi="Titillium" w:cstheme="minorHAnsi"/>
          <w:sz w:val="18"/>
          <w:szCs w:val="18"/>
        </w:rPr>
        <w:t>Ai fini del conteggio del numero massimo dei lotti che possono essere aggiudicati</w:t>
      </w:r>
      <w:r w:rsidR="00723C6C">
        <w:rPr>
          <w:rFonts w:ascii="Titillium" w:hAnsi="Titillium" w:cstheme="minorHAnsi"/>
          <w:sz w:val="18"/>
          <w:szCs w:val="18"/>
        </w:rPr>
        <w:t xml:space="preserve"> </w:t>
      </w:r>
      <w:r w:rsidR="00723C6C" w:rsidRPr="006269AF">
        <w:rPr>
          <w:rFonts w:ascii="Titillium" w:hAnsi="Titillium" w:cstheme="minorHAnsi"/>
          <w:sz w:val="18"/>
          <w:szCs w:val="18"/>
        </w:rPr>
        <w:t>o</w:t>
      </w:r>
      <w:r w:rsidR="00723C6C">
        <w:rPr>
          <w:rFonts w:ascii="Titillium" w:hAnsi="Titillium" w:cstheme="minorHAnsi"/>
          <w:sz w:val="18"/>
          <w:szCs w:val="18"/>
        </w:rPr>
        <w:t xml:space="preserve"> </w:t>
      </w:r>
      <w:r w:rsidRPr="00005014">
        <w:rPr>
          <w:rFonts w:ascii="Titillium" w:hAnsi="Titillium" w:cstheme="minorHAnsi"/>
          <w:sz w:val="18"/>
          <w:szCs w:val="18"/>
        </w:rPr>
        <w:t>a cui si può partecipare, si tiene conto …. [</w:t>
      </w:r>
      <w:r w:rsidRPr="00005014">
        <w:rPr>
          <w:rFonts w:ascii="Titillium" w:hAnsi="Titillium" w:cstheme="minorHAnsi"/>
          <w:i/>
          <w:sz w:val="18"/>
          <w:szCs w:val="18"/>
        </w:rPr>
        <w:t>la stazione appaltante individua quando gli operatori economici che partecipano in diverse forme possano essere considerati “il medesimo concorrente” (ad esempio con riferimento alle gare ad oggetto plurimo o unitario) e specifica se ha deciso di limitare la partecipazione di più concorrenti che versino in situazioni di controllo o collegamento ai sensi dell’articolo 2359 del Codice civile</w:t>
      </w:r>
      <w:r w:rsidRPr="00005014">
        <w:rPr>
          <w:rFonts w:ascii="Titillium" w:hAnsi="Titillium" w:cstheme="minorHAnsi"/>
          <w:sz w:val="18"/>
          <w:szCs w:val="18"/>
        </w:rPr>
        <w:t>]</w:t>
      </w:r>
    </w:p>
    <w:p w14:paraId="0DFEA6E2" w14:textId="77777777" w:rsidR="006842EE" w:rsidRPr="00005014" w:rsidRDefault="006842EE" w:rsidP="00F661D1">
      <w:pPr>
        <w:spacing w:before="60" w:after="60"/>
        <w:rPr>
          <w:rFonts w:ascii="Titillium" w:hAnsi="Titillium" w:cstheme="minorHAnsi"/>
          <w:sz w:val="18"/>
          <w:szCs w:val="18"/>
        </w:rPr>
      </w:pPr>
    </w:p>
    <w:p w14:paraId="7D54D5FC" w14:textId="77777777" w:rsidR="006842EE" w:rsidRPr="006E76F0" w:rsidRDefault="008F2625" w:rsidP="00F661D1">
      <w:pPr>
        <w:spacing w:before="60" w:after="60"/>
        <w:rPr>
          <w:rFonts w:ascii="Titillium" w:hAnsi="Titillium" w:cstheme="minorHAnsi"/>
          <w:b/>
          <w:i/>
          <w:iCs/>
          <w:sz w:val="18"/>
          <w:szCs w:val="18"/>
        </w:rPr>
      </w:pPr>
      <w:r w:rsidRPr="006E76F0">
        <w:rPr>
          <w:rFonts w:ascii="Titillium" w:hAnsi="Titillium" w:cstheme="minorHAnsi"/>
          <w:i/>
          <w:iCs/>
          <w:sz w:val="18"/>
          <w:szCs w:val="18"/>
        </w:rPr>
        <w:t>[</w:t>
      </w:r>
      <w:r w:rsidRPr="006E76F0">
        <w:rPr>
          <w:rFonts w:ascii="Titillium" w:hAnsi="Titillium" w:cstheme="minorHAnsi"/>
          <w:b/>
          <w:i/>
          <w:iCs/>
          <w:sz w:val="18"/>
          <w:szCs w:val="18"/>
        </w:rPr>
        <w:t xml:space="preserve">Facoltativo] </w:t>
      </w:r>
      <w:r w:rsidRPr="00151444">
        <w:rPr>
          <w:rFonts w:ascii="Titillium" w:hAnsi="Titillium" w:cstheme="minorHAnsi"/>
          <w:b/>
          <w:sz w:val="18"/>
          <w:szCs w:val="18"/>
        </w:rPr>
        <w:t>Associazione di lotti al medesimo offerente</w:t>
      </w:r>
    </w:p>
    <w:p w14:paraId="76BF6A38" w14:textId="02EFAD84" w:rsidR="006842EE" w:rsidRDefault="008F2625" w:rsidP="00F661D1">
      <w:pPr>
        <w:spacing w:before="60" w:after="60"/>
        <w:rPr>
          <w:rFonts w:ascii="Titillium" w:hAnsi="Titillium" w:cstheme="minorHAnsi"/>
          <w:sz w:val="18"/>
          <w:szCs w:val="18"/>
        </w:rPr>
      </w:pPr>
      <w:r w:rsidRPr="00005014">
        <w:rPr>
          <w:rFonts w:ascii="Titillium" w:hAnsi="Titillium" w:cstheme="minorHAnsi"/>
          <w:sz w:val="18"/>
          <w:szCs w:val="18"/>
        </w:rPr>
        <w:t>La stazione appaltante si riserva la facoltà di aggiudicare in forma associata i lotti n. … [</w:t>
      </w:r>
      <w:r w:rsidRPr="00005014">
        <w:rPr>
          <w:rFonts w:ascii="Titillium" w:hAnsi="Titillium" w:cstheme="minorHAnsi"/>
          <w:i/>
          <w:sz w:val="18"/>
          <w:szCs w:val="18"/>
        </w:rPr>
        <w:t>indicare i lotti specifici</w:t>
      </w:r>
      <w:r w:rsidRPr="00005014">
        <w:rPr>
          <w:rFonts w:ascii="Titillium" w:hAnsi="Titillium" w:cstheme="minorHAnsi"/>
          <w:sz w:val="18"/>
          <w:szCs w:val="18"/>
        </w:rPr>
        <w:t>] al medesimo offerente. La modalità mediante cui effettuare la valutazione comparativa tra le offerte sui singoli lotti e le offerte sulle associazioni di lotti è la seguente: … [</w:t>
      </w:r>
      <w:r w:rsidRPr="00005014">
        <w:rPr>
          <w:rFonts w:ascii="Titillium" w:hAnsi="Titillium" w:cstheme="minorHAnsi"/>
          <w:i/>
          <w:sz w:val="18"/>
          <w:szCs w:val="18"/>
        </w:rPr>
        <w:t>indicare il criterio mediante cui effettuare la valutazione comparativa]</w:t>
      </w:r>
      <w:r w:rsidRPr="00005014">
        <w:rPr>
          <w:rFonts w:ascii="Titillium" w:hAnsi="Titillium" w:cstheme="minorHAnsi"/>
          <w:sz w:val="18"/>
          <w:szCs w:val="18"/>
        </w:rPr>
        <w:t>.</w:t>
      </w:r>
      <w:r>
        <w:rPr>
          <w:rFonts w:ascii="Titillium" w:hAnsi="Titillium" w:cstheme="minorHAnsi"/>
          <w:sz w:val="18"/>
          <w:szCs w:val="18"/>
        </w:rPr>
        <w:t xml:space="preserve"> </w:t>
      </w:r>
    </w:p>
    <w:p w14:paraId="27BF2A71" w14:textId="77777777" w:rsidR="00F661D1" w:rsidRDefault="00F661D1" w:rsidP="00F661D1">
      <w:pPr>
        <w:spacing w:before="60" w:after="60"/>
        <w:rPr>
          <w:rFonts w:ascii="Titillium" w:hAnsi="Titillium" w:cstheme="minorHAnsi"/>
          <w:sz w:val="18"/>
          <w:szCs w:val="18"/>
          <w:highlight w:val="green"/>
        </w:rPr>
      </w:pPr>
    </w:p>
    <w:p w14:paraId="17259DB1" w14:textId="03AF7BC7" w:rsidR="006842EE" w:rsidRPr="00B544E7" w:rsidRDefault="008F2625" w:rsidP="00F661D1">
      <w:pPr>
        <w:pStyle w:val="Titolo2"/>
        <w:numPr>
          <w:ilvl w:val="0"/>
          <w:numId w:val="3"/>
        </w:numPr>
        <w:spacing w:before="60" w:after="60"/>
        <w:ind w:left="357" w:hanging="357"/>
        <w:rPr>
          <w:rFonts w:ascii="Titillium" w:hAnsi="Titillium"/>
          <w:caps w:val="0"/>
          <w:sz w:val="18"/>
          <w:szCs w:val="18"/>
        </w:rPr>
      </w:pPr>
      <w:bookmarkStart w:id="1367" w:name="_heading=h.2szc72q"/>
      <w:bookmarkStart w:id="1368" w:name="_Toc227921624"/>
      <w:bookmarkEnd w:id="1367"/>
      <w:r w:rsidRPr="00B544E7">
        <w:rPr>
          <w:rFonts w:ascii="Titillium" w:hAnsi="Titillium"/>
          <w:caps w:val="0"/>
          <w:sz w:val="18"/>
          <w:szCs w:val="18"/>
        </w:rPr>
        <w:t>REQUISITI DI ORDINE GENERALE</w:t>
      </w:r>
      <w:bookmarkEnd w:id="1365"/>
      <w:bookmarkEnd w:id="1366"/>
      <w:r w:rsidRPr="00B544E7">
        <w:rPr>
          <w:rFonts w:ascii="Titillium" w:hAnsi="Titillium"/>
          <w:caps w:val="0"/>
          <w:sz w:val="18"/>
          <w:szCs w:val="18"/>
        </w:rPr>
        <w:t xml:space="preserve"> E ALTRE CAUSE DI ESCLUSIONE</w:t>
      </w:r>
      <w:bookmarkEnd w:id="1368"/>
    </w:p>
    <w:p w14:paraId="191F4BC5" w14:textId="77777777" w:rsidR="006842EE" w:rsidRDefault="008F2625" w:rsidP="00F661D1">
      <w:pPr>
        <w:spacing w:before="60" w:after="60"/>
        <w:rPr>
          <w:rFonts w:ascii="Titillium" w:hAnsi="Titillium" w:cs="Arial"/>
          <w:sz w:val="18"/>
          <w:szCs w:val="18"/>
        </w:rPr>
      </w:pPr>
      <w:r>
        <w:rPr>
          <w:rFonts w:ascii="Titillium" w:hAnsi="Titillium" w:cs="Arial"/>
          <w:sz w:val="18"/>
          <w:szCs w:val="18"/>
        </w:rPr>
        <w:t>I concorrenti devono essere in possesso</w:t>
      </w:r>
      <w:r w:rsidRPr="00361D0A">
        <w:rPr>
          <w:rFonts w:ascii="Titillium" w:hAnsi="Titillium" w:cs="Arial"/>
          <w:b/>
          <w:bCs/>
          <w:sz w:val="18"/>
          <w:szCs w:val="18"/>
        </w:rPr>
        <w:t xml:space="preserve">, </w:t>
      </w:r>
      <w:r w:rsidRPr="002B6A66">
        <w:rPr>
          <w:rFonts w:ascii="Titillium" w:hAnsi="Titillium" w:cs="Arial"/>
          <w:sz w:val="18"/>
          <w:szCs w:val="18"/>
        </w:rPr>
        <w:t>a pena di esclusione</w:t>
      </w:r>
      <w:r>
        <w:rPr>
          <w:rFonts w:ascii="Titillium" w:hAnsi="Titillium" w:cs="Arial"/>
          <w:sz w:val="18"/>
          <w:szCs w:val="18"/>
        </w:rPr>
        <w:t>, dei requisiti di ordine generale previsti dal Codice nonché degli ulteriori requisiti indicati nel presente articolo.</w:t>
      </w:r>
    </w:p>
    <w:p w14:paraId="4D293787" w14:textId="6D25D03E" w:rsidR="00D014A9" w:rsidRDefault="008F2625" w:rsidP="00F661D1">
      <w:pPr>
        <w:spacing w:before="60" w:after="60"/>
        <w:rPr>
          <w:rFonts w:ascii="Titillium" w:hAnsi="Titillium" w:cs="Arial"/>
          <w:sz w:val="18"/>
          <w:szCs w:val="18"/>
        </w:rPr>
      </w:pPr>
      <w:r>
        <w:rPr>
          <w:rFonts w:ascii="Titillium" w:hAnsi="Titillium" w:cs="Arial"/>
          <w:sz w:val="18"/>
          <w:szCs w:val="18"/>
        </w:rPr>
        <w:t>La stazione appaltante verifica il possesso dei requisiti di ordine generale accedendo al fascicolo virtuale dell’operatore economico (di seguito: FVOE)</w:t>
      </w:r>
      <w:r w:rsidR="00825BDC">
        <w:rPr>
          <w:rFonts w:ascii="Titillium" w:hAnsi="Titillium" w:cs="Arial"/>
          <w:sz w:val="18"/>
          <w:szCs w:val="18"/>
        </w:rPr>
        <w:t>,</w:t>
      </w:r>
      <w:r w:rsidR="00361D0A">
        <w:rPr>
          <w:rFonts w:ascii="Titillium" w:hAnsi="Titillium" w:cs="Arial"/>
          <w:sz w:val="18"/>
          <w:szCs w:val="18"/>
        </w:rPr>
        <w:t xml:space="preserve"> </w:t>
      </w:r>
      <w:r w:rsidR="00825BDC" w:rsidRPr="00AF68F4">
        <w:rPr>
          <w:rFonts w:ascii="Titillium" w:hAnsi="Titillium" w:cs="Arial"/>
          <w:sz w:val="18"/>
          <w:szCs w:val="18"/>
        </w:rPr>
        <w:t xml:space="preserve">fatto salvo quanto previsto </w:t>
      </w:r>
      <w:r w:rsidR="00825BDC" w:rsidRPr="00E93E10">
        <w:rPr>
          <w:rFonts w:ascii="Titillium" w:hAnsi="Titillium" w:cs="Arial"/>
          <w:sz w:val="18"/>
          <w:szCs w:val="18"/>
        </w:rPr>
        <w:t>dal</w:t>
      </w:r>
      <w:r w:rsidR="00555811">
        <w:rPr>
          <w:rFonts w:ascii="Titillium" w:hAnsi="Titillium" w:cs="Arial"/>
          <w:sz w:val="18"/>
          <w:szCs w:val="18"/>
        </w:rPr>
        <w:t xml:space="preserve"> </w:t>
      </w:r>
      <w:r w:rsidR="00555811" w:rsidRPr="001112A9">
        <w:rPr>
          <w:rFonts w:ascii="Titillium" w:hAnsi="Titillium" w:cs="Arial"/>
          <w:sz w:val="18"/>
          <w:szCs w:val="18"/>
        </w:rPr>
        <w:t>paragrafo</w:t>
      </w:r>
      <w:r w:rsidR="00555811">
        <w:rPr>
          <w:rFonts w:ascii="Titillium" w:hAnsi="Titillium" w:cs="Arial"/>
          <w:sz w:val="18"/>
          <w:szCs w:val="18"/>
        </w:rPr>
        <w:t xml:space="preserve"> </w:t>
      </w:r>
      <w:r w:rsidR="00825BDC" w:rsidRPr="00E93E10">
        <w:rPr>
          <w:rFonts w:ascii="Titillium" w:hAnsi="Titillium" w:cs="Arial"/>
          <w:sz w:val="18"/>
          <w:szCs w:val="18"/>
        </w:rPr>
        <w:t>25</w:t>
      </w:r>
      <w:r w:rsidR="00453138">
        <w:rPr>
          <w:rFonts w:ascii="Titillium" w:hAnsi="Titillium" w:cs="Arial"/>
          <w:sz w:val="18"/>
          <w:szCs w:val="18"/>
        </w:rPr>
        <w:t>.</w:t>
      </w:r>
      <w:r w:rsidR="00E81B65" w:rsidRPr="00E93E10">
        <w:rPr>
          <w:rFonts w:ascii="Titillium" w:hAnsi="Titillium" w:cs="Arial"/>
          <w:sz w:val="18"/>
          <w:szCs w:val="18"/>
        </w:rPr>
        <w:t xml:space="preserve"> </w:t>
      </w:r>
      <w:r w:rsidR="007D0EB7" w:rsidRPr="0014297E">
        <w:rPr>
          <w:rFonts w:ascii="Titillium" w:hAnsi="Titillium" w:cs="Arial"/>
          <w:sz w:val="18"/>
          <w:szCs w:val="18"/>
        </w:rPr>
        <w:t xml:space="preserve"> </w:t>
      </w:r>
    </w:p>
    <w:p w14:paraId="60AA8E72" w14:textId="79EC93C4" w:rsidR="006842EE" w:rsidRPr="00AF68F4" w:rsidRDefault="007D0EB7" w:rsidP="00F661D1">
      <w:pPr>
        <w:spacing w:before="60" w:after="60"/>
        <w:rPr>
          <w:rFonts w:ascii="Titillium" w:hAnsi="Titillium" w:cs="Arial"/>
          <w:sz w:val="18"/>
          <w:szCs w:val="18"/>
        </w:rPr>
      </w:pPr>
      <w:r w:rsidRPr="0014297E">
        <w:rPr>
          <w:rFonts w:ascii="Titillium" w:hAnsi="Titillium" w:cs="Arial"/>
          <w:sz w:val="18"/>
          <w:szCs w:val="18"/>
        </w:rPr>
        <w:t>Nella</w:t>
      </w:r>
      <w:r w:rsidRPr="00AF68F4">
        <w:rPr>
          <w:rFonts w:ascii="Titillium" w:hAnsi="Titillium" w:cs="Arial"/>
          <w:sz w:val="18"/>
          <w:szCs w:val="18"/>
        </w:rPr>
        <w:t xml:space="preserve"> domanda di partecipazione, gli operatori economici acconsentono al trattamento dei dati attraverso </w:t>
      </w:r>
      <w:r w:rsidR="00E66319" w:rsidRPr="00AF68F4">
        <w:rPr>
          <w:rFonts w:ascii="Titillium" w:hAnsi="Titillium" w:cs="Arial"/>
          <w:sz w:val="18"/>
          <w:szCs w:val="18"/>
        </w:rPr>
        <w:t xml:space="preserve">il </w:t>
      </w:r>
      <w:r w:rsidRPr="00AF68F4">
        <w:rPr>
          <w:rFonts w:ascii="Titillium" w:hAnsi="Titillium" w:cs="Arial"/>
          <w:sz w:val="18"/>
          <w:szCs w:val="18"/>
        </w:rPr>
        <w:t xml:space="preserve">FVOE nel rispetto di quanto previsto dal codice in materia di protezione dei dati personali di cui al </w:t>
      </w:r>
      <w:r w:rsidR="00D61BD7" w:rsidRPr="00AF68F4">
        <w:rPr>
          <w:rFonts w:ascii="Titillium" w:hAnsi="Titillium" w:cs="Arial"/>
          <w:sz w:val="18"/>
          <w:szCs w:val="18"/>
        </w:rPr>
        <w:t>decreto legislativo</w:t>
      </w:r>
      <w:r w:rsidRPr="00AF68F4">
        <w:rPr>
          <w:rFonts w:ascii="Titillium" w:hAnsi="Titillium" w:cs="Arial"/>
          <w:sz w:val="18"/>
          <w:szCs w:val="18"/>
        </w:rPr>
        <w:t xml:space="preserve"> 30 giugno 200</w:t>
      </w:r>
      <w:r w:rsidR="00EC58CD">
        <w:rPr>
          <w:rFonts w:ascii="Titillium" w:hAnsi="Titillium" w:cs="Arial"/>
          <w:sz w:val="18"/>
          <w:szCs w:val="18"/>
        </w:rPr>
        <w:t>3</w:t>
      </w:r>
      <w:r w:rsidR="00E66319" w:rsidRPr="00AF68F4">
        <w:rPr>
          <w:rFonts w:ascii="Titillium" w:hAnsi="Titillium" w:cs="Arial"/>
          <w:sz w:val="18"/>
          <w:szCs w:val="18"/>
        </w:rPr>
        <w:t>, n. 196</w:t>
      </w:r>
      <w:r w:rsidRPr="00AF68F4">
        <w:rPr>
          <w:rFonts w:ascii="Titillium" w:hAnsi="Titillium" w:cs="Arial"/>
          <w:sz w:val="18"/>
          <w:szCs w:val="18"/>
        </w:rPr>
        <w:t xml:space="preserve">.   </w:t>
      </w:r>
    </w:p>
    <w:p w14:paraId="0A278901" w14:textId="5EB73F24" w:rsidR="006842EE" w:rsidRDefault="008F2625" w:rsidP="00F661D1">
      <w:pPr>
        <w:spacing w:before="60" w:after="60"/>
        <w:rPr>
          <w:rFonts w:ascii="Titillium" w:hAnsi="Titillium" w:cs="Arial"/>
          <w:sz w:val="18"/>
          <w:szCs w:val="18"/>
        </w:rPr>
      </w:pPr>
      <w:r>
        <w:rPr>
          <w:rFonts w:ascii="Titillium" w:hAnsi="Titillium" w:cs="Arial"/>
          <w:sz w:val="18"/>
          <w:szCs w:val="18"/>
        </w:rPr>
        <w:t>Le circostanze di cui all’articolo 94 del Codice sono cause di esclusione automatica. La sussistenza delle circostanze di cui all’articolo 95 del Codice è accertata previo contraddittorio con l’operatore economi</w:t>
      </w:r>
      <w:r w:rsidR="001E08F0">
        <w:rPr>
          <w:rFonts w:ascii="Titillium" w:hAnsi="Titillium" w:cs="Arial"/>
          <w:sz w:val="18"/>
          <w:szCs w:val="18"/>
        </w:rPr>
        <w:t>co.</w:t>
      </w:r>
    </w:p>
    <w:p w14:paraId="29BF99D2" w14:textId="436A58A4" w:rsidR="006842EE" w:rsidRPr="00C23D0B" w:rsidRDefault="008F2625" w:rsidP="00F661D1">
      <w:pPr>
        <w:spacing w:before="60" w:after="60"/>
        <w:rPr>
          <w:rFonts w:ascii="Titillium" w:hAnsi="Titillium" w:cs="Arial"/>
          <w:color w:val="000000" w:themeColor="text1"/>
          <w:sz w:val="18"/>
          <w:szCs w:val="18"/>
        </w:rPr>
      </w:pPr>
      <w:r w:rsidRPr="00AF68F4">
        <w:rPr>
          <w:rFonts w:ascii="Titillium" w:hAnsi="Titillium" w:cs="Arial"/>
          <w:color w:val="000000" w:themeColor="text1"/>
          <w:sz w:val="18"/>
          <w:szCs w:val="18"/>
        </w:rPr>
        <w:t xml:space="preserve">In caso di partecipazione di consorzi </w:t>
      </w:r>
      <w:r w:rsidR="0053192F" w:rsidRPr="006E0137">
        <w:rPr>
          <w:rFonts w:ascii="Titillium" w:hAnsi="Titillium" w:cs="Arial"/>
          <w:sz w:val="18"/>
          <w:szCs w:val="18"/>
        </w:rPr>
        <w:t xml:space="preserve">ordinari, RTI, GEIE </w:t>
      </w:r>
      <w:r w:rsidRPr="006E0137">
        <w:rPr>
          <w:rFonts w:ascii="Titillium" w:hAnsi="Titillium" w:cs="Arial"/>
          <w:color w:val="000000" w:themeColor="text1"/>
          <w:sz w:val="18"/>
          <w:szCs w:val="18"/>
        </w:rPr>
        <w:t>di cui all’articolo 66, comma 1, letter</w:t>
      </w:r>
      <w:r w:rsidR="006269AF">
        <w:rPr>
          <w:rFonts w:ascii="Titillium" w:hAnsi="Titillium" w:cs="Arial"/>
          <w:color w:val="000000" w:themeColor="text1"/>
          <w:sz w:val="18"/>
          <w:szCs w:val="18"/>
        </w:rPr>
        <w:t>e</w:t>
      </w:r>
      <w:r w:rsidRPr="006E0137">
        <w:rPr>
          <w:rFonts w:ascii="Titillium" w:hAnsi="Titillium" w:cs="Arial"/>
          <w:color w:val="000000" w:themeColor="text1"/>
          <w:sz w:val="18"/>
          <w:szCs w:val="18"/>
        </w:rPr>
        <w:t xml:space="preserve"> a)</w:t>
      </w:r>
      <w:r w:rsidR="006269AF">
        <w:rPr>
          <w:rFonts w:ascii="Titillium" w:hAnsi="Titillium" w:cs="Arial"/>
          <w:color w:val="000000" w:themeColor="text1"/>
          <w:sz w:val="18"/>
          <w:szCs w:val="18"/>
        </w:rPr>
        <w:t>, e), f)</w:t>
      </w:r>
      <w:r w:rsidR="002005E2" w:rsidRPr="006E0137">
        <w:rPr>
          <w:rFonts w:ascii="Titillium" w:hAnsi="Titillium" w:cs="Arial"/>
          <w:color w:val="000000" w:themeColor="text1"/>
          <w:sz w:val="18"/>
          <w:szCs w:val="18"/>
        </w:rPr>
        <w:t xml:space="preserve"> </w:t>
      </w:r>
      <w:r w:rsidRPr="006E0137">
        <w:rPr>
          <w:rFonts w:ascii="Titillium" w:hAnsi="Titillium" w:cs="Arial"/>
          <w:color w:val="000000" w:themeColor="text1"/>
          <w:sz w:val="18"/>
          <w:szCs w:val="18"/>
        </w:rPr>
        <w:t>del Codice, i requ</w:t>
      </w:r>
      <w:r w:rsidR="004471A5" w:rsidRPr="006E0137">
        <w:rPr>
          <w:rFonts w:ascii="Titillium" w:hAnsi="Titillium" w:cs="Arial"/>
          <w:color w:val="000000" w:themeColor="text1"/>
          <w:sz w:val="18"/>
          <w:szCs w:val="18"/>
        </w:rPr>
        <w:t xml:space="preserve">isiti di cui al presente </w:t>
      </w:r>
      <w:r w:rsidR="00FF659D" w:rsidRPr="006E0137">
        <w:rPr>
          <w:rFonts w:ascii="Titillium" w:hAnsi="Titillium" w:cs="Arial"/>
          <w:color w:val="000000" w:themeColor="text1"/>
          <w:sz w:val="18"/>
          <w:szCs w:val="18"/>
        </w:rPr>
        <w:t xml:space="preserve">paragrafo </w:t>
      </w:r>
      <w:r w:rsidRPr="006E0137">
        <w:rPr>
          <w:rFonts w:ascii="Titillium" w:hAnsi="Titillium" w:cs="Arial"/>
          <w:color w:val="000000" w:themeColor="text1"/>
          <w:sz w:val="18"/>
          <w:szCs w:val="18"/>
        </w:rPr>
        <w:t>sono posseduti da</w:t>
      </w:r>
      <w:r w:rsidR="0053192F" w:rsidRPr="006E0137">
        <w:rPr>
          <w:rFonts w:ascii="Titillium" w:hAnsi="Titillium" w:cs="Arial"/>
          <w:color w:val="000000" w:themeColor="text1"/>
          <w:sz w:val="18"/>
          <w:szCs w:val="18"/>
        </w:rPr>
        <w:t xml:space="preserve"> </w:t>
      </w:r>
      <w:r w:rsidR="00FF659D" w:rsidRPr="006E0137">
        <w:rPr>
          <w:rFonts w:ascii="Titillium" w:hAnsi="Titillium" w:cs="Arial"/>
          <w:color w:val="000000" w:themeColor="text1"/>
          <w:sz w:val="18"/>
          <w:szCs w:val="18"/>
        </w:rPr>
        <w:t xml:space="preserve">tutti i </w:t>
      </w:r>
      <w:r w:rsidR="00B71D25" w:rsidRPr="006E0137">
        <w:rPr>
          <w:rFonts w:ascii="Titillium" w:hAnsi="Titillium" w:cs="Arial"/>
          <w:color w:val="000000" w:themeColor="text1"/>
          <w:sz w:val="18"/>
          <w:szCs w:val="18"/>
        </w:rPr>
        <w:t>partecipanti al</w:t>
      </w:r>
      <w:r w:rsidR="00FF659D" w:rsidRPr="006E0137">
        <w:rPr>
          <w:rFonts w:ascii="Titillium" w:hAnsi="Titillium" w:cs="Arial"/>
          <w:color w:val="000000" w:themeColor="text1"/>
          <w:sz w:val="18"/>
          <w:szCs w:val="18"/>
        </w:rPr>
        <w:t xml:space="preserve"> consorzio, RTI</w:t>
      </w:r>
      <w:r w:rsidR="00723C6C">
        <w:rPr>
          <w:rFonts w:ascii="Titillium" w:hAnsi="Titillium" w:cs="Arial"/>
          <w:color w:val="000000" w:themeColor="text1"/>
          <w:sz w:val="18"/>
          <w:szCs w:val="18"/>
        </w:rPr>
        <w:t xml:space="preserve">, </w:t>
      </w:r>
      <w:r w:rsidR="00723C6C" w:rsidRPr="006269AF">
        <w:rPr>
          <w:rFonts w:ascii="Titillium" w:hAnsi="Titillium" w:cs="Arial"/>
          <w:color w:val="000000" w:themeColor="text1"/>
          <w:sz w:val="18"/>
          <w:szCs w:val="18"/>
        </w:rPr>
        <w:t>Rete,</w:t>
      </w:r>
      <w:r w:rsidR="00FF659D" w:rsidRPr="006E0137">
        <w:rPr>
          <w:rFonts w:ascii="Titillium" w:hAnsi="Titillium" w:cs="Arial"/>
          <w:color w:val="000000" w:themeColor="text1"/>
          <w:sz w:val="18"/>
          <w:szCs w:val="18"/>
        </w:rPr>
        <w:t xml:space="preserve"> o GEIE.</w:t>
      </w:r>
      <w:r w:rsidR="00FF659D">
        <w:rPr>
          <w:rFonts w:ascii="Titillium" w:hAnsi="Titillium" w:cs="Arial"/>
          <w:color w:val="000000" w:themeColor="text1"/>
          <w:sz w:val="18"/>
          <w:szCs w:val="18"/>
        </w:rPr>
        <w:t xml:space="preserve">  </w:t>
      </w:r>
    </w:p>
    <w:p w14:paraId="367CD871" w14:textId="6DE62949" w:rsidR="006842EE" w:rsidRPr="00AF68F4" w:rsidRDefault="008F2625" w:rsidP="00F661D1">
      <w:pPr>
        <w:spacing w:before="60" w:after="60"/>
        <w:rPr>
          <w:color w:val="000000" w:themeColor="text1"/>
        </w:rPr>
      </w:pPr>
      <w:r w:rsidRPr="00AF68F4">
        <w:rPr>
          <w:rFonts w:ascii="Titillium" w:hAnsi="Titillium" w:cs="Arial"/>
          <w:color w:val="000000" w:themeColor="text1"/>
          <w:sz w:val="18"/>
          <w:szCs w:val="18"/>
        </w:rPr>
        <w:t xml:space="preserve">In caso di partecipazione di consorzi stabili di cui </w:t>
      </w:r>
      <w:r w:rsidRPr="001112A9">
        <w:rPr>
          <w:rFonts w:ascii="Titillium" w:hAnsi="Titillium" w:cs="Arial"/>
          <w:color w:val="000000" w:themeColor="text1"/>
          <w:sz w:val="18"/>
          <w:szCs w:val="18"/>
        </w:rPr>
        <w:t>al</w:t>
      </w:r>
      <w:r w:rsidR="0053192F" w:rsidRPr="001112A9">
        <w:rPr>
          <w:rFonts w:ascii="Titillium" w:hAnsi="Titillium" w:cs="Arial"/>
          <w:color w:val="000000" w:themeColor="text1"/>
          <w:sz w:val="18"/>
          <w:szCs w:val="18"/>
        </w:rPr>
        <w:t xml:space="preserve"> p</w:t>
      </w:r>
      <w:r w:rsidR="00FF659D" w:rsidRPr="001112A9">
        <w:rPr>
          <w:rFonts w:ascii="Titillium" w:hAnsi="Titillium" w:cs="Arial"/>
          <w:color w:val="000000" w:themeColor="text1"/>
          <w:sz w:val="18"/>
          <w:szCs w:val="18"/>
        </w:rPr>
        <w:t xml:space="preserve">aragrafo </w:t>
      </w:r>
      <w:r w:rsidR="0053192F" w:rsidRPr="001112A9">
        <w:rPr>
          <w:rFonts w:ascii="Titillium" w:hAnsi="Titillium" w:cs="Arial"/>
          <w:color w:val="000000" w:themeColor="text1"/>
          <w:sz w:val="18"/>
          <w:szCs w:val="18"/>
        </w:rPr>
        <w:t>4 lettere g) e h</w:t>
      </w:r>
      <w:r w:rsidR="006269AF">
        <w:rPr>
          <w:rFonts w:ascii="Titillium" w:hAnsi="Titillium" w:cs="Arial"/>
          <w:color w:val="000000" w:themeColor="text1"/>
          <w:sz w:val="18"/>
          <w:szCs w:val="18"/>
        </w:rPr>
        <w:t>)</w:t>
      </w:r>
      <w:r w:rsidRPr="001112A9">
        <w:rPr>
          <w:rFonts w:ascii="Titillium" w:hAnsi="Titillium" w:cs="Arial"/>
          <w:color w:val="000000" w:themeColor="text1"/>
          <w:sz w:val="18"/>
          <w:szCs w:val="18"/>
        </w:rPr>
        <w:t>,</w:t>
      </w:r>
      <w:r w:rsidRPr="00AF68F4">
        <w:rPr>
          <w:rFonts w:ascii="Titillium" w:hAnsi="Titillium" w:cs="Arial"/>
          <w:color w:val="000000" w:themeColor="text1"/>
          <w:sz w:val="18"/>
          <w:szCs w:val="18"/>
        </w:rPr>
        <w:t xml:space="preserve"> i requisiti di cui al presente</w:t>
      </w:r>
      <w:r w:rsidR="00FF659D">
        <w:rPr>
          <w:rFonts w:ascii="Titillium" w:hAnsi="Titillium" w:cs="Arial"/>
          <w:color w:val="000000" w:themeColor="text1"/>
          <w:sz w:val="18"/>
          <w:szCs w:val="18"/>
        </w:rPr>
        <w:t xml:space="preserve"> paragrafo</w:t>
      </w:r>
      <w:r w:rsidRPr="00AF68F4">
        <w:rPr>
          <w:rFonts w:ascii="Titillium" w:hAnsi="Titillium" w:cs="Arial"/>
          <w:color w:val="000000" w:themeColor="text1"/>
          <w:sz w:val="18"/>
          <w:szCs w:val="18"/>
        </w:rPr>
        <w:t xml:space="preserve"> sono posseduti dal consorzio, dalle consorziate indicate quali esecutrici e dalle consorziate che prestano i requisiti.</w:t>
      </w:r>
    </w:p>
    <w:p w14:paraId="68427A94" w14:textId="77777777" w:rsidR="00F661D1" w:rsidRPr="001502FB" w:rsidRDefault="00F661D1" w:rsidP="00F661D1">
      <w:pPr>
        <w:spacing w:before="60" w:after="60"/>
        <w:rPr>
          <w:rFonts w:ascii="Titillium" w:hAnsi="Titillium" w:cs="Arial"/>
          <w:color w:val="000000" w:themeColor="text1"/>
          <w:sz w:val="18"/>
          <w:szCs w:val="18"/>
        </w:rPr>
      </w:pPr>
    </w:p>
    <w:p w14:paraId="7D3F5036" w14:textId="77777777" w:rsidR="006842EE" w:rsidRPr="0010135C" w:rsidRDefault="008F2625" w:rsidP="00F661D1">
      <w:pPr>
        <w:spacing w:before="60" w:after="60"/>
        <w:rPr>
          <w:rFonts w:ascii="Titillium" w:hAnsi="Titillium" w:cs="Arial"/>
          <w:b/>
          <w:bCs/>
          <w:color w:val="000000" w:themeColor="text1"/>
          <w:sz w:val="18"/>
          <w:szCs w:val="18"/>
        </w:rPr>
      </w:pPr>
      <w:r w:rsidRPr="0010135C">
        <w:rPr>
          <w:rFonts w:ascii="Titillium" w:hAnsi="Titillium" w:cs="Arial"/>
          <w:b/>
          <w:bCs/>
          <w:color w:val="000000" w:themeColor="text1"/>
          <w:sz w:val="18"/>
          <w:szCs w:val="18"/>
        </w:rPr>
        <w:t>Self cleaning</w:t>
      </w:r>
    </w:p>
    <w:p w14:paraId="00F51F95" w14:textId="77777777" w:rsidR="006842EE" w:rsidRDefault="008F2625" w:rsidP="00F661D1">
      <w:pPr>
        <w:spacing w:before="60" w:after="60"/>
        <w:rPr>
          <w:rFonts w:ascii="Titillium" w:hAnsi="Titillium" w:cs="Arial"/>
          <w:sz w:val="18"/>
          <w:szCs w:val="18"/>
        </w:rPr>
      </w:pPr>
      <w:r>
        <w:rPr>
          <w:rFonts w:ascii="Titillium" w:hAnsi="Titillium" w:cs="Arial"/>
          <w:sz w:val="18"/>
          <w:szCs w:val="18"/>
        </w:rPr>
        <w:t xml:space="preserve">Un operatore economico che si trovi in una delle situazioni di cui agli articoli 94 e 95 del Codice, ad eccezione delle irregolarità contributive e fiscali definitivamente e non definitivamente accertate, può fornire prova di aver adottato misure (c.d. self cleaning) sufficienti a dimostrare la sua affidabilità. </w:t>
      </w:r>
    </w:p>
    <w:p w14:paraId="56C94343" w14:textId="77777777" w:rsidR="006842EE" w:rsidRDefault="008F2625" w:rsidP="00F661D1">
      <w:pPr>
        <w:spacing w:before="60" w:after="60"/>
        <w:rPr>
          <w:rFonts w:ascii="Titillium" w:hAnsi="Titillium" w:cs="Arial"/>
          <w:sz w:val="18"/>
          <w:szCs w:val="18"/>
        </w:rPr>
      </w:pPr>
      <w:r>
        <w:rPr>
          <w:rFonts w:ascii="Titillium" w:hAnsi="Titillium" w:cs="Arial"/>
          <w:sz w:val="18"/>
          <w:szCs w:val="18"/>
        </w:rPr>
        <w:t>Se la causa di esclusione si è verificata prima della presentazione dell’offerta, l’operatore economico indica nel DGUE la causa ostativa e, alternativamente:</w:t>
      </w:r>
    </w:p>
    <w:p w14:paraId="02263AA9" w14:textId="15A1D09F" w:rsidR="006842EE" w:rsidRPr="00F661D1" w:rsidRDefault="008F2625" w:rsidP="00D26F03">
      <w:pPr>
        <w:pStyle w:val="Paragrafoelenco"/>
        <w:numPr>
          <w:ilvl w:val="0"/>
          <w:numId w:val="40"/>
        </w:numPr>
        <w:spacing w:before="60" w:after="60"/>
        <w:ind w:left="426"/>
        <w:rPr>
          <w:rFonts w:ascii="Titillium" w:hAnsi="Titillium" w:cs="Arial"/>
          <w:sz w:val="18"/>
          <w:szCs w:val="18"/>
        </w:rPr>
      </w:pPr>
      <w:r w:rsidRPr="00F661D1">
        <w:rPr>
          <w:rFonts w:ascii="Titillium" w:hAnsi="Titillium" w:cs="Arial"/>
          <w:sz w:val="18"/>
          <w:szCs w:val="18"/>
        </w:rPr>
        <w:t>descrive le misure adottate ai sensi dell’articolo 96, comma 6 del Codice;</w:t>
      </w:r>
    </w:p>
    <w:p w14:paraId="0FA511C1" w14:textId="05A20EDD" w:rsidR="006842EE" w:rsidRPr="00F661D1" w:rsidRDefault="008F2625" w:rsidP="00D26F03">
      <w:pPr>
        <w:pStyle w:val="Paragrafoelenco"/>
        <w:numPr>
          <w:ilvl w:val="0"/>
          <w:numId w:val="40"/>
        </w:numPr>
        <w:spacing w:before="60" w:after="60"/>
        <w:ind w:left="426"/>
        <w:rPr>
          <w:rFonts w:ascii="Titillium" w:hAnsi="Titillium" w:cs="Arial"/>
          <w:sz w:val="18"/>
          <w:szCs w:val="18"/>
        </w:rPr>
      </w:pPr>
      <w:r w:rsidRPr="00F661D1">
        <w:rPr>
          <w:rFonts w:ascii="Titillium" w:hAnsi="Titillium" w:cs="Arial"/>
          <w:sz w:val="18"/>
          <w:szCs w:val="18"/>
        </w:rPr>
        <w:t xml:space="preserve">motiva l’impossibilità </w:t>
      </w:r>
      <w:r w:rsidR="00F661D1" w:rsidRPr="00F661D1">
        <w:rPr>
          <w:rFonts w:ascii="Titillium" w:hAnsi="Titillium" w:cs="Arial"/>
          <w:sz w:val="18"/>
          <w:szCs w:val="18"/>
        </w:rPr>
        <w:t>a</w:t>
      </w:r>
      <w:r w:rsidRPr="00F661D1">
        <w:rPr>
          <w:rFonts w:ascii="Titillium" w:hAnsi="Titillium" w:cs="Arial"/>
          <w:sz w:val="18"/>
          <w:szCs w:val="18"/>
        </w:rPr>
        <w:t xml:space="preserve"> adottare dette misure e si impegna a provvedere successivamente. L’adozione delle misure è comunicata alla stazione appaltante. </w:t>
      </w:r>
    </w:p>
    <w:p w14:paraId="4AA6E0F9" w14:textId="77777777" w:rsidR="006842EE" w:rsidRDefault="008F2625" w:rsidP="00F661D1">
      <w:pPr>
        <w:spacing w:before="60" w:after="60"/>
        <w:rPr>
          <w:rFonts w:ascii="Titillium" w:hAnsi="Titillium" w:cs="Arial"/>
          <w:sz w:val="18"/>
          <w:szCs w:val="18"/>
        </w:rPr>
      </w:pPr>
      <w:bookmarkStart w:id="1369" w:name="_Hlk200980887"/>
      <w:r>
        <w:rPr>
          <w:rFonts w:ascii="Titillium" w:hAnsi="Titillium" w:cs="Arial"/>
          <w:sz w:val="18"/>
          <w:szCs w:val="18"/>
        </w:rPr>
        <w:t>Se la causa di esclusione si è verificata successivamente alla presentazione dell’offerta, l’operatore economico adotta le misure di cui al comma 6 dell’articolo 96 del Codice dandone comunicazione alla stazione appaltante.</w:t>
      </w:r>
    </w:p>
    <w:bookmarkEnd w:id="1369"/>
    <w:p w14:paraId="7F11825A" w14:textId="77777777" w:rsidR="006842EE" w:rsidRDefault="008F2625" w:rsidP="00F661D1">
      <w:pPr>
        <w:spacing w:before="60" w:after="60"/>
        <w:rPr>
          <w:rFonts w:ascii="Titillium" w:hAnsi="Titillium" w:cs="Arial"/>
          <w:sz w:val="18"/>
          <w:szCs w:val="18"/>
        </w:rPr>
      </w:pPr>
      <w:r>
        <w:rPr>
          <w:rFonts w:ascii="Titillium" w:hAnsi="Titillium" w:cs="Arial"/>
          <w:sz w:val="18"/>
          <w:szCs w:val="18"/>
        </w:rPr>
        <w:t>Sono considerate misure sufficienti il risarcimento o l’impegno a risarcire qualunque danno causato dal reato o dall’illecito, la dimostrazione di aver chiarito i fatti e le circostanze in modo globale collaborando attivamente con le autorità investigative e di aver adottato provvedimenti concreti, di carattere tecnico, organizzativo o relativi al personale idonei a prevenire ulteriori reati o illeciti</w:t>
      </w:r>
    </w:p>
    <w:p w14:paraId="12C8AE74" w14:textId="77777777" w:rsidR="001E08F0" w:rsidRDefault="008F2625" w:rsidP="00F661D1">
      <w:pPr>
        <w:spacing w:before="60" w:after="60"/>
        <w:rPr>
          <w:rFonts w:ascii="Titillium" w:hAnsi="Titillium" w:cs="Arial"/>
          <w:sz w:val="18"/>
          <w:szCs w:val="18"/>
        </w:rPr>
      </w:pPr>
      <w:r>
        <w:rPr>
          <w:rFonts w:ascii="Titillium" w:hAnsi="Titillium" w:cs="Arial"/>
          <w:sz w:val="18"/>
          <w:szCs w:val="18"/>
        </w:rPr>
        <w:t>Se le misure adottate sono ritenute sufficienti e tempestive, l’operatore economico non è escluso. Se dette misure sono ritenute insufficienti e intempestive, la stazione appaltante ne comunica le ragioni all’operatore economi</w:t>
      </w:r>
      <w:r w:rsidR="00DE0A2A">
        <w:rPr>
          <w:rFonts w:ascii="Titillium" w:hAnsi="Titillium" w:cs="Arial"/>
          <w:sz w:val="18"/>
          <w:szCs w:val="18"/>
        </w:rPr>
        <w:t>co</w:t>
      </w:r>
    </w:p>
    <w:p w14:paraId="0F406624" w14:textId="642D8D28" w:rsidR="006842EE" w:rsidRDefault="008F2625" w:rsidP="00F661D1">
      <w:pPr>
        <w:spacing w:before="60" w:after="60"/>
        <w:rPr>
          <w:rFonts w:ascii="Titillium" w:hAnsi="Titillium" w:cs="Arial"/>
          <w:sz w:val="18"/>
          <w:szCs w:val="18"/>
        </w:rPr>
      </w:pPr>
      <w:r>
        <w:rPr>
          <w:rFonts w:ascii="Titillium" w:hAnsi="Titillium" w:cs="Arial"/>
          <w:sz w:val="18"/>
          <w:szCs w:val="18"/>
        </w:rPr>
        <w:t>Non può avvalersi del self-cleaning l’operatore economico escluso con sentenza definitiva dalla partecipazione alle procedure di affidamento, nel corso del periodo di esclusione derivante da tale sentenza.</w:t>
      </w:r>
    </w:p>
    <w:p w14:paraId="349B1998" w14:textId="005E067E" w:rsidR="006842EE" w:rsidRDefault="008F2625" w:rsidP="00F661D1">
      <w:pPr>
        <w:spacing w:before="60" w:after="60"/>
        <w:rPr>
          <w:rFonts w:ascii="Titillium" w:hAnsi="Titillium"/>
          <w:sz w:val="18"/>
          <w:szCs w:val="24"/>
        </w:rPr>
      </w:pPr>
      <w:r w:rsidRPr="003A5672">
        <w:rPr>
          <w:rFonts w:ascii="Titillium" w:hAnsi="Titillium"/>
          <w:sz w:val="18"/>
          <w:szCs w:val="24"/>
        </w:rPr>
        <w:t>Nel caso in cui un raggruppamento/consorzio</w:t>
      </w:r>
      <w:r>
        <w:rPr>
          <w:rFonts w:ascii="Titillium" w:hAnsi="Titillium"/>
          <w:sz w:val="18"/>
          <w:szCs w:val="24"/>
        </w:rPr>
        <w:t xml:space="preserve"> abbia estromesso o sostituito un partecipante/esecutore</w:t>
      </w:r>
      <w:r w:rsidR="00152081">
        <w:rPr>
          <w:rFonts w:ascii="Titillium" w:hAnsi="Titillium"/>
          <w:sz w:val="18"/>
          <w:szCs w:val="24"/>
        </w:rPr>
        <w:t>/</w:t>
      </w:r>
      <w:r w:rsidR="00152081" w:rsidRPr="005D54B1">
        <w:rPr>
          <w:rFonts w:ascii="Titillium" w:hAnsi="Titillium"/>
          <w:sz w:val="18"/>
          <w:szCs w:val="24"/>
        </w:rPr>
        <w:t>consorziato avente i requisiti di cui i consorzi si avvalgono,</w:t>
      </w:r>
      <w:r>
        <w:rPr>
          <w:rFonts w:ascii="Titillium" w:hAnsi="Titillium"/>
          <w:sz w:val="18"/>
          <w:szCs w:val="24"/>
        </w:rPr>
        <w:t xml:space="preserve"> interessato da una clausola di esclusione di cui agli articoli 94 e 95 del Codice, si valutano le misure adottate ai sensi dell’articolo 97 del Codice al fine di decidere sull’esclusione. </w:t>
      </w:r>
    </w:p>
    <w:p w14:paraId="3D319DA2" w14:textId="77777777" w:rsidR="006842EE" w:rsidRDefault="006842EE" w:rsidP="00F661D1">
      <w:pPr>
        <w:spacing w:before="60" w:after="60"/>
        <w:rPr>
          <w:rFonts w:ascii="Titillium" w:hAnsi="Titillium" w:cs="Arial"/>
          <w:sz w:val="18"/>
          <w:szCs w:val="18"/>
        </w:rPr>
      </w:pPr>
    </w:p>
    <w:p w14:paraId="33791948" w14:textId="77777777" w:rsidR="006842EE" w:rsidRDefault="008F2625" w:rsidP="00F661D1">
      <w:pPr>
        <w:spacing w:before="60" w:after="60"/>
        <w:rPr>
          <w:rFonts w:ascii="Titillium" w:hAnsi="Titillium" w:cs="Arial"/>
          <w:b/>
          <w:bCs/>
          <w:sz w:val="18"/>
          <w:szCs w:val="18"/>
        </w:rPr>
      </w:pPr>
      <w:r>
        <w:rPr>
          <w:rFonts w:ascii="Titillium" w:hAnsi="Titillium" w:cs="Arial"/>
          <w:b/>
          <w:bCs/>
          <w:sz w:val="18"/>
          <w:szCs w:val="18"/>
        </w:rPr>
        <w:t>Altre cause di esclusione</w:t>
      </w:r>
    </w:p>
    <w:p w14:paraId="47CBB94B" w14:textId="77777777" w:rsidR="006842EE" w:rsidRDefault="008F2625" w:rsidP="00F661D1">
      <w:pPr>
        <w:spacing w:before="60" w:after="60"/>
      </w:pPr>
      <w:r>
        <w:rPr>
          <w:rFonts w:ascii="Titillium" w:hAnsi="Titillium" w:cs="Arial"/>
          <w:sz w:val="18"/>
          <w:szCs w:val="18"/>
        </w:rPr>
        <w:t>Sono esclusi gli</w:t>
      </w:r>
      <w:r>
        <w:rPr>
          <w:rFonts w:ascii="Titillium" w:hAnsi="Titillium" w:cs="Arial"/>
          <w:b/>
          <w:sz w:val="18"/>
          <w:szCs w:val="18"/>
        </w:rPr>
        <w:t xml:space="preserve"> </w:t>
      </w:r>
      <w:r>
        <w:rPr>
          <w:rFonts w:ascii="Titillium" w:hAnsi="Titillium" w:cs="Calibri"/>
          <w:sz w:val="18"/>
          <w:szCs w:val="18"/>
        </w:rPr>
        <w:t xml:space="preserve">operatori economici che abbiano affidato incarichi in violazione dell’articolo 53, comma 16-ter, del decreto legislativo del 2001 n. 165 a soggetti che hanno esercitato, in qualità di dipendenti, poteri autoritativi o negoziali presso l’amministrazione affidante negli ultimi tre anni. </w:t>
      </w:r>
    </w:p>
    <w:p w14:paraId="56B7B7A6" w14:textId="23F3280D" w:rsidR="006842EE" w:rsidRDefault="008F2625" w:rsidP="00F661D1">
      <w:pPr>
        <w:spacing w:before="60" w:after="60"/>
        <w:rPr>
          <w:rFonts w:ascii="Titillium" w:hAnsi="Titillium" w:cs="Calibri"/>
          <w:sz w:val="18"/>
          <w:szCs w:val="18"/>
        </w:rPr>
      </w:pPr>
      <w:r>
        <w:rPr>
          <w:rFonts w:ascii="Titillium" w:hAnsi="Titillium" w:cs="Arial"/>
          <w:b/>
          <w:i/>
          <w:sz w:val="18"/>
          <w:szCs w:val="18"/>
        </w:rPr>
        <w:t>[</w:t>
      </w:r>
      <w:r>
        <w:rPr>
          <w:rFonts w:ascii="Titillium" w:hAnsi="Titillium" w:cs="Arial"/>
          <w:b/>
          <w:bCs/>
          <w:i/>
          <w:sz w:val="18"/>
          <w:szCs w:val="18"/>
        </w:rPr>
        <w:t>In caso di protocollo di legalità/patto di integrità</w:t>
      </w:r>
      <w:r>
        <w:rPr>
          <w:rFonts w:ascii="Titillium" w:hAnsi="Titillium" w:cs="Arial"/>
          <w:b/>
          <w:i/>
          <w:sz w:val="18"/>
          <w:szCs w:val="18"/>
        </w:rPr>
        <w:t>]</w:t>
      </w:r>
      <w:r>
        <w:rPr>
          <w:rFonts w:ascii="Titillium" w:hAnsi="Titillium" w:cs="Arial"/>
          <w:sz w:val="18"/>
          <w:szCs w:val="18"/>
        </w:rPr>
        <w:t xml:space="preserve"> La mancata accettazione delle clausole contenute nel protocollo di legalità/patto di integrità e il mancato rispetto dello stesso costituiscono causa di </w:t>
      </w:r>
      <w:r>
        <w:rPr>
          <w:rFonts w:ascii="Titillium" w:hAnsi="Titillium" w:cs="Arial"/>
          <w:bCs/>
          <w:sz w:val="18"/>
          <w:szCs w:val="18"/>
        </w:rPr>
        <w:t xml:space="preserve">esclusione </w:t>
      </w:r>
      <w:r>
        <w:rPr>
          <w:rFonts w:ascii="Titillium" w:hAnsi="Titillium" w:cs="Arial"/>
          <w:sz w:val="18"/>
          <w:szCs w:val="18"/>
        </w:rPr>
        <w:t>dalla gara, ai sensi dell’articolo 83-bis del decreto legislativo n. 159/2011.</w:t>
      </w:r>
      <w:r>
        <w:rPr>
          <w:rFonts w:ascii="Titillium" w:hAnsi="Titillium" w:cs="Calibri"/>
          <w:sz w:val="18"/>
          <w:szCs w:val="18"/>
        </w:rPr>
        <w:t xml:space="preserve"> </w:t>
      </w:r>
    </w:p>
    <w:p w14:paraId="610D5177" w14:textId="35ACE7F8" w:rsidR="006842EE" w:rsidRPr="00AF68F4" w:rsidRDefault="008F2625" w:rsidP="00F661D1">
      <w:pPr>
        <w:spacing w:before="60" w:after="60"/>
        <w:rPr>
          <w:rFonts w:ascii="Titillium" w:hAnsi="Titillium" w:cs="Arial"/>
          <w:b/>
          <w:bCs/>
          <w:i/>
          <w:sz w:val="18"/>
          <w:szCs w:val="18"/>
        </w:rPr>
      </w:pPr>
      <w:r w:rsidRPr="00AF68F4">
        <w:rPr>
          <w:rFonts w:ascii="Titillium" w:hAnsi="Titillium" w:cs="Arial"/>
          <w:b/>
          <w:i/>
          <w:sz w:val="18"/>
          <w:szCs w:val="18"/>
        </w:rPr>
        <w:t>[</w:t>
      </w:r>
      <w:r w:rsidRPr="00AF68F4">
        <w:rPr>
          <w:rFonts w:ascii="Titillium" w:hAnsi="Titillium" w:cs="Arial"/>
          <w:b/>
          <w:bCs/>
          <w:i/>
          <w:sz w:val="18"/>
          <w:szCs w:val="18"/>
        </w:rPr>
        <w:t xml:space="preserve">In caso di procedure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w:t>
      </w:r>
      <w:r w:rsidRPr="00AF68F4">
        <w:rPr>
          <w:rFonts w:ascii="Titillium" w:hAnsi="Titillium" w:cs="Courier New"/>
          <w:b/>
          <w:i/>
          <w:sz w:val="18"/>
          <w:szCs w:val="18"/>
        </w:rPr>
        <w:t>decreto legge 31 maggio 2021, n. 77, convertito, con modificazioni, dalla legge 29 luglio 2021, n. 108</w:t>
      </w:r>
      <w:r w:rsidRPr="00AF68F4">
        <w:rPr>
          <w:rFonts w:ascii="Titillium" w:hAnsi="Titillium" w:cs="Arial"/>
          <w:b/>
          <w:bCs/>
          <w:i/>
          <w:sz w:val="18"/>
          <w:szCs w:val="18"/>
        </w:rPr>
        <w:t xml:space="preserve">]  </w:t>
      </w:r>
    </w:p>
    <w:p w14:paraId="56FB2D3A" w14:textId="726C5D7D" w:rsidR="006842EE" w:rsidRDefault="008F2625" w:rsidP="00F661D1">
      <w:pPr>
        <w:spacing w:before="60" w:after="60"/>
        <w:rPr>
          <w:rFonts w:ascii="Titillium" w:hAnsi="Titillium" w:cs="Arial"/>
          <w:b/>
          <w:bCs/>
          <w:i/>
          <w:sz w:val="18"/>
          <w:szCs w:val="18"/>
        </w:rPr>
      </w:pPr>
      <w:r>
        <w:rPr>
          <w:rFonts w:ascii="Titillium" w:hAnsi="Titillium" w:cs="Arial"/>
          <w:sz w:val="18"/>
          <w:szCs w:val="18"/>
        </w:rPr>
        <w:t>Sono esclusi dalla procedura di gara  gli operatori economici</w:t>
      </w:r>
      <w:r>
        <w:rPr>
          <w:rFonts w:ascii="Titillium" w:hAnsi="Titillium" w:cs="Calibri"/>
          <w:sz w:val="18"/>
          <w:szCs w:val="18"/>
        </w:rPr>
        <w:t xml:space="preserve"> che occupano oltre cinquanta dipendenti, </w:t>
      </w:r>
      <w:r w:rsidRPr="00AF68F4">
        <w:rPr>
          <w:rFonts w:ascii="Titillium" w:hAnsi="Titillium" w:cs="Calibri"/>
          <w:sz w:val="18"/>
          <w:szCs w:val="18"/>
        </w:rPr>
        <w:t>che</w:t>
      </w:r>
      <w:r w:rsidR="003E075B" w:rsidRPr="00AF68F4">
        <w:rPr>
          <w:rFonts w:ascii="Titillium" w:hAnsi="Titillium" w:cs="Calibri"/>
          <w:sz w:val="18"/>
          <w:szCs w:val="18"/>
        </w:rPr>
        <w:t xml:space="preserve"> al momento della presentazione dell’offerta</w:t>
      </w:r>
      <w:r w:rsidR="00AF68F4">
        <w:rPr>
          <w:rFonts w:ascii="Titillium" w:hAnsi="Titillium" w:cs="Calibri"/>
          <w:sz w:val="18"/>
          <w:szCs w:val="18"/>
        </w:rPr>
        <w:t>,</w:t>
      </w:r>
      <w:r w:rsidR="003E075B">
        <w:rPr>
          <w:rFonts w:ascii="Titillium" w:hAnsi="Titillium" w:cs="Calibri"/>
          <w:sz w:val="18"/>
          <w:szCs w:val="18"/>
        </w:rPr>
        <w:t xml:space="preserve"> </w:t>
      </w:r>
      <w:r w:rsidR="003E075B" w:rsidRPr="00AF68F4">
        <w:rPr>
          <w:rFonts w:ascii="Titillium" w:hAnsi="Titillium" w:cs="Calibri"/>
          <w:sz w:val="18"/>
          <w:szCs w:val="18"/>
        </w:rPr>
        <w:t>non caricano nel FVOE (ove non già presente)</w:t>
      </w:r>
      <w:r w:rsidRPr="00AF68F4">
        <w:rPr>
          <w:rFonts w:ascii="Titillium" w:hAnsi="Titillium" w:cs="Calibri"/>
          <w:sz w:val="18"/>
          <w:szCs w:val="18"/>
        </w:rPr>
        <w:t xml:space="preserve"> </w:t>
      </w:r>
      <w:r>
        <w:rPr>
          <w:rFonts w:ascii="Titillium" w:hAnsi="Titillium" w:cs="Calibri"/>
          <w:sz w:val="18"/>
          <w:szCs w:val="18"/>
        </w:rPr>
        <w:t xml:space="preserve">copia dell'ultimo rapporto periodico sulla situazione del personale </w:t>
      </w:r>
      <w:r>
        <w:rPr>
          <w:rFonts w:ascii="Titillium" w:hAnsi="Titillium" w:cs="Courier New"/>
          <w:sz w:val="18"/>
          <w:szCs w:val="18"/>
        </w:rPr>
        <w:t>maschile e femminile redatto ai sensi dell’articolo 46, decreto legislativo n. 198 del 2006,</w:t>
      </w:r>
      <w:r>
        <w:rPr>
          <w:rFonts w:ascii="Titillium" w:hAnsi="Titillium" w:cs="Calibri"/>
          <w:sz w:val="18"/>
          <w:szCs w:val="18"/>
        </w:rPr>
        <w:t xml:space="preserve"> unitamente all’attestazione di conformità a quello già trasmesso alle rappresentanze sindacali aziendali e ai consiglieri regionali di parità ovvero, in mancanza di tale precedente trasmissione, unitamente all’attestazione della sua contestuale trasmissione alle rappresentanze sindacali aziendali e alla consigliera e al consigliere regionale di parità.</w:t>
      </w:r>
      <w:r>
        <w:rPr>
          <w:rFonts w:ascii="Titillium" w:hAnsi="Titillium" w:cs="Arial"/>
          <w:b/>
          <w:bCs/>
          <w:i/>
          <w:sz w:val="18"/>
          <w:szCs w:val="18"/>
        </w:rPr>
        <w:t xml:space="preserve"> </w:t>
      </w:r>
    </w:p>
    <w:p w14:paraId="05FACE57" w14:textId="39094BCA" w:rsidR="00825BDC" w:rsidRPr="00825BDC" w:rsidRDefault="008F2625" w:rsidP="00F661D1">
      <w:pPr>
        <w:spacing w:before="60" w:after="60"/>
        <w:rPr>
          <w:rFonts w:ascii="Titillium" w:hAnsi="Titillium" w:cs="Arial"/>
          <w:color w:val="0070C0"/>
          <w:sz w:val="18"/>
          <w:szCs w:val="18"/>
        </w:rPr>
      </w:pPr>
      <w:r>
        <w:rPr>
          <w:rFonts w:ascii="Titillium" w:hAnsi="Titillium" w:cs="Arial"/>
          <w:sz w:val="18"/>
          <w:szCs w:val="18"/>
        </w:rPr>
        <w:t xml:space="preserve">Sono esclusi dalla procedura di gara gli operatori economici </w:t>
      </w:r>
      <w:r>
        <w:rPr>
          <w:rFonts w:ascii="Titillium" w:hAnsi="Titillium" w:cs="Courier New"/>
          <w:sz w:val="18"/>
          <w:szCs w:val="18"/>
        </w:rPr>
        <w:t>che occupano un numero di dipendenti pari o superiore a quindici e non superiore a cinquanta,</w:t>
      </w:r>
      <w:r>
        <w:rPr>
          <w:rFonts w:ascii="Titillium" w:hAnsi="Titillium" w:cs="Arial"/>
          <w:sz w:val="18"/>
          <w:szCs w:val="18"/>
        </w:rPr>
        <w:t xml:space="preserve"> che nei dodici mesi precedenti al termine di presentazione dell’offerta hanno omesso di produrre alla stazione appaltante </w:t>
      </w:r>
      <w:r w:rsidRPr="003E075B">
        <w:rPr>
          <w:rFonts w:ascii="Titillium" w:hAnsi="Titillium" w:cs="Courier New"/>
          <w:sz w:val="18"/>
          <w:szCs w:val="18"/>
        </w:rPr>
        <w:t xml:space="preserve">di </w:t>
      </w:r>
      <w:r>
        <w:rPr>
          <w:rFonts w:ascii="Titillium" w:hAnsi="Titillium" w:cs="Courier New"/>
          <w:sz w:val="18"/>
          <w:szCs w:val="18"/>
        </w:rPr>
        <w:t>un precedente contratto d’appalto,</w:t>
      </w:r>
      <w:r>
        <w:rPr>
          <w:rFonts w:ascii="Titillium" w:hAnsi="Titillium" w:cs="Arial"/>
          <w:sz w:val="18"/>
          <w:szCs w:val="18"/>
        </w:rPr>
        <w:t xml:space="preserve"> la relazione di cui all’articolo 47, comma 3 del decreto</w:t>
      </w:r>
      <w:r w:rsidR="00151444">
        <w:rPr>
          <w:rFonts w:ascii="Titillium" w:hAnsi="Titillium" w:cs="Arial"/>
          <w:sz w:val="18"/>
          <w:szCs w:val="18"/>
        </w:rPr>
        <w:t>-</w:t>
      </w:r>
      <w:r>
        <w:rPr>
          <w:rFonts w:ascii="Titillium" w:hAnsi="Titillium" w:cs="Arial"/>
          <w:sz w:val="18"/>
          <w:szCs w:val="18"/>
        </w:rPr>
        <w:t>legge n. 77 del 2021</w:t>
      </w:r>
      <w:r w:rsidR="00151444">
        <w:rPr>
          <w:rFonts w:ascii="Titillium" w:hAnsi="Titillium" w:cs="Arial"/>
          <w:sz w:val="18"/>
          <w:szCs w:val="18"/>
        </w:rPr>
        <w:t>.</w:t>
      </w:r>
    </w:p>
    <w:p w14:paraId="752199F7" w14:textId="77777777" w:rsidR="006842EE" w:rsidRDefault="006842EE" w:rsidP="00F661D1">
      <w:pPr>
        <w:spacing w:before="60" w:after="60"/>
        <w:rPr>
          <w:rFonts w:ascii="Titillium" w:hAnsi="Titillium" w:cs="Arial"/>
          <w:sz w:val="16"/>
          <w:szCs w:val="16"/>
        </w:rPr>
      </w:pPr>
    </w:p>
    <w:tbl>
      <w:tblPr>
        <w:tblStyle w:val="Grigliatabella"/>
        <w:tblW w:w="9214" w:type="dxa"/>
        <w:tblLayout w:type="fixed"/>
        <w:tblLook w:val="04A0" w:firstRow="1" w:lastRow="0" w:firstColumn="1" w:lastColumn="0" w:noHBand="0" w:noVBand="1"/>
      </w:tblPr>
      <w:tblGrid>
        <w:gridCol w:w="9214"/>
      </w:tblGrid>
      <w:tr w:rsidR="006842EE" w14:paraId="54C7DEB5" w14:textId="77777777">
        <w:tc>
          <w:tcPr>
            <w:tcW w:w="9214" w:type="dxa"/>
          </w:tcPr>
          <w:p w14:paraId="251C9689" w14:textId="77B73CE3" w:rsidR="006842EE" w:rsidRPr="00A20414" w:rsidRDefault="008F2625" w:rsidP="00F661D1">
            <w:pPr>
              <w:widowControl w:val="0"/>
              <w:spacing w:before="60" w:after="60"/>
              <w:rPr>
                <w:rFonts w:ascii="Titillium" w:hAnsi="Titillium" w:cs="Arial"/>
                <w:i/>
                <w:sz w:val="18"/>
                <w:szCs w:val="18"/>
              </w:rPr>
            </w:pPr>
            <w:r w:rsidRPr="00A20414">
              <w:rPr>
                <w:rFonts w:ascii="Titillium" w:hAnsi="Titillium" w:cs="Arial"/>
                <w:i/>
                <w:color w:val="000000" w:themeColor="text1"/>
                <w:sz w:val="18"/>
                <w:szCs w:val="18"/>
              </w:rPr>
              <w:t>Con riferimento alla disciplina applicabile agli appalti PNRR e PNC, si evidenzia che l’Autorità ha seguito l’interpretazione contenuta nella Circolare del MIT del 13/7/2023, da cui si evince che a tali procedure continuano ad applicarsi le disposizioni del decreto legislativo n. 50/2016 derogate dal decreto</w:t>
            </w:r>
            <w:r w:rsidR="00151444">
              <w:rPr>
                <w:rFonts w:ascii="Titillium" w:hAnsi="Titillium" w:cs="Arial"/>
                <w:i/>
                <w:color w:val="000000" w:themeColor="text1"/>
                <w:sz w:val="18"/>
                <w:szCs w:val="18"/>
              </w:rPr>
              <w:t>-</w:t>
            </w:r>
            <w:r w:rsidRPr="00A20414">
              <w:rPr>
                <w:rFonts w:ascii="Titillium" w:hAnsi="Titillium" w:cs="Arial"/>
                <w:i/>
                <w:color w:val="000000" w:themeColor="text1"/>
                <w:sz w:val="18"/>
                <w:szCs w:val="18"/>
              </w:rPr>
              <w:t xml:space="preserve">legge n. 77 del 2021, mentre si applicano le nuove disposizioni del codice per gli istituti non assoggettati alla disciplina derogatoria. </w:t>
            </w:r>
          </w:p>
        </w:tc>
      </w:tr>
    </w:tbl>
    <w:p w14:paraId="2CF053AC" w14:textId="77777777" w:rsidR="006842EE" w:rsidRPr="00B544E7" w:rsidRDefault="008F2625">
      <w:pPr>
        <w:pStyle w:val="Titolo2"/>
        <w:numPr>
          <w:ilvl w:val="0"/>
          <w:numId w:val="3"/>
        </w:numPr>
        <w:ind w:left="357" w:hanging="357"/>
        <w:rPr>
          <w:rFonts w:ascii="Titillium" w:hAnsi="Titillium"/>
          <w:caps w:val="0"/>
          <w:sz w:val="18"/>
          <w:szCs w:val="18"/>
        </w:rPr>
      </w:pPr>
      <w:bookmarkStart w:id="1370" w:name="_Toc86769502"/>
      <w:bookmarkStart w:id="1371" w:name="_Toc87253509"/>
      <w:bookmarkStart w:id="1372" w:name="_Toc87253568"/>
      <w:bookmarkStart w:id="1373" w:name="_Toc86769503"/>
      <w:bookmarkStart w:id="1374" w:name="_Toc87253510"/>
      <w:bookmarkStart w:id="1375" w:name="_Toc87253569"/>
      <w:bookmarkStart w:id="1376" w:name="_Toc86769504"/>
      <w:bookmarkStart w:id="1377" w:name="_Toc87253511"/>
      <w:bookmarkStart w:id="1378" w:name="_Toc87253570"/>
      <w:bookmarkStart w:id="1379" w:name="_Ref497211510"/>
      <w:bookmarkStart w:id="1380" w:name="_Toc227921625"/>
      <w:bookmarkEnd w:id="1370"/>
      <w:bookmarkEnd w:id="1371"/>
      <w:bookmarkEnd w:id="1372"/>
      <w:bookmarkEnd w:id="1373"/>
      <w:bookmarkEnd w:id="1374"/>
      <w:bookmarkEnd w:id="1375"/>
      <w:bookmarkEnd w:id="1376"/>
      <w:bookmarkEnd w:id="1377"/>
      <w:bookmarkEnd w:id="1378"/>
      <w:r w:rsidRPr="00B544E7">
        <w:rPr>
          <w:rFonts w:ascii="Titillium" w:hAnsi="Titillium"/>
          <w:caps w:val="0"/>
          <w:sz w:val="18"/>
          <w:szCs w:val="18"/>
        </w:rPr>
        <w:t>REQUISITI DI ORDINE SPECIALE E MEZZI DI PROVA</w:t>
      </w:r>
      <w:bookmarkEnd w:id="1379"/>
      <w:bookmarkEnd w:id="1380"/>
    </w:p>
    <w:p w14:paraId="1AC6B737" w14:textId="77777777" w:rsidR="006842EE" w:rsidRDefault="008F2625">
      <w:pPr>
        <w:rPr>
          <w:rFonts w:ascii="Titillium" w:hAnsi="Titillium" w:cstheme="minorHAnsi"/>
          <w:sz w:val="18"/>
          <w:szCs w:val="18"/>
        </w:rPr>
      </w:pPr>
      <w:bookmarkStart w:id="1381" w:name="_Ref495411575"/>
      <w:r>
        <w:rPr>
          <w:rFonts w:ascii="Titillium" w:hAnsi="Titillium" w:cstheme="minorHAnsi"/>
          <w:sz w:val="18"/>
          <w:szCs w:val="18"/>
        </w:rPr>
        <w:t>I concorrenti devono possedere, a pena di esclusione, i requisiti previsti nei commi seguenti.</w:t>
      </w:r>
    </w:p>
    <w:p w14:paraId="546F88A1" w14:textId="69863538" w:rsidR="006842EE" w:rsidRPr="0014297E" w:rsidRDefault="004A1163">
      <w:pPr>
        <w:rPr>
          <w:rFonts w:ascii="Titillium" w:hAnsi="Titillium" w:cstheme="minorHAnsi"/>
          <w:sz w:val="18"/>
          <w:szCs w:val="18"/>
        </w:rPr>
      </w:pPr>
      <w:r>
        <w:rPr>
          <w:rFonts w:ascii="Titillium" w:hAnsi="Titillium" w:cstheme="minorHAnsi"/>
          <w:sz w:val="18"/>
          <w:szCs w:val="18"/>
        </w:rPr>
        <w:t xml:space="preserve">La </w:t>
      </w:r>
      <w:r w:rsidR="00C53853">
        <w:rPr>
          <w:rFonts w:ascii="Titillium" w:hAnsi="Titillium" w:cstheme="minorHAnsi"/>
          <w:sz w:val="18"/>
          <w:szCs w:val="18"/>
        </w:rPr>
        <w:t xml:space="preserve">stazione appaltante </w:t>
      </w:r>
      <w:r w:rsidR="008F2625">
        <w:rPr>
          <w:rFonts w:ascii="Titillium" w:hAnsi="Titillium" w:cstheme="minorHAnsi"/>
          <w:sz w:val="18"/>
          <w:szCs w:val="18"/>
        </w:rPr>
        <w:t xml:space="preserve">verifica </w:t>
      </w:r>
      <w:r>
        <w:rPr>
          <w:rFonts w:ascii="Titillium" w:hAnsi="Titillium" w:cstheme="minorHAnsi"/>
          <w:sz w:val="18"/>
          <w:szCs w:val="18"/>
        </w:rPr>
        <w:t>il possesso</w:t>
      </w:r>
      <w:r w:rsidR="008F2625">
        <w:rPr>
          <w:rFonts w:ascii="Titillium" w:hAnsi="Titillium" w:cstheme="minorHAnsi"/>
          <w:sz w:val="18"/>
          <w:szCs w:val="18"/>
        </w:rPr>
        <w:t xml:space="preserve"> dei requisiti necessari ai fini della partecipazione degli Operatori economici per l’affidamento dei servizi di architettura e di ingegneria, </w:t>
      </w:r>
      <w:r w:rsidR="008E5DBA" w:rsidRPr="005A0842">
        <w:rPr>
          <w:rFonts w:ascii="Titillium" w:hAnsi="Titillium" w:cstheme="minorHAnsi"/>
          <w:sz w:val="18"/>
          <w:szCs w:val="18"/>
        </w:rPr>
        <w:t xml:space="preserve">accedendo al FVOE, fatto salvo quanto </w:t>
      </w:r>
      <w:r w:rsidR="008E5DBA" w:rsidRPr="0014297E">
        <w:rPr>
          <w:rFonts w:ascii="Titillium" w:hAnsi="Titillium" w:cstheme="minorHAnsi"/>
          <w:sz w:val="18"/>
          <w:szCs w:val="18"/>
        </w:rPr>
        <w:t>previsto nel</w:t>
      </w:r>
      <w:r w:rsidR="000C71DE">
        <w:rPr>
          <w:rFonts w:ascii="Titillium" w:hAnsi="Titillium" w:cstheme="minorHAnsi"/>
          <w:sz w:val="18"/>
          <w:szCs w:val="18"/>
        </w:rPr>
        <w:t xml:space="preserve"> </w:t>
      </w:r>
      <w:r w:rsidR="000C71DE" w:rsidRPr="00B14B6C">
        <w:rPr>
          <w:rFonts w:ascii="Titillium" w:hAnsi="Titillium" w:cstheme="minorHAnsi"/>
          <w:sz w:val="18"/>
          <w:szCs w:val="18"/>
        </w:rPr>
        <w:t>paragrafo</w:t>
      </w:r>
      <w:r w:rsidR="000C71DE">
        <w:rPr>
          <w:rFonts w:ascii="Titillium" w:hAnsi="Titillium" w:cstheme="minorHAnsi"/>
          <w:sz w:val="18"/>
          <w:szCs w:val="18"/>
        </w:rPr>
        <w:t xml:space="preserve"> </w:t>
      </w:r>
      <w:r w:rsidR="008E5DBA" w:rsidRPr="0014297E">
        <w:rPr>
          <w:rFonts w:ascii="Titillium" w:hAnsi="Titillium" w:cstheme="minorHAnsi"/>
          <w:sz w:val="18"/>
          <w:szCs w:val="18"/>
        </w:rPr>
        <w:t>25.</w:t>
      </w:r>
    </w:p>
    <w:p w14:paraId="55D9658C" w14:textId="77777777" w:rsidR="006842EE" w:rsidRDefault="008F2625">
      <w:pPr>
        <w:rPr>
          <w:rFonts w:ascii="Titillium" w:hAnsi="Titillium" w:cstheme="minorHAnsi"/>
          <w:sz w:val="18"/>
          <w:szCs w:val="18"/>
        </w:rPr>
      </w:pPr>
      <w:r>
        <w:rPr>
          <w:rFonts w:ascii="Titillium" w:hAnsi="Titillium" w:cstheme="minorHAnsi"/>
          <w:sz w:val="18"/>
          <w:szCs w:val="18"/>
        </w:rPr>
        <w:t>Il concorrente è tenuto ad inserire nel FVOE i dati e le informazioni richiesti per la comprova del requisito, qualora questi non siano già presenti nel fascicolo o non siano già in possesso della stazione appaltante e non possano essere acquisiti d’ufficio da quest’ultima.</w:t>
      </w:r>
    </w:p>
    <w:p w14:paraId="10199CA1" w14:textId="77777777" w:rsidR="006842EE" w:rsidRDefault="006842EE">
      <w:pPr>
        <w:ind w:left="1"/>
        <w:rPr>
          <w:rFonts w:ascii="Titillium" w:hAnsi="Titillium" w:cstheme="minorHAnsi"/>
          <w:sz w:val="18"/>
          <w:szCs w:val="18"/>
        </w:rPr>
      </w:pPr>
    </w:p>
    <w:tbl>
      <w:tblPr>
        <w:tblStyle w:val="Grigliatabella"/>
        <w:tblW w:w="0" w:type="auto"/>
        <w:tblInd w:w="1" w:type="dxa"/>
        <w:tblLook w:val="04A0" w:firstRow="1" w:lastRow="0" w:firstColumn="1" w:lastColumn="0" w:noHBand="0" w:noVBand="1"/>
      </w:tblPr>
      <w:tblGrid>
        <w:gridCol w:w="9213"/>
      </w:tblGrid>
      <w:tr w:rsidR="004D4DB1" w14:paraId="20C7CBDF" w14:textId="77777777" w:rsidTr="004D4DB1">
        <w:tc>
          <w:tcPr>
            <w:tcW w:w="9213" w:type="dxa"/>
          </w:tcPr>
          <w:p w14:paraId="3B7B1F6B" w14:textId="77777777" w:rsidR="004D4DB1" w:rsidRPr="00956DF2" w:rsidRDefault="004D4DB1" w:rsidP="004D4DB1">
            <w:pPr>
              <w:rPr>
                <w:rFonts w:ascii="Titillium" w:hAnsi="Titillium" w:cstheme="minorHAnsi"/>
                <w:i/>
                <w:iCs/>
                <w:sz w:val="18"/>
                <w:szCs w:val="18"/>
              </w:rPr>
            </w:pPr>
            <w:r w:rsidRPr="00956DF2">
              <w:rPr>
                <w:rFonts w:ascii="Titillium" w:hAnsi="Titillium" w:cstheme="minorHAnsi"/>
                <w:i/>
                <w:iCs/>
                <w:sz w:val="18"/>
                <w:szCs w:val="18"/>
              </w:rPr>
              <w:t>N.B. I requisiti speciali per partecipare alla gara devono essere elencati esclusivamente nel disciplinare e non contenuti in altri documenti di gara.</w:t>
            </w:r>
          </w:p>
          <w:p w14:paraId="326DDB3D" w14:textId="77777777" w:rsidR="004D4DB1" w:rsidRDefault="004D4DB1" w:rsidP="004D4DB1">
            <w:pPr>
              <w:rPr>
                <w:rFonts w:ascii="Titillium" w:hAnsi="Titillium" w:cstheme="minorHAnsi"/>
                <w:i/>
                <w:iCs/>
                <w:sz w:val="18"/>
                <w:szCs w:val="18"/>
              </w:rPr>
            </w:pPr>
            <w:r w:rsidRPr="00956DF2">
              <w:rPr>
                <w:rFonts w:ascii="Titillium" w:hAnsi="Titillium" w:cstheme="minorHAnsi"/>
                <w:i/>
                <w:iCs/>
                <w:sz w:val="18"/>
                <w:szCs w:val="18"/>
              </w:rPr>
              <w:t xml:space="preserve">In caso di suddivisione della gara in lotti, le stazioni appaltanti specificano per ciascun requisito speciale </w:t>
            </w:r>
            <w:r w:rsidR="00C011F4" w:rsidRPr="00956DF2">
              <w:rPr>
                <w:rFonts w:ascii="Titillium" w:hAnsi="Titillium" w:cstheme="minorHAnsi"/>
                <w:i/>
                <w:iCs/>
                <w:sz w:val="18"/>
                <w:szCs w:val="18"/>
              </w:rPr>
              <w:t xml:space="preserve">il lotto per il quale </w:t>
            </w:r>
            <w:r w:rsidRPr="00956DF2">
              <w:rPr>
                <w:rFonts w:ascii="Titillium" w:hAnsi="Titillium" w:cstheme="minorHAnsi"/>
                <w:i/>
                <w:iCs/>
                <w:sz w:val="18"/>
                <w:szCs w:val="18"/>
              </w:rPr>
              <w:t>è richiesto.</w:t>
            </w:r>
          </w:p>
          <w:p w14:paraId="1F6FD840" w14:textId="41756A54" w:rsidR="004A4BBF" w:rsidRDefault="004A4BBF" w:rsidP="0085021A">
            <w:pPr>
              <w:rPr>
                <w:rFonts w:ascii="Titillium" w:hAnsi="Titillium" w:cstheme="minorHAnsi"/>
                <w:sz w:val="18"/>
                <w:szCs w:val="18"/>
              </w:rPr>
            </w:pPr>
            <w:r w:rsidRPr="007C4214">
              <w:rPr>
                <w:rFonts w:ascii="Titillium" w:hAnsi="Titillium" w:cstheme="minorHAnsi"/>
                <w:i/>
                <w:iCs/>
                <w:sz w:val="18"/>
                <w:szCs w:val="18"/>
              </w:rPr>
              <w:t>Nel caso in cui</w:t>
            </w:r>
            <w:r w:rsidRPr="007C4214">
              <w:rPr>
                <w:i/>
                <w:iCs/>
              </w:rPr>
              <w:t xml:space="preserve"> </w:t>
            </w:r>
            <w:r w:rsidRPr="007C4214">
              <w:rPr>
                <w:rFonts w:ascii="Titillium" w:hAnsi="Titillium" w:cstheme="minorHAnsi"/>
                <w:i/>
                <w:iCs/>
                <w:sz w:val="18"/>
                <w:szCs w:val="18"/>
              </w:rPr>
              <w:t>l’affidamento comprenda anche prestazioni di natura diversa dai servizi di ingegneria ed architettura quali ad es</w:t>
            </w:r>
            <w:r w:rsidRPr="000B0E59">
              <w:rPr>
                <w:rFonts w:ascii="Titillium" w:hAnsi="Titillium" w:cstheme="minorHAnsi"/>
                <w:i/>
                <w:iCs/>
                <w:sz w:val="18"/>
                <w:szCs w:val="18"/>
              </w:rPr>
              <w:t>. le indagini geognostiche, i rilevamenti topografici e le indagini strutturali</w:t>
            </w:r>
            <w:r w:rsidR="0039453F" w:rsidRPr="000B0E59">
              <w:rPr>
                <w:rFonts w:ascii="Titillium" w:hAnsi="Titillium" w:cstheme="minorHAnsi"/>
                <w:i/>
                <w:iCs/>
                <w:sz w:val="18"/>
                <w:szCs w:val="18"/>
              </w:rPr>
              <w:t>,</w:t>
            </w:r>
            <w:r w:rsidR="00291E77" w:rsidRPr="000B0E59">
              <w:rPr>
                <w:rFonts w:ascii="Titillium" w:hAnsi="Titillium" w:cstheme="minorHAnsi"/>
                <w:i/>
                <w:iCs/>
                <w:sz w:val="18"/>
                <w:szCs w:val="18"/>
              </w:rPr>
              <w:t xml:space="preserve"> gli scavi archeologici,</w:t>
            </w:r>
            <w:r w:rsidR="0039453F" w:rsidRPr="000B0E59">
              <w:rPr>
                <w:rFonts w:ascii="Titillium" w:hAnsi="Titillium" w:cstheme="minorHAnsi"/>
                <w:i/>
                <w:iCs/>
                <w:sz w:val="18"/>
                <w:szCs w:val="18"/>
              </w:rPr>
              <w:t xml:space="preserve"> trattandosi di prestazioni </w:t>
            </w:r>
            <w:r w:rsidR="0085021A" w:rsidRPr="000B0E59">
              <w:rPr>
                <w:rFonts w:ascii="Titillium" w:hAnsi="Titillium" w:cstheme="minorHAnsi"/>
                <w:i/>
                <w:iCs/>
                <w:sz w:val="18"/>
                <w:szCs w:val="18"/>
              </w:rPr>
              <w:t>riconducibili a lavori</w:t>
            </w:r>
            <w:r w:rsidR="0039453F" w:rsidRPr="000B0E59">
              <w:rPr>
                <w:rFonts w:ascii="Titillium" w:hAnsi="Titillium" w:cstheme="minorHAnsi"/>
                <w:i/>
                <w:iCs/>
                <w:sz w:val="18"/>
                <w:szCs w:val="18"/>
              </w:rPr>
              <w:t xml:space="preserve">, anche nel caso di prestazioni di </w:t>
            </w:r>
            <w:r w:rsidR="0085021A" w:rsidRPr="000B0E59">
              <w:rPr>
                <w:rFonts w:ascii="Titillium" w:hAnsi="Titillium" w:cstheme="minorHAnsi"/>
                <w:i/>
                <w:iCs/>
                <w:sz w:val="18"/>
                <w:szCs w:val="18"/>
              </w:rPr>
              <w:t>importo inferiore ai</w:t>
            </w:r>
            <w:r w:rsidR="0085021A" w:rsidRPr="007C4214">
              <w:rPr>
                <w:rFonts w:ascii="Titillium" w:hAnsi="Titillium" w:cstheme="minorHAnsi"/>
                <w:i/>
                <w:iCs/>
                <w:sz w:val="18"/>
                <w:szCs w:val="18"/>
              </w:rPr>
              <w:t xml:space="preserve"> 150.000 euro </w:t>
            </w:r>
            <w:r w:rsidR="0039453F" w:rsidRPr="007C4214">
              <w:rPr>
                <w:rFonts w:ascii="Titillium" w:hAnsi="Titillium" w:cstheme="minorHAnsi"/>
                <w:i/>
                <w:iCs/>
                <w:sz w:val="18"/>
                <w:szCs w:val="18"/>
              </w:rPr>
              <w:t xml:space="preserve">(sopra il quale è necessario il possesso dell’attestazione SOA) </w:t>
            </w:r>
            <w:r w:rsidR="0085021A" w:rsidRPr="007C4214">
              <w:rPr>
                <w:rFonts w:ascii="Titillium" w:hAnsi="Titillium" w:cstheme="minorHAnsi"/>
                <w:i/>
                <w:iCs/>
                <w:sz w:val="18"/>
                <w:szCs w:val="18"/>
              </w:rPr>
              <w:t>deve essere</w:t>
            </w:r>
            <w:r w:rsidR="0039453F" w:rsidRPr="007C4214">
              <w:rPr>
                <w:rFonts w:ascii="Titillium" w:hAnsi="Titillium" w:cstheme="minorHAnsi"/>
                <w:i/>
                <w:iCs/>
                <w:sz w:val="18"/>
                <w:szCs w:val="18"/>
              </w:rPr>
              <w:t xml:space="preserve"> previsto il </w:t>
            </w:r>
            <w:r w:rsidR="0085021A" w:rsidRPr="007C4214">
              <w:rPr>
                <w:rFonts w:ascii="Titillium" w:hAnsi="Titillium" w:cstheme="minorHAnsi"/>
                <w:i/>
                <w:iCs/>
                <w:sz w:val="18"/>
                <w:szCs w:val="18"/>
              </w:rPr>
              <w:t>possesso dei requisiti “semplificati” di capacità tecnica contemplati dall’art</w:t>
            </w:r>
            <w:r w:rsidR="00505947" w:rsidRPr="007C4214">
              <w:rPr>
                <w:rFonts w:ascii="Titillium" w:hAnsi="Titillium" w:cstheme="minorHAnsi"/>
                <w:i/>
                <w:iCs/>
                <w:sz w:val="18"/>
                <w:szCs w:val="18"/>
              </w:rPr>
              <w:t>icolo</w:t>
            </w:r>
            <w:r w:rsidR="0085021A" w:rsidRPr="007C4214">
              <w:rPr>
                <w:rFonts w:ascii="Titillium" w:hAnsi="Titillium" w:cstheme="minorHAnsi"/>
                <w:i/>
                <w:iCs/>
                <w:sz w:val="18"/>
                <w:szCs w:val="18"/>
              </w:rPr>
              <w:t xml:space="preserve"> 28, co</w:t>
            </w:r>
            <w:r w:rsidR="00505947" w:rsidRPr="007C4214">
              <w:rPr>
                <w:rFonts w:ascii="Titillium" w:hAnsi="Titillium" w:cstheme="minorHAnsi"/>
                <w:i/>
                <w:iCs/>
                <w:sz w:val="18"/>
                <w:szCs w:val="18"/>
              </w:rPr>
              <w:t>mma</w:t>
            </w:r>
            <w:r w:rsidR="0085021A" w:rsidRPr="007C4214">
              <w:rPr>
                <w:rFonts w:ascii="Titillium" w:hAnsi="Titillium" w:cstheme="minorHAnsi"/>
                <w:i/>
                <w:iCs/>
                <w:sz w:val="18"/>
                <w:szCs w:val="18"/>
              </w:rPr>
              <w:t xml:space="preserve"> 1, dell’all</w:t>
            </w:r>
            <w:r w:rsidR="00505947" w:rsidRPr="007C4214">
              <w:rPr>
                <w:rFonts w:ascii="Titillium" w:hAnsi="Titillium" w:cstheme="minorHAnsi"/>
                <w:i/>
                <w:iCs/>
                <w:sz w:val="18"/>
                <w:szCs w:val="18"/>
              </w:rPr>
              <w:t>egato</w:t>
            </w:r>
            <w:r w:rsidR="0085021A" w:rsidRPr="007C4214">
              <w:rPr>
                <w:rFonts w:ascii="Titillium" w:hAnsi="Titillium" w:cstheme="minorHAnsi"/>
                <w:i/>
                <w:iCs/>
                <w:sz w:val="18"/>
                <w:szCs w:val="18"/>
              </w:rPr>
              <w:t xml:space="preserve"> II.12 del </w:t>
            </w:r>
            <w:r w:rsidR="00505947" w:rsidRPr="007C4214">
              <w:rPr>
                <w:rFonts w:ascii="Titillium" w:hAnsi="Titillium" w:cstheme="minorHAnsi"/>
                <w:i/>
                <w:iCs/>
                <w:sz w:val="18"/>
                <w:szCs w:val="18"/>
              </w:rPr>
              <w:t xml:space="preserve">decreto legislativo </w:t>
            </w:r>
            <w:r w:rsidR="0085021A" w:rsidRPr="007C4214">
              <w:rPr>
                <w:rFonts w:ascii="Titillium" w:hAnsi="Titillium" w:cstheme="minorHAnsi"/>
                <w:i/>
                <w:iCs/>
                <w:sz w:val="18"/>
                <w:szCs w:val="18"/>
              </w:rPr>
              <w:t>n. 36/2023</w:t>
            </w:r>
            <w:r w:rsidRPr="007C4214">
              <w:rPr>
                <w:rFonts w:ascii="Titillium" w:hAnsi="Titillium" w:cstheme="minorHAnsi"/>
                <w:sz w:val="18"/>
                <w:szCs w:val="18"/>
              </w:rPr>
              <w:t>.</w:t>
            </w:r>
            <w:r w:rsidRPr="004A4BBF">
              <w:rPr>
                <w:rFonts w:ascii="Titillium" w:hAnsi="Titillium" w:cstheme="minorHAnsi"/>
                <w:sz w:val="18"/>
                <w:szCs w:val="18"/>
              </w:rPr>
              <w:t xml:space="preserve"> </w:t>
            </w:r>
          </w:p>
        </w:tc>
      </w:tr>
    </w:tbl>
    <w:p w14:paraId="357ED3A3" w14:textId="77777777" w:rsidR="004D4DB1" w:rsidRDefault="004D4DB1">
      <w:pPr>
        <w:ind w:left="1"/>
        <w:rPr>
          <w:rFonts w:ascii="Titillium" w:hAnsi="Titillium" w:cstheme="minorHAnsi"/>
          <w:sz w:val="18"/>
          <w:szCs w:val="18"/>
        </w:rPr>
      </w:pPr>
    </w:p>
    <w:p w14:paraId="4E16E9BF" w14:textId="0958EBE0" w:rsidR="006842EE" w:rsidRDefault="008F2625">
      <w:pPr>
        <w:rPr>
          <w:rFonts w:ascii="Titillium" w:hAnsi="Titillium" w:cstheme="minorHAnsi"/>
          <w:sz w:val="18"/>
          <w:szCs w:val="18"/>
        </w:rPr>
      </w:pPr>
      <w:r>
        <w:rPr>
          <w:rFonts w:ascii="Titillium" w:hAnsi="Titillium" w:cstheme="minorHAnsi"/>
          <w:sz w:val="18"/>
          <w:szCs w:val="18"/>
        </w:rPr>
        <w:t xml:space="preserve">I </w:t>
      </w:r>
      <w:r w:rsidR="00C011F4" w:rsidRPr="00B047E8">
        <w:rPr>
          <w:rFonts w:ascii="Titillium" w:hAnsi="Titillium" w:cstheme="minorHAnsi"/>
          <w:sz w:val="18"/>
          <w:szCs w:val="18"/>
        </w:rPr>
        <w:t>concorrenti</w:t>
      </w:r>
      <w:r w:rsidR="00C011F4">
        <w:rPr>
          <w:rFonts w:ascii="Titillium" w:hAnsi="Titillium" w:cstheme="minorHAnsi"/>
          <w:sz w:val="18"/>
          <w:szCs w:val="18"/>
        </w:rPr>
        <w:t xml:space="preserve"> </w:t>
      </w:r>
      <w:r>
        <w:rPr>
          <w:rFonts w:ascii="Titillium" w:hAnsi="Titillium" w:cstheme="minorHAnsi"/>
          <w:sz w:val="18"/>
          <w:szCs w:val="18"/>
        </w:rPr>
        <w:t xml:space="preserve">devono possedere i requisiti minimi stabiliti </w:t>
      </w:r>
      <w:r w:rsidRPr="000C71DE">
        <w:rPr>
          <w:rFonts w:ascii="Titillium" w:hAnsi="Titillium" w:cstheme="minorHAnsi"/>
          <w:b/>
          <w:bCs/>
          <w:sz w:val="18"/>
          <w:szCs w:val="18"/>
        </w:rPr>
        <w:t>nella Parte V dell’allegato II.12</w:t>
      </w:r>
      <w:r>
        <w:rPr>
          <w:rFonts w:ascii="Titillium" w:hAnsi="Titillium" w:cstheme="minorHAnsi"/>
          <w:sz w:val="18"/>
          <w:szCs w:val="18"/>
        </w:rPr>
        <w:t xml:space="preserve"> del Codice come di seguito dettagliati. </w:t>
      </w:r>
    </w:p>
    <w:p w14:paraId="60122917" w14:textId="77777777" w:rsidR="006842EE" w:rsidRDefault="008F2625">
      <w:pPr>
        <w:rPr>
          <w:rFonts w:ascii="Titillium" w:hAnsi="Titillium" w:cstheme="minorHAnsi"/>
          <w:sz w:val="18"/>
          <w:szCs w:val="18"/>
        </w:rPr>
      </w:pPr>
      <w:r>
        <w:rPr>
          <w:rFonts w:ascii="Titillium" w:hAnsi="Titillium" w:cstheme="minorHAnsi"/>
          <w:sz w:val="18"/>
          <w:szCs w:val="18"/>
        </w:rPr>
        <w:t>Ai sensi dell’articolo 66 comma 2 del Codice le società, per un periodo di cinque anni dalla loro costituzione, possono documentare il possesso dei requisiti economico-finanziari e tecnico-professionali richiesti dal bando di gara anche nei seguenti termini:</w:t>
      </w:r>
    </w:p>
    <w:p w14:paraId="33BF35FE" w14:textId="77777777" w:rsidR="006842EE" w:rsidRDefault="008F2625" w:rsidP="00D26F03">
      <w:pPr>
        <w:widowControl w:val="0"/>
        <w:numPr>
          <w:ilvl w:val="0"/>
          <w:numId w:val="25"/>
        </w:numPr>
        <w:spacing w:line="240" w:lineRule="auto"/>
        <w:rPr>
          <w:rFonts w:ascii="Titillium" w:hAnsi="Titillium" w:cstheme="minorHAnsi"/>
          <w:sz w:val="18"/>
          <w:szCs w:val="18"/>
        </w:rPr>
      </w:pPr>
      <w:r>
        <w:rPr>
          <w:rFonts w:ascii="Titillium" w:hAnsi="Titillium" w:cstheme="minorHAnsi"/>
          <w:sz w:val="18"/>
          <w:szCs w:val="18"/>
        </w:rPr>
        <w:t>le società di persone o cooperative tramite i requisiti dei soci;</w:t>
      </w:r>
    </w:p>
    <w:p w14:paraId="4987148F" w14:textId="35BF3C6E" w:rsidR="006842EE" w:rsidRDefault="008F2625" w:rsidP="00D26F03">
      <w:pPr>
        <w:widowControl w:val="0"/>
        <w:numPr>
          <w:ilvl w:val="0"/>
          <w:numId w:val="25"/>
        </w:numPr>
        <w:spacing w:line="240" w:lineRule="auto"/>
        <w:rPr>
          <w:rFonts w:ascii="Titillium" w:hAnsi="Titillium" w:cstheme="minorHAnsi"/>
          <w:sz w:val="18"/>
          <w:szCs w:val="18"/>
        </w:rPr>
      </w:pPr>
      <w:r>
        <w:rPr>
          <w:rFonts w:ascii="Titillium" w:hAnsi="Titillium" w:cstheme="minorHAnsi"/>
          <w:sz w:val="18"/>
          <w:szCs w:val="18"/>
        </w:rPr>
        <w:t>le società di capitali tramite i requisiti dei soci, nonché dei direttori tecnici o dei professionisti dipendenti a tempo indeterminato, nonché di altri soggetti abilitati in forza del diritto nazionale a offrire sul mercato servizi di ingegneria e di architettura, nel rispetto dei princìpi di non discriminazione e par condicio fra i diversi soggetti abilitati i cui requisiti minimi sono stabiliti nell’</w:t>
      </w:r>
      <w:r w:rsidR="00841093">
        <w:rPr>
          <w:rFonts w:ascii="Titillium" w:hAnsi="Titillium" w:cstheme="minorHAnsi"/>
          <w:sz w:val="18"/>
          <w:szCs w:val="18"/>
        </w:rPr>
        <w:t>A</w:t>
      </w:r>
      <w:r>
        <w:rPr>
          <w:rFonts w:ascii="Titillium" w:hAnsi="Titillium" w:cstheme="minorHAnsi"/>
          <w:sz w:val="18"/>
          <w:szCs w:val="18"/>
        </w:rPr>
        <w:t>llegato II.12 del Codice.</w:t>
      </w:r>
    </w:p>
    <w:p w14:paraId="6EA24E8D" w14:textId="5E2FF58E" w:rsidR="006842EE" w:rsidRDefault="006842EE">
      <w:pPr>
        <w:rPr>
          <w:rFonts w:ascii="Titillium" w:hAnsi="Titillium" w:cstheme="minorHAnsi"/>
          <w:i/>
          <w:sz w:val="18"/>
          <w:szCs w:val="18"/>
        </w:rPr>
      </w:pPr>
    </w:p>
    <w:tbl>
      <w:tblPr>
        <w:tblStyle w:val="Grigliatabella"/>
        <w:tblW w:w="0" w:type="auto"/>
        <w:tblLook w:val="04A0" w:firstRow="1" w:lastRow="0" w:firstColumn="1" w:lastColumn="0" w:noHBand="0" w:noVBand="1"/>
      </w:tblPr>
      <w:tblGrid>
        <w:gridCol w:w="9214"/>
      </w:tblGrid>
      <w:tr w:rsidR="004D4DB1" w14:paraId="74EF1551" w14:textId="77777777" w:rsidTr="004D4DB1">
        <w:tc>
          <w:tcPr>
            <w:tcW w:w="9214" w:type="dxa"/>
          </w:tcPr>
          <w:p w14:paraId="2DDC3BCE" w14:textId="69C279C0" w:rsidR="00DE60B0" w:rsidRPr="007C4214" w:rsidRDefault="00DE60B0">
            <w:pPr>
              <w:tabs>
                <w:tab w:val="left" w:pos="654"/>
              </w:tabs>
              <w:rPr>
                <w:rFonts w:ascii="Titillium" w:hAnsi="Titillium" w:cstheme="minorHAnsi"/>
                <w:i/>
                <w:iCs/>
                <w:sz w:val="18"/>
                <w:szCs w:val="18"/>
              </w:rPr>
            </w:pPr>
            <w:r w:rsidRPr="007C4214">
              <w:rPr>
                <w:rFonts w:ascii="Titillium" w:hAnsi="Titillium" w:cstheme="minorHAnsi"/>
                <w:i/>
                <w:iCs/>
                <w:sz w:val="18"/>
                <w:szCs w:val="18"/>
              </w:rPr>
              <w:t>N.B. Ai sensi dell‘articolo 10, comma 3</w:t>
            </w:r>
            <w:r w:rsidR="00F57951" w:rsidRPr="007C4214">
              <w:rPr>
                <w:rFonts w:ascii="Titillium" w:hAnsi="Titillium" w:cstheme="minorHAnsi"/>
                <w:i/>
                <w:iCs/>
                <w:sz w:val="18"/>
                <w:szCs w:val="18"/>
              </w:rPr>
              <w:t>,</w:t>
            </w:r>
            <w:r w:rsidR="005F739E" w:rsidRPr="007C4214">
              <w:rPr>
                <w:rFonts w:ascii="Titillium" w:hAnsi="Titillium" w:cstheme="minorHAnsi"/>
                <w:i/>
                <w:iCs/>
                <w:sz w:val="18"/>
                <w:szCs w:val="18"/>
              </w:rPr>
              <w:t xml:space="preserve"> del Codice</w:t>
            </w:r>
            <w:r w:rsidRPr="007C4214">
              <w:rPr>
                <w:rFonts w:ascii="Titillium" w:hAnsi="Titillium" w:cstheme="minorHAnsi"/>
                <w:i/>
                <w:iCs/>
                <w:sz w:val="18"/>
                <w:szCs w:val="18"/>
              </w:rPr>
              <w:t>, fermi i necessari requisiti di abilitazione all’esercizio dell’attività professionale, le stazioni appaltanti e gli enti concedenti possono introdurre requisiti speciali, di carattere economico-finanziario e tecnico-professionale, attinenti e proporzionati all’oggetto del contratto, tenendo presente l’interesse pubblico al più ampio numero di potenziali concorrenti e favorendo, purché sia compatibile con le prestazioni da acquisire e con l’esigenza di realizzare economie di scala funzionali alla riduzione della spesa pubblica, l’accesso al mercato e la possibilità di crescita delle micro, piccole e medie imprese.</w:t>
            </w:r>
          </w:p>
        </w:tc>
      </w:tr>
    </w:tbl>
    <w:p w14:paraId="63AC6E22" w14:textId="77777777" w:rsidR="006842EE" w:rsidRDefault="006842EE">
      <w:pPr>
        <w:tabs>
          <w:tab w:val="left" w:pos="654"/>
        </w:tabs>
        <w:rPr>
          <w:rFonts w:ascii="Titillium" w:hAnsi="Titillium" w:cstheme="minorHAnsi"/>
          <w:sz w:val="18"/>
          <w:szCs w:val="18"/>
        </w:rPr>
      </w:pPr>
    </w:p>
    <w:p w14:paraId="6909F261" w14:textId="7D4EB9C8" w:rsidR="006842EE" w:rsidRPr="009B6720" w:rsidRDefault="009B6720" w:rsidP="00D26F03">
      <w:pPr>
        <w:pStyle w:val="Titolo3"/>
        <w:numPr>
          <w:ilvl w:val="1"/>
          <w:numId w:val="53"/>
        </w:numPr>
        <w:spacing w:before="120"/>
        <w:rPr>
          <w:rFonts w:ascii="Titillium" w:hAnsi="Titillium"/>
          <w:sz w:val="18"/>
          <w:szCs w:val="18"/>
          <w:lang w:val="it-IT"/>
        </w:rPr>
      </w:pPr>
      <w:bookmarkStart w:id="1382" w:name="_Toc139971307"/>
      <w:bookmarkStart w:id="1383" w:name="_Toc227921626"/>
      <w:r w:rsidRPr="009B6720">
        <w:rPr>
          <w:rFonts w:ascii="Titillium" w:hAnsi="Titillium"/>
          <w:caps w:val="0"/>
          <w:sz w:val="18"/>
          <w:szCs w:val="18"/>
          <w:lang w:val="it-IT"/>
        </w:rPr>
        <w:t>REQUISITI DI IDONEITÀ</w:t>
      </w:r>
      <w:bookmarkEnd w:id="1382"/>
      <w:r w:rsidRPr="009B6720">
        <w:rPr>
          <w:rFonts w:ascii="Titillium" w:hAnsi="Titillium"/>
          <w:caps w:val="0"/>
          <w:sz w:val="18"/>
          <w:szCs w:val="18"/>
          <w:lang w:val="it-IT"/>
        </w:rPr>
        <w:t xml:space="preserve"> PROFESSIONALE</w:t>
      </w:r>
      <w:bookmarkEnd w:id="1383"/>
      <w:r w:rsidRPr="009B6720">
        <w:rPr>
          <w:rFonts w:ascii="Titillium" w:hAnsi="Titillium"/>
          <w:caps w:val="0"/>
          <w:sz w:val="18"/>
          <w:szCs w:val="18"/>
          <w:lang w:val="it-IT"/>
        </w:rPr>
        <w:t xml:space="preserve"> </w:t>
      </w:r>
    </w:p>
    <w:p w14:paraId="1AAD71A5" w14:textId="02307BC9" w:rsidR="006842EE" w:rsidRPr="00EE2E3B" w:rsidRDefault="00C011F4" w:rsidP="00D26F03">
      <w:pPr>
        <w:widowControl w:val="0"/>
        <w:numPr>
          <w:ilvl w:val="0"/>
          <w:numId w:val="26"/>
        </w:numPr>
        <w:tabs>
          <w:tab w:val="clear" w:pos="0"/>
          <w:tab w:val="num" w:pos="284"/>
        </w:tabs>
        <w:spacing w:line="240" w:lineRule="auto"/>
        <w:ind w:left="284"/>
        <w:rPr>
          <w:rFonts w:ascii="Titillium" w:hAnsi="Titillium" w:cstheme="minorHAnsi"/>
          <w:bCs/>
          <w:sz w:val="18"/>
          <w:szCs w:val="18"/>
        </w:rPr>
      </w:pPr>
      <w:bookmarkStart w:id="1384" w:name="_heading=h.36ei31r"/>
      <w:bookmarkEnd w:id="1384"/>
      <w:r w:rsidRPr="008F487F">
        <w:rPr>
          <w:rFonts w:ascii="Titillium" w:hAnsi="Titillium" w:cstheme="minorHAnsi"/>
          <w:b/>
          <w:sz w:val="18"/>
          <w:szCs w:val="18"/>
        </w:rPr>
        <w:t>(</w:t>
      </w:r>
      <w:r w:rsidR="00956DF2" w:rsidRPr="00956DF2">
        <w:rPr>
          <w:rFonts w:ascii="Titillium" w:hAnsi="Titillium" w:cstheme="minorHAnsi"/>
          <w:b/>
          <w:i/>
          <w:iCs/>
          <w:sz w:val="18"/>
          <w:szCs w:val="18"/>
        </w:rPr>
        <w:t>P</w:t>
      </w:r>
      <w:r w:rsidRPr="00956DF2">
        <w:rPr>
          <w:rFonts w:ascii="Titillium" w:hAnsi="Titillium" w:cstheme="minorHAnsi"/>
          <w:b/>
          <w:i/>
          <w:iCs/>
          <w:sz w:val="18"/>
          <w:szCs w:val="18"/>
        </w:rPr>
        <w:t>e</w:t>
      </w:r>
      <w:r w:rsidRPr="00B047E8">
        <w:rPr>
          <w:rFonts w:ascii="Titillium" w:hAnsi="Titillium" w:cstheme="minorHAnsi"/>
          <w:b/>
          <w:i/>
          <w:iCs/>
          <w:sz w:val="18"/>
          <w:szCs w:val="18"/>
        </w:rPr>
        <w:t>r i professionisti singoli o associati, le società di professionisti, le società di ingegneria, gli altri soggetti abilitati in forza del diritto nazionale a offrire sul mercato servizi di ingegneria e di architettura</w:t>
      </w:r>
      <w:r w:rsidR="008F487F" w:rsidRPr="00B047E8">
        <w:rPr>
          <w:rFonts w:ascii="Titillium" w:hAnsi="Titillium" w:cstheme="minorHAnsi"/>
          <w:b/>
          <w:i/>
          <w:iCs/>
          <w:sz w:val="18"/>
          <w:szCs w:val="18"/>
        </w:rPr>
        <w:t xml:space="preserve">, </w:t>
      </w:r>
      <w:r w:rsidRPr="00B047E8">
        <w:rPr>
          <w:rFonts w:ascii="Titillium" w:hAnsi="Titillium" w:cstheme="minorHAnsi"/>
          <w:b/>
          <w:i/>
          <w:iCs/>
          <w:sz w:val="18"/>
          <w:szCs w:val="18"/>
        </w:rPr>
        <w:t>i consorzi stabili di società di professionisti e di società di ingegneria e di G.E.I.E., i</w:t>
      </w:r>
      <w:r w:rsidR="008F487F" w:rsidRPr="00B047E8">
        <w:rPr>
          <w:rFonts w:ascii="Titillium" w:hAnsi="Titillium" w:cstheme="minorHAnsi"/>
          <w:b/>
          <w:i/>
          <w:iCs/>
          <w:sz w:val="18"/>
          <w:szCs w:val="18"/>
        </w:rPr>
        <w:t xml:space="preserve"> RTI</w:t>
      </w:r>
      <w:r w:rsidR="008F487F" w:rsidRPr="00B047E8">
        <w:rPr>
          <w:rFonts w:ascii="Titillium" w:hAnsi="Titillium" w:cstheme="minorHAnsi"/>
          <w:b/>
          <w:sz w:val="18"/>
          <w:szCs w:val="18"/>
        </w:rPr>
        <w:t xml:space="preserve">): </w:t>
      </w:r>
      <w:r w:rsidR="00956DF2" w:rsidRPr="00EE2E3B">
        <w:rPr>
          <w:rFonts w:ascii="Titillium" w:hAnsi="Titillium" w:cstheme="minorHAnsi"/>
          <w:b/>
          <w:sz w:val="18"/>
          <w:szCs w:val="18"/>
        </w:rPr>
        <w:t xml:space="preserve">Sono richiesti i </w:t>
      </w:r>
      <w:r w:rsidRPr="00EE2E3B">
        <w:rPr>
          <w:rFonts w:ascii="Titillium" w:hAnsi="Titillium" w:cstheme="minorHAnsi"/>
          <w:b/>
          <w:color w:val="000000" w:themeColor="text1"/>
          <w:sz w:val="18"/>
          <w:szCs w:val="18"/>
        </w:rPr>
        <w:t>requisiti di idoneità professionale di cui</w:t>
      </w:r>
      <w:r w:rsidR="008F487F" w:rsidRPr="00EE2E3B">
        <w:rPr>
          <w:rFonts w:ascii="Titillium" w:hAnsi="Titillium" w:cstheme="minorHAnsi"/>
          <w:b/>
          <w:color w:val="000000" w:themeColor="text1"/>
          <w:sz w:val="18"/>
          <w:szCs w:val="18"/>
        </w:rPr>
        <w:t xml:space="preserve"> </w:t>
      </w:r>
      <w:r w:rsidRPr="00EE2E3B">
        <w:rPr>
          <w:rFonts w:ascii="Titillium" w:hAnsi="Titillium" w:cstheme="minorHAnsi"/>
          <w:b/>
          <w:color w:val="000000" w:themeColor="text1"/>
          <w:sz w:val="18"/>
          <w:szCs w:val="18"/>
        </w:rPr>
        <w:t>rispettivamente agli articoli 34, 35, 36, 37</w:t>
      </w:r>
      <w:r w:rsidR="008F487F" w:rsidRPr="00EE2E3B">
        <w:rPr>
          <w:rFonts w:ascii="Titillium" w:hAnsi="Titillium" w:cstheme="minorHAnsi"/>
          <w:b/>
          <w:color w:val="000000" w:themeColor="text1"/>
          <w:sz w:val="18"/>
          <w:szCs w:val="18"/>
        </w:rPr>
        <w:t>,</w:t>
      </w:r>
      <w:r w:rsidRPr="00EE2E3B">
        <w:rPr>
          <w:rFonts w:ascii="Titillium" w:hAnsi="Titillium" w:cstheme="minorHAnsi"/>
          <w:b/>
          <w:color w:val="000000" w:themeColor="text1"/>
          <w:sz w:val="18"/>
          <w:szCs w:val="18"/>
        </w:rPr>
        <w:t xml:space="preserve"> 38</w:t>
      </w:r>
      <w:r w:rsidR="008F487F" w:rsidRPr="00EE2E3B">
        <w:rPr>
          <w:rFonts w:ascii="Titillium" w:hAnsi="Titillium" w:cstheme="minorHAnsi"/>
          <w:b/>
          <w:color w:val="000000" w:themeColor="text1"/>
          <w:sz w:val="18"/>
          <w:szCs w:val="18"/>
        </w:rPr>
        <w:t xml:space="preserve"> e 39 </w:t>
      </w:r>
      <w:r w:rsidRPr="00EE2E3B">
        <w:rPr>
          <w:rFonts w:ascii="Titillium" w:hAnsi="Titillium" w:cstheme="minorHAnsi"/>
          <w:b/>
          <w:color w:val="000000" w:themeColor="text1"/>
          <w:sz w:val="18"/>
          <w:szCs w:val="18"/>
        </w:rPr>
        <w:t>dell’Allegato II.12 al Codice</w:t>
      </w:r>
      <w:r w:rsidR="008F487F" w:rsidRPr="00EE2E3B">
        <w:rPr>
          <w:rFonts w:ascii="Titillium" w:hAnsi="Titillium" w:cstheme="minorHAnsi"/>
          <w:b/>
          <w:color w:val="0070C0"/>
          <w:sz w:val="18"/>
          <w:szCs w:val="18"/>
        </w:rPr>
        <w:t>.</w:t>
      </w:r>
      <w:r w:rsidR="008F487F" w:rsidRPr="00EE2E3B">
        <w:rPr>
          <w:rFonts w:ascii="Titillium" w:hAnsi="Titillium" w:cstheme="minorHAnsi"/>
          <w:bCs/>
          <w:color w:val="0070C0"/>
          <w:sz w:val="18"/>
          <w:szCs w:val="18"/>
        </w:rPr>
        <w:t xml:space="preserve"> </w:t>
      </w:r>
      <w:r w:rsidR="008F2625" w:rsidRPr="00EE2E3B">
        <w:rPr>
          <w:rFonts w:ascii="Titillium" w:hAnsi="Titillium" w:cstheme="minorHAnsi"/>
          <w:bCs/>
          <w:color w:val="0070C0"/>
          <w:sz w:val="18"/>
          <w:szCs w:val="18"/>
        </w:rPr>
        <w:t xml:space="preserve"> </w:t>
      </w:r>
    </w:p>
    <w:p w14:paraId="0AED9A0A" w14:textId="77777777" w:rsidR="006842EE" w:rsidRDefault="008F2625" w:rsidP="00C75931">
      <w:pPr>
        <w:rPr>
          <w:rFonts w:ascii="Titillium" w:hAnsi="Titillium" w:cstheme="minorHAnsi"/>
          <w:sz w:val="18"/>
          <w:szCs w:val="18"/>
        </w:rPr>
      </w:pPr>
      <w:r>
        <w:rPr>
          <w:rFonts w:ascii="Titillium" w:hAnsi="Titillium" w:cstheme="minorHAnsi"/>
          <w:sz w:val="18"/>
          <w:szCs w:val="18"/>
        </w:rPr>
        <w:t>Il concorrente non stabilito in Italia ma in altro Stato membro o in uno dei Paesi di cui all’articolo 100 del Codice, presenta iscrizione ad apposito albo corrispondente previsto dalla legislazione nazionale di appartenenza o dichiarazione giurata o secondo le modalità vigenti nello Stato nel quale è stabilito.</w:t>
      </w:r>
    </w:p>
    <w:p w14:paraId="2E41FD5A" w14:textId="77777777" w:rsidR="008F487F" w:rsidRDefault="008F487F">
      <w:pPr>
        <w:ind w:left="362"/>
        <w:rPr>
          <w:rFonts w:ascii="Titillium" w:hAnsi="Titillium" w:cstheme="minorHAnsi"/>
          <w:sz w:val="18"/>
          <w:szCs w:val="18"/>
        </w:rPr>
      </w:pPr>
    </w:p>
    <w:p w14:paraId="583B35F7" w14:textId="77AA69D2" w:rsidR="006842EE" w:rsidRDefault="008F2625" w:rsidP="00D26F03">
      <w:pPr>
        <w:widowControl w:val="0"/>
        <w:numPr>
          <w:ilvl w:val="0"/>
          <w:numId w:val="26"/>
        </w:numPr>
        <w:spacing w:line="240" w:lineRule="auto"/>
        <w:rPr>
          <w:rFonts w:ascii="Titillium" w:hAnsi="Titillium" w:cstheme="minorHAnsi"/>
          <w:sz w:val="18"/>
          <w:szCs w:val="18"/>
        </w:rPr>
      </w:pPr>
      <w:bookmarkStart w:id="1385" w:name="_heading=h.1ljsd9k"/>
      <w:bookmarkEnd w:id="1385"/>
      <w:r w:rsidRPr="00C011F4">
        <w:rPr>
          <w:rFonts w:ascii="Titillium" w:hAnsi="Titillium" w:cstheme="minorHAnsi"/>
          <w:b/>
          <w:bCs/>
          <w:sz w:val="18"/>
          <w:szCs w:val="18"/>
        </w:rPr>
        <w:t>(</w:t>
      </w:r>
      <w:r w:rsidR="00956DF2" w:rsidRPr="00956DF2">
        <w:rPr>
          <w:rFonts w:ascii="Titillium" w:hAnsi="Titillium" w:cstheme="minorHAnsi"/>
          <w:b/>
          <w:bCs/>
          <w:i/>
          <w:iCs/>
          <w:sz w:val="18"/>
          <w:szCs w:val="18"/>
        </w:rPr>
        <w:t>P</w:t>
      </w:r>
      <w:r w:rsidRPr="00956DF2">
        <w:rPr>
          <w:rFonts w:ascii="Titillium" w:hAnsi="Titillium" w:cstheme="minorHAnsi"/>
          <w:b/>
          <w:bCs/>
          <w:i/>
          <w:iCs/>
          <w:sz w:val="18"/>
          <w:szCs w:val="18"/>
        </w:rPr>
        <w:t>e</w:t>
      </w:r>
      <w:r w:rsidRPr="008F487F">
        <w:rPr>
          <w:rFonts w:ascii="Titillium" w:hAnsi="Titillium" w:cstheme="minorHAnsi"/>
          <w:b/>
          <w:bCs/>
          <w:i/>
          <w:iCs/>
          <w:sz w:val="18"/>
          <w:szCs w:val="18"/>
        </w:rPr>
        <w:t xml:space="preserve">r tutte le tipologie di società e per i </w:t>
      </w:r>
      <w:r w:rsidR="00841093" w:rsidRPr="008F487F">
        <w:rPr>
          <w:rFonts w:ascii="Titillium" w:hAnsi="Titillium" w:cstheme="minorHAnsi"/>
          <w:b/>
          <w:bCs/>
          <w:i/>
          <w:iCs/>
          <w:sz w:val="18"/>
          <w:szCs w:val="18"/>
        </w:rPr>
        <w:t>consorzi)</w:t>
      </w:r>
      <w:r w:rsidR="00841093">
        <w:rPr>
          <w:rFonts w:ascii="Titillium" w:hAnsi="Titillium" w:cstheme="minorHAnsi"/>
          <w:b/>
          <w:bCs/>
          <w:i/>
          <w:iCs/>
          <w:sz w:val="18"/>
          <w:szCs w:val="18"/>
        </w:rPr>
        <w:t xml:space="preserve"> </w:t>
      </w:r>
      <w:r w:rsidR="00841093" w:rsidRPr="00841093">
        <w:rPr>
          <w:rFonts w:ascii="Titillium" w:hAnsi="Titillium" w:cstheme="minorHAnsi"/>
          <w:b/>
          <w:bCs/>
          <w:sz w:val="18"/>
          <w:szCs w:val="18"/>
        </w:rPr>
        <w:t>Iscrizione</w:t>
      </w:r>
      <w:r w:rsidRPr="00841093">
        <w:rPr>
          <w:rFonts w:ascii="Titillium" w:hAnsi="Titillium" w:cstheme="minorHAnsi"/>
          <w:b/>
          <w:bCs/>
          <w:sz w:val="18"/>
          <w:szCs w:val="18"/>
        </w:rPr>
        <w:t xml:space="preserve"> </w:t>
      </w:r>
      <w:r w:rsidRPr="00EE2E3B">
        <w:rPr>
          <w:rFonts w:ascii="Titillium" w:hAnsi="Titillium" w:cstheme="minorHAnsi"/>
          <w:b/>
          <w:bCs/>
          <w:sz w:val="18"/>
          <w:szCs w:val="18"/>
        </w:rPr>
        <w:t xml:space="preserve">nel registro delle imprese tenuto dalla Camera di commercio industria, artigianato e agricoltura per attività </w:t>
      </w:r>
      <w:r w:rsidRPr="000C71DE">
        <w:rPr>
          <w:rFonts w:ascii="Titillium" w:hAnsi="Titillium" w:cstheme="minorHAnsi"/>
          <w:b/>
          <w:bCs/>
          <w:sz w:val="18"/>
          <w:szCs w:val="18"/>
        </w:rPr>
        <w:t>coerenti</w:t>
      </w:r>
      <w:r w:rsidR="00A62C3B" w:rsidRPr="000C71DE">
        <w:rPr>
          <w:rFonts w:ascii="Titillium" w:hAnsi="Titillium" w:cstheme="minorHAnsi"/>
          <w:b/>
          <w:bCs/>
          <w:sz w:val="18"/>
          <w:szCs w:val="18"/>
        </w:rPr>
        <w:t xml:space="preserve"> </w:t>
      </w:r>
      <w:r w:rsidRPr="000C71DE">
        <w:rPr>
          <w:rFonts w:ascii="Titillium" w:hAnsi="Titillium" w:cstheme="minorHAnsi"/>
          <w:b/>
          <w:bCs/>
          <w:sz w:val="18"/>
          <w:szCs w:val="18"/>
        </w:rPr>
        <w:t>con</w:t>
      </w:r>
      <w:r w:rsidRPr="00EE2E3B">
        <w:rPr>
          <w:rFonts w:ascii="Titillium" w:hAnsi="Titillium" w:cstheme="minorHAnsi"/>
          <w:b/>
          <w:bCs/>
          <w:sz w:val="18"/>
          <w:szCs w:val="18"/>
        </w:rPr>
        <w:t xml:space="preserve"> quelle oggetto della presente procedura di gara</w:t>
      </w:r>
      <w:r w:rsidRPr="00EE2E3B">
        <w:rPr>
          <w:rFonts w:ascii="Titillium" w:hAnsi="Titillium" w:cstheme="minorHAnsi"/>
          <w:sz w:val="18"/>
          <w:szCs w:val="18"/>
        </w:rPr>
        <w:t>.</w:t>
      </w:r>
    </w:p>
    <w:p w14:paraId="729237BE" w14:textId="2D0757F0" w:rsidR="006842EE" w:rsidRDefault="008F2625">
      <w:pPr>
        <w:rPr>
          <w:rFonts w:ascii="Titillium" w:hAnsi="Titillium" w:cstheme="minorHAnsi"/>
          <w:sz w:val="18"/>
          <w:szCs w:val="18"/>
        </w:rPr>
      </w:pPr>
      <w:r>
        <w:rPr>
          <w:rFonts w:ascii="Titillium" w:hAnsi="Titillium" w:cstheme="minorHAnsi"/>
          <w:sz w:val="18"/>
          <w:szCs w:val="18"/>
        </w:rPr>
        <w:t>Per l’operatore economico di altro Stato membro, non residente in Italia: iscrizione in uno dei registri professionali o commerciali degli altri Stati membri di cui all’</w:t>
      </w:r>
      <w:r w:rsidR="00841093">
        <w:rPr>
          <w:rFonts w:ascii="Titillium" w:hAnsi="Titillium" w:cstheme="minorHAnsi"/>
          <w:sz w:val="18"/>
          <w:szCs w:val="18"/>
        </w:rPr>
        <w:t>A</w:t>
      </w:r>
      <w:r>
        <w:rPr>
          <w:rFonts w:ascii="Titillium" w:hAnsi="Titillium" w:cstheme="minorHAnsi"/>
          <w:sz w:val="18"/>
          <w:szCs w:val="18"/>
        </w:rPr>
        <w:t>llegato II.11 del Codice, ai sensi dell’articolo 100, comma 3.</w:t>
      </w:r>
    </w:p>
    <w:p w14:paraId="6E716D41" w14:textId="77777777" w:rsidR="006842EE" w:rsidRDefault="008F2625" w:rsidP="00C75931">
      <w:pPr>
        <w:rPr>
          <w:rFonts w:ascii="Titillium" w:hAnsi="Titillium" w:cstheme="minorHAnsi"/>
          <w:sz w:val="18"/>
          <w:szCs w:val="18"/>
        </w:rPr>
      </w:pPr>
      <w:r>
        <w:rPr>
          <w:rFonts w:ascii="Titillium" w:hAnsi="Titillium" w:cstheme="minorHAnsi"/>
          <w:sz w:val="18"/>
          <w:szCs w:val="18"/>
        </w:rPr>
        <w:t>Ai fini della comprova, l’iscrizione nel Registro è acquisita d</w:t>
      </w:r>
      <w:r>
        <w:rPr>
          <w:rFonts w:ascii="Titillium" w:hAnsi="Titillium" w:cs="Titillium"/>
          <w:sz w:val="18"/>
          <w:szCs w:val="18"/>
        </w:rPr>
        <w:t>’</w:t>
      </w:r>
      <w:r>
        <w:rPr>
          <w:rFonts w:ascii="Titillium" w:hAnsi="Titillium" w:cstheme="minorHAnsi"/>
          <w:sz w:val="18"/>
          <w:szCs w:val="18"/>
        </w:rPr>
        <w:t xml:space="preserve">ufficio dalla stazione appaltante tramite il FVOE. Gli operatori stabiliti in altri Stati membri caricano nel fascicolo virtuale i dati e le informazioni utili alla comprova del requisito, se disponibili. </w:t>
      </w:r>
    </w:p>
    <w:p w14:paraId="196EE866" w14:textId="77777777" w:rsidR="006842EE" w:rsidRDefault="006842EE">
      <w:pPr>
        <w:rPr>
          <w:rFonts w:ascii="Titillium" w:hAnsi="Titillium" w:cstheme="minorHAnsi"/>
          <w:sz w:val="18"/>
          <w:szCs w:val="18"/>
        </w:rPr>
      </w:pPr>
    </w:p>
    <w:p w14:paraId="4ED66187" w14:textId="77777777" w:rsidR="006842EE" w:rsidRPr="00DF1930" w:rsidRDefault="008F2625">
      <w:pPr>
        <w:rPr>
          <w:color w:val="000000" w:themeColor="text1"/>
        </w:rPr>
      </w:pPr>
      <w:r w:rsidRPr="00DF1930">
        <w:rPr>
          <w:rFonts w:ascii="Titillium" w:hAnsi="Titillium" w:cstheme="minorHAnsi"/>
          <w:b/>
          <w:color w:val="000000" w:themeColor="text1"/>
          <w:sz w:val="18"/>
          <w:szCs w:val="18"/>
        </w:rPr>
        <w:t>Requisiti del gruppo di lavoro</w:t>
      </w:r>
    </w:p>
    <w:p w14:paraId="71C66918" w14:textId="77777777" w:rsidR="006842EE" w:rsidRPr="00733096" w:rsidRDefault="008F2625">
      <w:r w:rsidRPr="00733096">
        <w:rPr>
          <w:rFonts w:ascii="Titillium" w:hAnsi="Titillium" w:cstheme="minorHAnsi"/>
          <w:b/>
          <w:sz w:val="18"/>
          <w:szCs w:val="18"/>
        </w:rPr>
        <w:t>Per il professionista che espleta l’incarico oggetto dell’appalto</w:t>
      </w:r>
    </w:p>
    <w:p w14:paraId="0A4053B0" w14:textId="2968E070" w:rsidR="00956DF2" w:rsidRPr="00091E95" w:rsidRDefault="008F2625" w:rsidP="00D26F03">
      <w:pPr>
        <w:widowControl w:val="0"/>
        <w:numPr>
          <w:ilvl w:val="0"/>
          <w:numId w:val="26"/>
        </w:numPr>
        <w:spacing w:line="240" w:lineRule="auto"/>
        <w:rPr>
          <w:rFonts w:ascii="Titillium" w:hAnsi="Titillium" w:cstheme="minorHAnsi"/>
          <w:b/>
          <w:bCs/>
          <w:sz w:val="18"/>
          <w:szCs w:val="18"/>
        </w:rPr>
      </w:pPr>
      <w:r w:rsidRPr="001502FB">
        <w:rPr>
          <w:rFonts w:ascii="Titillium" w:hAnsi="Titillium" w:cstheme="minorHAnsi"/>
          <w:b/>
          <w:bCs/>
          <w:sz w:val="18"/>
          <w:szCs w:val="18"/>
        </w:rPr>
        <w:t>Iscrizione agli appositi albi professionali</w:t>
      </w:r>
      <w:r w:rsidRPr="00091E95">
        <w:rPr>
          <w:rFonts w:ascii="Titillium" w:hAnsi="Titillium" w:cstheme="minorHAnsi"/>
          <w:b/>
          <w:bCs/>
          <w:sz w:val="18"/>
          <w:szCs w:val="18"/>
        </w:rPr>
        <w:t xml:space="preserve"> </w:t>
      </w:r>
      <w:r w:rsidRPr="00956DF2">
        <w:rPr>
          <w:rFonts w:ascii="Titillium" w:hAnsi="Titillium" w:cstheme="minorHAnsi"/>
          <w:b/>
          <w:bCs/>
          <w:sz w:val="18"/>
          <w:szCs w:val="18"/>
        </w:rPr>
        <w:t>previsti per l’esercizio dell’attività oggetto di appalto</w:t>
      </w:r>
      <w:r w:rsidRPr="00091E95">
        <w:rPr>
          <w:rFonts w:ascii="Titillium" w:hAnsi="Titillium" w:cstheme="minorHAnsi"/>
          <w:b/>
          <w:bCs/>
          <w:sz w:val="18"/>
          <w:szCs w:val="18"/>
        </w:rPr>
        <w:t xml:space="preserve"> </w:t>
      </w:r>
      <w:bookmarkStart w:id="1386" w:name="_heading=h.45jfvxd1"/>
      <w:bookmarkEnd w:id="1386"/>
    </w:p>
    <w:p w14:paraId="63143ADD" w14:textId="77777777" w:rsidR="001A7015" w:rsidRDefault="008F2625" w:rsidP="00956DF2">
      <w:pPr>
        <w:rPr>
          <w:rFonts w:ascii="Titillium" w:hAnsi="Titillium" w:cstheme="minorHAnsi"/>
          <w:sz w:val="18"/>
          <w:szCs w:val="18"/>
        </w:rPr>
      </w:pPr>
      <w:r w:rsidRPr="00C327DD">
        <w:rPr>
          <w:rFonts w:ascii="Titillium" w:hAnsi="Titillium" w:cstheme="minorHAnsi"/>
          <w:sz w:val="18"/>
          <w:szCs w:val="18"/>
        </w:rPr>
        <w:t xml:space="preserve">Il concorrente non stabilito in Italia ma in altro Stato Membro o in uno dei Paesi di cui all’articolo 100 del Codice, presenta iscrizione ad apposito albo corrispondente previsto dalla legislazione nazionale di appartenenza o dichiarazione giurata o secondo le modalità vigenti nello Stato nel quale è stabilito. </w:t>
      </w:r>
    </w:p>
    <w:p w14:paraId="0BC1D32E" w14:textId="1A230ED9" w:rsidR="006842EE" w:rsidRPr="00C327DD" w:rsidRDefault="008F2625" w:rsidP="00956DF2">
      <w:r w:rsidRPr="00C327DD">
        <w:rPr>
          <w:rFonts w:ascii="Titillium" w:hAnsi="Titillium" w:cstheme="minorHAnsi"/>
          <w:sz w:val="18"/>
          <w:szCs w:val="18"/>
        </w:rPr>
        <w:t xml:space="preserve">Il concorrente indica </w:t>
      </w:r>
      <w:r w:rsidRPr="005D54B1">
        <w:rPr>
          <w:rFonts w:ascii="Titillium" w:hAnsi="Titillium" w:cstheme="minorHAnsi"/>
          <w:sz w:val="18"/>
          <w:szCs w:val="18"/>
        </w:rPr>
        <w:t>nell</w:t>
      </w:r>
      <w:r w:rsidR="001074E7" w:rsidRPr="005D54B1">
        <w:rPr>
          <w:rFonts w:ascii="Titillium" w:hAnsi="Titillium" w:cstheme="minorHAnsi"/>
          <w:sz w:val="18"/>
          <w:szCs w:val="18"/>
        </w:rPr>
        <w:t xml:space="preserve">a domanda di partecipazione di cui al successivo </w:t>
      </w:r>
      <w:r w:rsidR="00424DA8" w:rsidRPr="005D54B1">
        <w:rPr>
          <w:rFonts w:ascii="Titillium" w:hAnsi="Titillium" w:cstheme="minorHAnsi"/>
          <w:sz w:val="18"/>
          <w:szCs w:val="18"/>
        </w:rPr>
        <w:t>p</w:t>
      </w:r>
      <w:r w:rsidR="003A5672">
        <w:rPr>
          <w:rFonts w:ascii="Titillium" w:hAnsi="Titillium" w:cstheme="minorHAnsi"/>
          <w:sz w:val="18"/>
          <w:szCs w:val="18"/>
        </w:rPr>
        <w:t>aragrafo 1</w:t>
      </w:r>
      <w:r w:rsidR="002B4729">
        <w:rPr>
          <w:rFonts w:ascii="Titillium" w:hAnsi="Titillium" w:cstheme="minorHAnsi"/>
          <w:sz w:val="18"/>
          <w:szCs w:val="18"/>
        </w:rPr>
        <w:t>5</w:t>
      </w:r>
      <w:r w:rsidR="00675A63">
        <w:rPr>
          <w:rFonts w:ascii="Titillium" w:hAnsi="Titillium" w:cstheme="minorHAnsi"/>
          <w:sz w:val="18"/>
          <w:szCs w:val="18"/>
        </w:rPr>
        <w:t xml:space="preserve">.1 </w:t>
      </w:r>
      <w:r w:rsidRPr="0090268B">
        <w:rPr>
          <w:rFonts w:ascii="Titillium" w:hAnsi="Titillium" w:cstheme="minorHAnsi"/>
          <w:sz w:val="18"/>
          <w:szCs w:val="18"/>
        </w:rPr>
        <w:t>il nominativo</w:t>
      </w:r>
      <w:r w:rsidRPr="00C327DD">
        <w:rPr>
          <w:rFonts w:ascii="Titillium" w:hAnsi="Titillium" w:cstheme="minorHAnsi"/>
          <w:sz w:val="18"/>
          <w:szCs w:val="18"/>
        </w:rPr>
        <w:t>, la qualifica professionale e gli estremi dell’iscrizione all’Albo del professionista incaricato.</w:t>
      </w:r>
    </w:p>
    <w:p w14:paraId="25CF47CE" w14:textId="77777777" w:rsidR="006842EE" w:rsidRPr="00C327DD" w:rsidRDefault="006842EE">
      <w:pPr>
        <w:rPr>
          <w:rFonts w:ascii="Titillium" w:hAnsi="Titillium" w:cstheme="minorHAnsi"/>
          <w:b/>
          <w:i/>
          <w:sz w:val="18"/>
          <w:szCs w:val="18"/>
        </w:rPr>
      </w:pPr>
    </w:p>
    <w:p w14:paraId="1C02773D" w14:textId="77777777" w:rsidR="006842EE" w:rsidRPr="000500CF" w:rsidRDefault="008F2625">
      <w:pPr>
        <w:rPr>
          <w:iCs/>
        </w:rPr>
      </w:pPr>
      <w:r w:rsidRPr="000500CF">
        <w:rPr>
          <w:rFonts w:ascii="Titillium" w:hAnsi="Titillium" w:cstheme="minorHAnsi"/>
          <w:b/>
          <w:iCs/>
          <w:sz w:val="18"/>
          <w:szCs w:val="18"/>
        </w:rPr>
        <w:t>[</w:t>
      </w:r>
      <w:r w:rsidRPr="004308E6">
        <w:rPr>
          <w:rFonts w:ascii="Titillium" w:hAnsi="Titillium" w:cstheme="minorHAnsi"/>
          <w:b/>
          <w:i/>
          <w:sz w:val="18"/>
          <w:szCs w:val="18"/>
        </w:rPr>
        <w:t>Nel caso di affidamento del servizio di coordinamento della sicurezza</w:t>
      </w:r>
      <w:r w:rsidRPr="000500CF">
        <w:rPr>
          <w:rFonts w:ascii="Titillium" w:hAnsi="Titillium" w:cstheme="minorHAnsi"/>
          <w:b/>
          <w:iCs/>
          <w:sz w:val="18"/>
          <w:szCs w:val="18"/>
        </w:rPr>
        <w:t>]</w:t>
      </w:r>
    </w:p>
    <w:p w14:paraId="25A52AFD" w14:textId="30C84DEF" w:rsidR="006842EE" w:rsidRPr="00EE2E3B" w:rsidRDefault="008F2625">
      <w:pPr>
        <w:rPr>
          <w:bCs/>
          <w:i/>
        </w:rPr>
      </w:pPr>
      <w:r w:rsidRPr="004308E6">
        <w:rPr>
          <w:rFonts w:ascii="Titillium" w:hAnsi="Titillium" w:cstheme="minorHAnsi"/>
          <w:b/>
          <w:iCs/>
          <w:sz w:val="18"/>
          <w:szCs w:val="18"/>
        </w:rPr>
        <w:t>Per il professionista che espleta l’incarico di coordinatore della sicurezza in fase di ….</w:t>
      </w:r>
      <w:r w:rsidR="009B6720">
        <w:rPr>
          <w:rFonts w:ascii="Titillium" w:hAnsi="Titillium" w:cstheme="minorHAnsi"/>
          <w:b/>
          <w:i/>
          <w:sz w:val="18"/>
          <w:szCs w:val="18"/>
        </w:rPr>
        <w:t xml:space="preserve"> </w:t>
      </w:r>
      <w:r w:rsidRPr="00EE2E3B">
        <w:rPr>
          <w:rFonts w:ascii="Titillium" w:hAnsi="Titillium" w:cstheme="minorHAnsi"/>
          <w:bCs/>
          <w:i/>
          <w:sz w:val="18"/>
          <w:szCs w:val="18"/>
        </w:rPr>
        <w:t>[</w:t>
      </w:r>
      <w:r w:rsidR="00EE2E3B">
        <w:rPr>
          <w:rFonts w:ascii="Titillium" w:hAnsi="Titillium" w:cstheme="minorHAnsi"/>
          <w:bCs/>
          <w:i/>
          <w:sz w:val="18"/>
          <w:szCs w:val="18"/>
        </w:rPr>
        <w:t>s</w:t>
      </w:r>
      <w:r w:rsidRPr="00EE2E3B">
        <w:rPr>
          <w:rFonts w:ascii="Titillium" w:hAnsi="Titillium" w:cstheme="minorHAnsi"/>
          <w:bCs/>
          <w:i/>
          <w:sz w:val="18"/>
          <w:szCs w:val="18"/>
        </w:rPr>
        <w:t>pecifica</w:t>
      </w:r>
      <w:r w:rsidR="00EE2E3B">
        <w:rPr>
          <w:rFonts w:ascii="Titillium" w:hAnsi="Titillium" w:cstheme="minorHAnsi"/>
          <w:bCs/>
          <w:i/>
          <w:sz w:val="18"/>
          <w:szCs w:val="18"/>
        </w:rPr>
        <w:t>re</w:t>
      </w:r>
      <w:r w:rsidRPr="00EE2E3B">
        <w:rPr>
          <w:rFonts w:ascii="Titillium" w:hAnsi="Titillium" w:cstheme="minorHAnsi"/>
          <w:bCs/>
          <w:i/>
          <w:sz w:val="18"/>
          <w:szCs w:val="18"/>
        </w:rPr>
        <w:t xml:space="preserve"> progettazione, esecuzione o entrambe]</w:t>
      </w:r>
    </w:p>
    <w:p w14:paraId="4C6EFEDB" w14:textId="2E40DC99" w:rsidR="006842EE" w:rsidRPr="00091E95" w:rsidRDefault="008F2625" w:rsidP="00D26F03">
      <w:pPr>
        <w:widowControl w:val="0"/>
        <w:numPr>
          <w:ilvl w:val="0"/>
          <w:numId w:val="26"/>
        </w:numPr>
        <w:spacing w:line="240" w:lineRule="auto"/>
        <w:rPr>
          <w:rFonts w:ascii="Titillium" w:hAnsi="Titillium" w:cstheme="minorHAnsi"/>
          <w:b/>
          <w:bCs/>
          <w:sz w:val="18"/>
          <w:szCs w:val="18"/>
        </w:rPr>
      </w:pPr>
      <w:r w:rsidRPr="001502FB">
        <w:rPr>
          <w:rFonts w:ascii="Titillium" w:hAnsi="Titillium" w:cstheme="minorHAnsi"/>
          <w:b/>
          <w:bCs/>
          <w:sz w:val="18"/>
          <w:szCs w:val="18"/>
        </w:rPr>
        <w:t>I requisiti di cui all’articolo 98 del decreto legislativo 81/2008</w:t>
      </w:r>
      <w:r w:rsidRPr="00091E95">
        <w:rPr>
          <w:rFonts w:ascii="Titillium" w:hAnsi="Titillium" w:cstheme="minorHAnsi"/>
          <w:b/>
          <w:bCs/>
          <w:sz w:val="18"/>
          <w:szCs w:val="18"/>
        </w:rPr>
        <w:t>.</w:t>
      </w:r>
    </w:p>
    <w:p w14:paraId="5933F452" w14:textId="4BCF7A2D" w:rsidR="006842EE" w:rsidRPr="00C327DD" w:rsidRDefault="008F2625" w:rsidP="00C75931">
      <w:r w:rsidRPr="00C327DD">
        <w:rPr>
          <w:rFonts w:ascii="Titillium" w:hAnsi="Titillium" w:cstheme="minorHAnsi"/>
          <w:sz w:val="18"/>
          <w:szCs w:val="18"/>
        </w:rPr>
        <w:t>Il concorrente indica</w:t>
      </w:r>
      <w:r w:rsidR="00A62C3B" w:rsidRPr="00A62C3B">
        <w:t xml:space="preserve"> </w:t>
      </w:r>
      <w:r w:rsidR="00A62C3B" w:rsidRPr="00A62C3B">
        <w:rPr>
          <w:rFonts w:ascii="Titillium" w:hAnsi="Titillium" w:cstheme="minorHAnsi"/>
          <w:sz w:val="18"/>
          <w:szCs w:val="18"/>
        </w:rPr>
        <w:t>nella domanda di partecipazione di cui al successivo p</w:t>
      </w:r>
      <w:r w:rsidR="001A7015">
        <w:rPr>
          <w:rFonts w:ascii="Titillium" w:hAnsi="Titillium" w:cstheme="minorHAnsi"/>
          <w:sz w:val="18"/>
          <w:szCs w:val="18"/>
        </w:rPr>
        <w:t xml:space="preserve">aragrafo </w:t>
      </w:r>
      <w:r w:rsidR="00C75931">
        <w:rPr>
          <w:rFonts w:ascii="Titillium" w:hAnsi="Titillium" w:cstheme="minorHAnsi"/>
          <w:sz w:val="18"/>
          <w:szCs w:val="18"/>
        </w:rPr>
        <w:t>1</w:t>
      </w:r>
      <w:r w:rsidR="002B4729">
        <w:rPr>
          <w:rFonts w:ascii="Titillium" w:hAnsi="Titillium" w:cstheme="minorHAnsi"/>
          <w:sz w:val="18"/>
          <w:szCs w:val="18"/>
        </w:rPr>
        <w:t>5</w:t>
      </w:r>
      <w:r w:rsidR="00C75931">
        <w:rPr>
          <w:rFonts w:ascii="Titillium" w:hAnsi="Titillium" w:cstheme="minorHAnsi"/>
          <w:sz w:val="18"/>
          <w:szCs w:val="18"/>
        </w:rPr>
        <w:t>.1</w:t>
      </w:r>
      <w:r w:rsidRPr="0090268B">
        <w:rPr>
          <w:rFonts w:ascii="Titillium" w:hAnsi="Titillium" w:cstheme="minorHAnsi"/>
          <w:sz w:val="18"/>
          <w:szCs w:val="18"/>
        </w:rPr>
        <w:t>, i dati</w:t>
      </w:r>
      <w:r w:rsidRPr="00C327DD">
        <w:rPr>
          <w:rFonts w:ascii="Titillium" w:hAnsi="Titillium" w:cstheme="minorHAnsi"/>
          <w:sz w:val="18"/>
          <w:szCs w:val="18"/>
        </w:rPr>
        <w:t xml:space="preserve"> relativi al possesso, in capo al professionista, dei requisiti suddetti.</w:t>
      </w:r>
    </w:p>
    <w:p w14:paraId="3930C2AF" w14:textId="77777777" w:rsidR="006842EE" w:rsidRPr="00C327DD" w:rsidRDefault="006842EE">
      <w:pPr>
        <w:rPr>
          <w:rFonts w:ascii="Titillium" w:hAnsi="Titillium" w:cstheme="minorHAnsi"/>
          <w:b/>
          <w:i/>
          <w:sz w:val="18"/>
          <w:szCs w:val="18"/>
        </w:rPr>
      </w:pPr>
    </w:p>
    <w:p w14:paraId="687ADA80" w14:textId="77777777" w:rsidR="006842EE" w:rsidRPr="000500CF" w:rsidRDefault="008F2625">
      <w:pPr>
        <w:rPr>
          <w:iCs/>
        </w:rPr>
      </w:pPr>
      <w:r w:rsidRPr="000500CF">
        <w:rPr>
          <w:rFonts w:ascii="Titillium" w:hAnsi="Titillium" w:cstheme="minorHAnsi"/>
          <w:b/>
          <w:iCs/>
          <w:sz w:val="18"/>
          <w:szCs w:val="18"/>
        </w:rPr>
        <w:t>[</w:t>
      </w:r>
      <w:r w:rsidRPr="004308E6">
        <w:rPr>
          <w:rFonts w:ascii="Titillium" w:hAnsi="Titillium" w:cstheme="minorHAnsi"/>
          <w:b/>
          <w:i/>
          <w:sz w:val="18"/>
          <w:szCs w:val="18"/>
        </w:rPr>
        <w:t>Nel caso sia richiesta l’abilitazione antincendio</w:t>
      </w:r>
      <w:r w:rsidRPr="000500CF">
        <w:rPr>
          <w:rFonts w:ascii="Titillium" w:hAnsi="Titillium" w:cstheme="minorHAnsi"/>
          <w:b/>
          <w:iCs/>
          <w:sz w:val="18"/>
          <w:szCs w:val="18"/>
        </w:rPr>
        <w:t>]</w:t>
      </w:r>
    </w:p>
    <w:p w14:paraId="4C1D3C5D" w14:textId="77777777" w:rsidR="006842EE" w:rsidRPr="004308E6" w:rsidRDefault="008F2625">
      <w:pPr>
        <w:rPr>
          <w:iCs/>
        </w:rPr>
      </w:pPr>
      <w:r w:rsidRPr="004308E6">
        <w:rPr>
          <w:rFonts w:ascii="Titillium" w:hAnsi="Titillium" w:cstheme="minorHAnsi"/>
          <w:b/>
          <w:iCs/>
          <w:sz w:val="18"/>
          <w:szCs w:val="18"/>
        </w:rPr>
        <w:t>Per il professionista antincendio</w:t>
      </w:r>
    </w:p>
    <w:p w14:paraId="18A189CA" w14:textId="15B0A232" w:rsidR="006842EE" w:rsidRPr="00091E95" w:rsidRDefault="00091E95" w:rsidP="00D26F03">
      <w:pPr>
        <w:widowControl w:val="0"/>
        <w:numPr>
          <w:ilvl w:val="0"/>
          <w:numId w:val="26"/>
        </w:numPr>
        <w:spacing w:line="240" w:lineRule="auto"/>
        <w:rPr>
          <w:rFonts w:ascii="Titillium" w:hAnsi="Titillium" w:cstheme="minorHAnsi"/>
          <w:b/>
          <w:bCs/>
          <w:sz w:val="18"/>
          <w:szCs w:val="18"/>
        </w:rPr>
      </w:pPr>
      <w:r w:rsidRPr="001502FB">
        <w:rPr>
          <w:rFonts w:ascii="Titillium" w:hAnsi="Titillium" w:cstheme="minorHAnsi"/>
          <w:b/>
          <w:bCs/>
          <w:sz w:val="18"/>
          <w:szCs w:val="18"/>
        </w:rPr>
        <w:t xml:space="preserve">Iscrizione </w:t>
      </w:r>
      <w:r w:rsidR="008F2625" w:rsidRPr="001502FB">
        <w:rPr>
          <w:rFonts w:ascii="Titillium" w:hAnsi="Titillium" w:cstheme="minorHAnsi"/>
          <w:b/>
          <w:bCs/>
          <w:sz w:val="18"/>
          <w:szCs w:val="18"/>
        </w:rPr>
        <w:t>nell’elenco del Ministero dell’interno ai sensi dell’articolo 16 del decreto legislativo 139 del 8 marzo 2006 come professionista antincendio.</w:t>
      </w:r>
    </w:p>
    <w:p w14:paraId="082FC13C" w14:textId="24D68A8B" w:rsidR="006842EE" w:rsidRPr="00C327DD" w:rsidRDefault="008F2625" w:rsidP="00C75931">
      <w:bookmarkStart w:id="1387" w:name="_Hlk166688427"/>
      <w:r w:rsidRPr="00C327DD">
        <w:rPr>
          <w:rFonts w:ascii="Titillium" w:hAnsi="Titillium" w:cstheme="minorHAnsi"/>
          <w:sz w:val="18"/>
          <w:szCs w:val="18"/>
        </w:rPr>
        <w:t>Il concorrente</w:t>
      </w:r>
      <w:r w:rsidR="00F9533E">
        <w:rPr>
          <w:rFonts w:ascii="Titillium" w:hAnsi="Titillium" w:cstheme="minorHAnsi"/>
          <w:sz w:val="18"/>
          <w:szCs w:val="18"/>
        </w:rPr>
        <w:t xml:space="preserve"> </w:t>
      </w:r>
      <w:r w:rsidR="00F9533E" w:rsidRPr="00675A63">
        <w:rPr>
          <w:rFonts w:ascii="Titillium" w:hAnsi="Titillium" w:cstheme="minorHAnsi"/>
          <w:sz w:val="18"/>
          <w:szCs w:val="18"/>
        </w:rPr>
        <w:t>indica</w:t>
      </w:r>
      <w:r w:rsidRPr="00675A63">
        <w:rPr>
          <w:rFonts w:ascii="Titillium" w:hAnsi="Titillium" w:cstheme="minorHAnsi"/>
          <w:sz w:val="18"/>
          <w:szCs w:val="18"/>
        </w:rPr>
        <w:t xml:space="preserve"> </w:t>
      </w:r>
      <w:r w:rsidR="00F9533E" w:rsidRPr="00675A63">
        <w:rPr>
          <w:rFonts w:ascii="Titillium" w:hAnsi="Titillium" w:cstheme="minorHAnsi"/>
          <w:sz w:val="18"/>
          <w:szCs w:val="18"/>
        </w:rPr>
        <w:t>nella domanda di partecipazione di cui al successivo p</w:t>
      </w:r>
      <w:r w:rsidR="001A7015">
        <w:rPr>
          <w:rFonts w:ascii="Titillium" w:hAnsi="Titillium" w:cstheme="minorHAnsi"/>
          <w:sz w:val="18"/>
          <w:szCs w:val="18"/>
        </w:rPr>
        <w:t xml:space="preserve">aragrafo </w:t>
      </w:r>
      <w:r w:rsidR="00675A63" w:rsidRPr="00675A63">
        <w:rPr>
          <w:rFonts w:ascii="Titillium" w:hAnsi="Titillium" w:cstheme="minorHAnsi"/>
          <w:sz w:val="18"/>
          <w:szCs w:val="18"/>
        </w:rPr>
        <w:t>1</w:t>
      </w:r>
      <w:r w:rsidR="002B4729">
        <w:rPr>
          <w:rFonts w:ascii="Titillium" w:hAnsi="Titillium" w:cstheme="minorHAnsi"/>
          <w:sz w:val="18"/>
          <w:szCs w:val="18"/>
        </w:rPr>
        <w:t>5</w:t>
      </w:r>
      <w:r w:rsidR="00675A63" w:rsidRPr="00675A63">
        <w:rPr>
          <w:rFonts w:ascii="Titillium" w:hAnsi="Titillium" w:cstheme="minorHAnsi"/>
          <w:sz w:val="18"/>
          <w:szCs w:val="18"/>
        </w:rPr>
        <w:t>.1</w:t>
      </w:r>
      <w:r w:rsidRPr="00C327DD">
        <w:rPr>
          <w:rFonts w:ascii="Titillium" w:hAnsi="Titillium" w:cstheme="minorHAnsi"/>
          <w:sz w:val="18"/>
          <w:szCs w:val="18"/>
        </w:rPr>
        <w:t xml:space="preserve"> il nominativo del professionista e gli estremi dell’iscrizione all’elen</w:t>
      </w:r>
      <w:bookmarkEnd w:id="1387"/>
      <w:r w:rsidR="00DE0A2A">
        <w:rPr>
          <w:rFonts w:ascii="Titillium" w:hAnsi="Titillium" w:cstheme="minorHAnsi"/>
          <w:sz w:val="18"/>
          <w:szCs w:val="18"/>
        </w:rPr>
        <w:t>co</w:t>
      </w:r>
      <w:r w:rsidR="009B6720">
        <w:rPr>
          <w:rFonts w:ascii="Titillium" w:hAnsi="Titillium" w:cstheme="minorHAnsi"/>
          <w:sz w:val="18"/>
          <w:szCs w:val="18"/>
        </w:rPr>
        <w:t>.</w:t>
      </w:r>
    </w:p>
    <w:p w14:paraId="225C1B47" w14:textId="77777777" w:rsidR="001502FB" w:rsidRDefault="001502FB" w:rsidP="00E84077">
      <w:pPr>
        <w:ind w:left="426"/>
        <w:rPr>
          <w:rFonts w:ascii="Titillium" w:hAnsi="Titillium" w:cstheme="minorHAnsi"/>
          <w:sz w:val="18"/>
          <w:szCs w:val="18"/>
        </w:rPr>
      </w:pPr>
    </w:p>
    <w:p w14:paraId="1F7C0542" w14:textId="0BD85F62" w:rsidR="004B0514" w:rsidRPr="00B047E8" w:rsidRDefault="00422D86" w:rsidP="004308E6">
      <w:pPr>
        <w:rPr>
          <w:rFonts w:ascii="Titillium" w:hAnsi="Titillium" w:cstheme="minorHAnsi"/>
          <w:b/>
          <w:bCs/>
          <w:sz w:val="18"/>
          <w:szCs w:val="18"/>
        </w:rPr>
      </w:pPr>
      <w:r w:rsidRPr="00B047E8">
        <w:rPr>
          <w:rFonts w:ascii="Titillium" w:hAnsi="Titillium" w:cstheme="minorHAnsi"/>
          <w:b/>
          <w:bCs/>
          <w:sz w:val="18"/>
          <w:szCs w:val="18"/>
        </w:rPr>
        <w:t>[</w:t>
      </w:r>
      <w:r w:rsidR="004B0514" w:rsidRPr="004308E6">
        <w:rPr>
          <w:rFonts w:ascii="Titillium" w:hAnsi="Titillium" w:cstheme="minorHAnsi"/>
          <w:b/>
          <w:bCs/>
          <w:i/>
          <w:iCs/>
          <w:sz w:val="18"/>
          <w:szCs w:val="18"/>
        </w:rPr>
        <w:t>Nel caso sia richiesta la relazione geologica</w:t>
      </w:r>
      <w:r w:rsidRPr="00B047E8">
        <w:rPr>
          <w:rFonts w:ascii="Titillium" w:hAnsi="Titillium" w:cstheme="minorHAnsi"/>
          <w:b/>
          <w:bCs/>
          <w:sz w:val="18"/>
          <w:szCs w:val="18"/>
        </w:rPr>
        <w:t>]</w:t>
      </w:r>
    </w:p>
    <w:p w14:paraId="758D1806" w14:textId="77777777" w:rsidR="002D5733" w:rsidRPr="004308E6" w:rsidRDefault="004B0514" w:rsidP="00C75931">
      <w:pPr>
        <w:rPr>
          <w:rFonts w:ascii="Titillium" w:hAnsi="Titillium" w:cstheme="minorHAnsi"/>
          <w:b/>
          <w:bCs/>
          <w:sz w:val="18"/>
          <w:szCs w:val="18"/>
        </w:rPr>
      </w:pPr>
      <w:r w:rsidRPr="004308E6">
        <w:rPr>
          <w:rFonts w:ascii="Titillium" w:hAnsi="Titillium" w:cstheme="minorHAnsi"/>
          <w:b/>
          <w:bCs/>
          <w:sz w:val="18"/>
          <w:szCs w:val="18"/>
        </w:rPr>
        <w:t xml:space="preserve">Per il geologo che redige la relazione geologica </w:t>
      </w:r>
    </w:p>
    <w:p w14:paraId="58A25BA3" w14:textId="3E04A482" w:rsidR="004B0514" w:rsidRDefault="00091E95" w:rsidP="00D26F03">
      <w:pPr>
        <w:widowControl w:val="0"/>
        <w:numPr>
          <w:ilvl w:val="0"/>
          <w:numId w:val="26"/>
        </w:numPr>
        <w:spacing w:line="240" w:lineRule="auto"/>
        <w:rPr>
          <w:rFonts w:ascii="Titillium" w:hAnsi="Titillium" w:cstheme="minorHAnsi"/>
          <w:b/>
          <w:bCs/>
          <w:sz w:val="18"/>
          <w:szCs w:val="18"/>
        </w:rPr>
      </w:pPr>
      <w:r w:rsidRPr="00091E95">
        <w:rPr>
          <w:rFonts w:ascii="Titillium" w:hAnsi="Titillium" w:cstheme="minorHAnsi"/>
          <w:b/>
          <w:bCs/>
          <w:sz w:val="18"/>
          <w:szCs w:val="18"/>
        </w:rPr>
        <w:t xml:space="preserve">Iscrizione </w:t>
      </w:r>
      <w:r w:rsidR="004B0514" w:rsidRPr="00091E95">
        <w:rPr>
          <w:rFonts w:ascii="Titillium" w:hAnsi="Titillium" w:cstheme="minorHAnsi"/>
          <w:b/>
          <w:bCs/>
          <w:sz w:val="18"/>
          <w:szCs w:val="18"/>
        </w:rPr>
        <w:t>al relativo albo professionale.</w:t>
      </w:r>
    </w:p>
    <w:p w14:paraId="2D4DBB0B" w14:textId="697ABDF7" w:rsidR="00A62C3B" w:rsidRPr="00091E95" w:rsidRDefault="00A62C3B" w:rsidP="00A62C3B">
      <w:pPr>
        <w:widowControl w:val="0"/>
        <w:spacing w:line="240" w:lineRule="auto"/>
        <w:rPr>
          <w:rFonts w:ascii="Titillium" w:hAnsi="Titillium" w:cstheme="minorHAnsi"/>
          <w:b/>
          <w:bCs/>
          <w:sz w:val="18"/>
          <w:szCs w:val="18"/>
        </w:rPr>
      </w:pPr>
      <w:r w:rsidRPr="007C4214">
        <w:rPr>
          <w:rFonts w:ascii="Titillium" w:hAnsi="Titillium" w:cstheme="minorHAnsi"/>
          <w:sz w:val="18"/>
          <w:szCs w:val="18"/>
        </w:rPr>
        <w:t>Il concorrente indica nella domanda di partecipazione di cui al successivo p</w:t>
      </w:r>
      <w:r w:rsidR="00254CE8">
        <w:rPr>
          <w:rFonts w:ascii="Titillium" w:hAnsi="Titillium" w:cstheme="minorHAnsi"/>
          <w:sz w:val="18"/>
          <w:szCs w:val="18"/>
        </w:rPr>
        <w:t xml:space="preserve">aragrafo </w:t>
      </w:r>
      <w:r w:rsidRPr="007C4214">
        <w:rPr>
          <w:rFonts w:ascii="Titillium" w:hAnsi="Titillium" w:cstheme="minorHAnsi"/>
          <w:sz w:val="18"/>
          <w:szCs w:val="18"/>
        </w:rPr>
        <w:t>15.1 il nominativo del professionista e gli estremi dell’iscrizione all’</w:t>
      </w:r>
      <w:r w:rsidR="009E732A" w:rsidRPr="007C4214">
        <w:rPr>
          <w:rFonts w:ascii="Titillium" w:hAnsi="Titillium" w:cstheme="minorHAnsi"/>
          <w:sz w:val="18"/>
          <w:szCs w:val="18"/>
        </w:rPr>
        <w:t>albo</w:t>
      </w:r>
      <w:r w:rsidR="000C71DE" w:rsidRPr="007C4214">
        <w:rPr>
          <w:rFonts w:ascii="Titillium" w:hAnsi="Titillium" w:cstheme="minorHAnsi"/>
          <w:sz w:val="18"/>
          <w:szCs w:val="18"/>
        </w:rPr>
        <w:t>.</w:t>
      </w:r>
    </w:p>
    <w:p w14:paraId="7F32D62B" w14:textId="77777777" w:rsidR="00CA6B1D" w:rsidRPr="00FA5315" w:rsidRDefault="00CA6B1D" w:rsidP="0098062C">
      <w:pPr>
        <w:rPr>
          <w:rFonts w:ascii="Titillium" w:hAnsi="Titillium" w:cstheme="minorHAnsi"/>
          <w:sz w:val="18"/>
          <w:szCs w:val="18"/>
          <w:highlight w:val="green"/>
        </w:rPr>
      </w:pPr>
    </w:p>
    <w:p w14:paraId="14B13C72" w14:textId="69B8AC5C" w:rsidR="000829DC" w:rsidRPr="00141D52" w:rsidRDefault="000829DC" w:rsidP="0098062C">
      <w:pPr>
        <w:rPr>
          <w:rFonts w:ascii="Titillium" w:hAnsi="Titillium" w:cstheme="minorHAnsi"/>
          <w:b/>
          <w:bCs/>
          <w:sz w:val="18"/>
          <w:szCs w:val="18"/>
        </w:rPr>
      </w:pPr>
      <w:r w:rsidRPr="00141D52">
        <w:rPr>
          <w:rFonts w:ascii="Titillium" w:hAnsi="Titillium" w:cstheme="minorHAnsi"/>
          <w:b/>
          <w:bCs/>
          <w:sz w:val="18"/>
          <w:szCs w:val="18"/>
        </w:rPr>
        <w:t>[</w:t>
      </w:r>
      <w:r w:rsidR="003A78AD" w:rsidRPr="004308E6">
        <w:rPr>
          <w:rFonts w:ascii="Titillium" w:hAnsi="Titillium" w:cstheme="minorHAnsi"/>
          <w:b/>
          <w:bCs/>
          <w:i/>
          <w:iCs/>
          <w:sz w:val="18"/>
          <w:szCs w:val="18"/>
        </w:rPr>
        <w:t>Ne</w:t>
      </w:r>
      <w:r w:rsidRPr="004308E6">
        <w:rPr>
          <w:rFonts w:ascii="Titillium" w:hAnsi="Titillium" w:cstheme="minorHAnsi"/>
          <w:b/>
          <w:bCs/>
          <w:i/>
          <w:iCs/>
          <w:sz w:val="18"/>
          <w:szCs w:val="18"/>
        </w:rPr>
        <w:t>l caso sia prevista attività di progettazione acustica</w:t>
      </w:r>
      <w:r w:rsidR="00C75931">
        <w:rPr>
          <w:rFonts w:ascii="Titillium" w:hAnsi="Titillium" w:cstheme="minorHAnsi"/>
          <w:b/>
          <w:bCs/>
          <w:sz w:val="18"/>
          <w:szCs w:val="18"/>
        </w:rPr>
        <w:t>]</w:t>
      </w:r>
    </w:p>
    <w:p w14:paraId="04C9E3A8" w14:textId="707D5EF8" w:rsidR="0098062C" w:rsidRPr="004308E6" w:rsidRDefault="0098062C" w:rsidP="0098062C">
      <w:pPr>
        <w:rPr>
          <w:rFonts w:ascii="Titillium" w:hAnsi="Titillium" w:cstheme="minorHAnsi"/>
          <w:b/>
          <w:bCs/>
          <w:sz w:val="18"/>
          <w:szCs w:val="18"/>
        </w:rPr>
      </w:pPr>
      <w:r w:rsidRPr="004308E6">
        <w:rPr>
          <w:rFonts w:ascii="Titillium" w:hAnsi="Titillium" w:cstheme="minorHAnsi"/>
          <w:b/>
          <w:bCs/>
          <w:sz w:val="18"/>
          <w:szCs w:val="18"/>
        </w:rPr>
        <w:t>Per il professionista qualificato in materia di acustica</w:t>
      </w:r>
    </w:p>
    <w:p w14:paraId="70EDD6AE" w14:textId="23FFCB2D" w:rsidR="0098062C" w:rsidRPr="007C4214" w:rsidRDefault="00091E95" w:rsidP="00D26F03">
      <w:pPr>
        <w:widowControl w:val="0"/>
        <w:numPr>
          <w:ilvl w:val="0"/>
          <w:numId w:val="26"/>
        </w:numPr>
        <w:spacing w:line="240" w:lineRule="auto"/>
        <w:rPr>
          <w:rFonts w:ascii="Titillium" w:hAnsi="Titillium" w:cstheme="minorHAnsi"/>
          <w:b/>
          <w:bCs/>
          <w:sz w:val="18"/>
          <w:szCs w:val="18"/>
        </w:rPr>
      </w:pPr>
      <w:r w:rsidRPr="00091E95">
        <w:rPr>
          <w:rFonts w:ascii="Titillium" w:hAnsi="Titillium" w:cstheme="minorHAnsi"/>
          <w:b/>
          <w:bCs/>
          <w:sz w:val="18"/>
          <w:szCs w:val="18"/>
        </w:rPr>
        <w:t xml:space="preserve">Iscrizione </w:t>
      </w:r>
      <w:r w:rsidR="0098062C" w:rsidRPr="00091E95">
        <w:rPr>
          <w:rFonts w:ascii="Titillium" w:hAnsi="Titillium" w:cstheme="minorHAnsi"/>
          <w:b/>
          <w:bCs/>
          <w:sz w:val="18"/>
          <w:szCs w:val="18"/>
        </w:rPr>
        <w:t xml:space="preserve">nell’elenco dei tecnici competenti in acustica presso il Ministero </w:t>
      </w:r>
      <w:r w:rsidR="0098062C" w:rsidRPr="007C4214">
        <w:rPr>
          <w:rFonts w:ascii="Titillium" w:hAnsi="Titillium" w:cstheme="minorHAnsi"/>
          <w:b/>
          <w:bCs/>
          <w:sz w:val="18"/>
          <w:szCs w:val="18"/>
        </w:rPr>
        <w:t xml:space="preserve">dell'ambiente e della </w:t>
      </w:r>
      <w:r w:rsidR="000C71DE" w:rsidRPr="007C4214">
        <w:rPr>
          <w:rFonts w:ascii="Titillium" w:hAnsi="Titillium" w:cstheme="minorHAnsi"/>
          <w:b/>
          <w:bCs/>
          <w:sz w:val="18"/>
          <w:szCs w:val="18"/>
        </w:rPr>
        <w:t>sicurezza energetica</w:t>
      </w:r>
      <w:r w:rsidR="0098062C" w:rsidRPr="007C4214">
        <w:rPr>
          <w:rFonts w:ascii="Titillium" w:hAnsi="Titillium" w:cstheme="minorHAnsi"/>
          <w:b/>
          <w:bCs/>
          <w:sz w:val="18"/>
          <w:szCs w:val="18"/>
        </w:rPr>
        <w:t>, ai sensi dell'articolo 2, comma 7, della legge n. 447 del 1995 e degli articoli 21 e 22 del decreto legislativo 17</w:t>
      </w:r>
      <w:r w:rsidR="00422D86" w:rsidRPr="007C4214">
        <w:rPr>
          <w:rFonts w:ascii="Titillium" w:hAnsi="Titillium" w:cstheme="minorHAnsi"/>
          <w:b/>
          <w:bCs/>
          <w:sz w:val="18"/>
          <w:szCs w:val="18"/>
        </w:rPr>
        <w:t xml:space="preserve"> </w:t>
      </w:r>
      <w:r w:rsidR="0098062C" w:rsidRPr="007C4214">
        <w:rPr>
          <w:rFonts w:ascii="Titillium" w:hAnsi="Titillium" w:cstheme="minorHAnsi"/>
          <w:b/>
          <w:bCs/>
          <w:sz w:val="18"/>
          <w:szCs w:val="18"/>
        </w:rPr>
        <w:t>febbraio 2017, n. 42.</w:t>
      </w:r>
    </w:p>
    <w:p w14:paraId="2F26B4EA" w14:textId="0DC569DB" w:rsidR="0098062C" w:rsidRPr="007C4214" w:rsidRDefault="0098062C" w:rsidP="0098062C">
      <w:pPr>
        <w:rPr>
          <w:rFonts w:ascii="Titillium" w:hAnsi="Titillium" w:cstheme="minorHAnsi"/>
          <w:sz w:val="18"/>
          <w:szCs w:val="18"/>
        </w:rPr>
      </w:pPr>
      <w:r w:rsidRPr="007C4214">
        <w:rPr>
          <w:rFonts w:ascii="Titillium" w:hAnsi="Titillium" w:cstheme="minorHAnsi"/>
          <w:sz w:val="18"/>
          <w:szCs w:val="18"/>
        </w:rPr>
        <w:t>Il concorrente indica</w:t>
      </w:r>
      <w:r w:rsidR="00F9533E" w:rsidRPr="007C4214">
        <w:t xml:space="preserve"> </w:t>
      </w:r>
      <w:r w:rsidR="00F9533E" w:rsidRPr="007C4214">
        <w:rPr>
          <w:rFonts w:ascii="Titillium" w:hAnsi="Titillium" w:cstheme="minorHAnsi"/>
          <w:sz w:val="18"/>
          <w:szCs w:val="18"/>
        </w:rPr>
        <w:t>nella domanda di partecipazione di cui al successivo p</w:t>
      </w:r>
      <w:r w:rsidR="00254CE8">
        <w:rPr>
          <w:rFonts w:ascii="Titillium" w:hAnsi="Titillium" w:cstheme="minorHAnsi"/>
          <w:sz w:val="18"/>
          <w:szCs w:val="18"/>
        </w:rPr>
        <w:t xml:space="preserve">aragrafo </w:t>
      </w:r>
      <w:r w:rsidR="00841093">
        <w:rPr>
          <w:rFonts w:ascii="Titillium" w:hAnsi="Titillium" w:cstheme="minorHAnsi"/>
          <w:sz w:val="18"/>
          <w:szCs w:val="18"/>
        </w:rPr>
        <w:t>1</w:t>
      </w:r>
      <w:r w:rsidR="00B14B6C" w:rsidRPr="007C4214">
        <w:rPr>
          <w:rFonts w:ascii="Titillium" w:hAnsi="Titillium" w:cstheme="minorHAnsi"/>
          <w:sz w:val="18"/>
          <w:szCs w:val="18"/>
        </w:rPr>
        <w:t>5</w:t>
      </w:r>
      <w:r w:rsidR="00675A63" w:rsidRPr="007C4214">
        <w:rPr>
          <w:rFonts w:ascii="Titillium" w:hAnsi="Titillium" w:cstheme="minorHAnsi"/>
          <w:sz w:val="18"/>
          <w:szCs w:val="18"/>
        </w:rPr>
        <w:t xml:space="preserve">.1 </w:t>
      </w:r>
      <w:r w:rsidRPr="007C4214">
        <w:rPr>
          <w:rFonts w:ascii="Titillium" w:hAnsi="Titillium" w:cstheme="minorHAnsi"/>
          <w:sz w:val="18"/>
          <w:szCs w:val="18"/>
        </w:rPr>
        <w:t>il nominativo del professionista e gli estremi</w:t>
      </w:r>
      <w:r w:rsidR="00422D86" w:rsidRPr="007C4214">
        <w:rPr>
          <w:rFonts w:ascii="Titillium" w:hAnsi="Titillium" w:cstheme="minorHAnsi"/>
          <w:sz w:val="18"/>
          <w:szCs w:val="18"/>
        </w:rPr>
        <w:t xml:space="preserve"> </w:t>
      </w:r>
      <w:r w:rsidRPr="007C4214">
        <w:rPr>
          <w:rFonts w:ascii="Titillium" w:hAnsi="Titillium" w:cstheme="minorHAnsi"/>
          <w:sz w:val="18"/>
          <w:szCs w:val="18"/>
        </w:rPr>
        <w:t>dell’iscrizione all’elen</w:t>
      </w:r>
      <w:r w:rsidR="00DE0A2A" w:rsidRPr="007C4214">
        <w:rPr>
          <w:rFonts w:ascii="Titillium" w:hAnsi="Titillium" w:cstheme="minorHAnsi"/>
          <w:sz w:val="18"/>
          <w:szCs w:val="18"/>
        </w:rPr>
        <w:t>co</w:t>
      </w:r>
      <w:r w:rsidR="00141D52" w:rsidRPr="007C4214">
        <w:rPr>
          <w:rFonts w:ascii="Titillium" w:hAnsi="Titillium" w:cstheme="minorHAnsi"/>
          <w:sz w:val="18"/>
          <w:szCs w:val="18"/>
        </w:rPr>
        <w:t>.</w:t>
      </w:r>
    </w:p>
    <w:p w14:paraId="1F8621BC" w14:textId="77777777" w:rsidR="000829DC" w:rsidRPr="007C4214" w:rsidRDefault="000829DC" w:rsidP="0098062C">
      <w:pPr>
        <w:rPr>
          <w:rFonts w:ascii="Titillium" w:hAnsi="Titillium" w:cstheme="minorHAnsi"/>
          <w:b/>
          <w:bCs/>
          <w:sz w:val="18"/>
          <w:szCs w:val="18"/>
        </w:rPr>
      </w:pPr>
      <w:bookmarkStart w:id="1388" w:name="_Hlk166511057"/>
    </w:p>
    <w:p w14:paraId="14EBB5F9" w14:textId="3847F7F0" w:rsidR="00C54246" w:rsidRPr="007C4214" w:rsidRDefault="000829DC" w:rsidP="0098062C">
      <w:pPr>
        <w:rPr>
          <w:rFonts w:ascii="Titillium" w:hAnsi="Titillium" w:cstheme="minorHAnsi"/>
          <w:i/>
          <w:iCs/>
          <w:sz w:val="18"/>
          <w:szCs w:val="18"/>
        </w:rPr>
      </w:pPr>
      <w:r w:rsidRPr="007C4214">
        <w:rPr>
          <w:rFonts w:ascii="Titillium" w:hAnsi="Titillium" w:cstheme="minorHAnsi"/>
          <w:b/>
          <w:bCs/>
          <w:sz w:val="18"/>
          <w:szCs w:val="18"/>
        </w:rPr>
        <w:t>[</w:t>
      </w:r>
      <w:r w:rsidR="00EE2E3B" w:rsidRPr="007A735C">
        <w:rPr>
          <w:rFonts w:ascii="Titillium" w:hAnsi="Titillium" w:cstheme="minorHAnsi"/>
          <w:b/>
          <w:bCs/>
          <w:i/>
          <w:iCs/>
          <w:sz w:val="18"/>
          <w:szCs w:val="18"/>
        </w:rPr>
        <w:t>N</w:t>
      </w:r>
      <w:r w:rsidRPr="007A735C">
        <w:rPr>
          <w:rFonts w:ascii="Titillium" w:hAnsi="Titillium" w:cstheme="minorHAnsi"/>
          <w:b/>
          <w:bCs/>
          <w:i/>
          <w:iCs/>
          <w:sz w:val="18"/>
          <w:szCs w:val="18"/>
        </w:rPr>
        <w:t xml:space="preserve">el caso sia richiesta </w:t>
      </w:r>
      <w:r w:rsidR="002D5733" w:rsidRPr="007A735C">
        <w:rPr>
          <w:rFonts w:ascii="Titillium" w:hAnsi="Titillium" w:cstheme="minorHAnsi"/>
          <w:b/>
          <w:bCs/>
          <w:i/>
          <w:iCs/>
          <w:sz w:val="18"/>
          <w:szCs w:val="18"/>
        </w:rPr>
        <w:t>l’adozione</w:t>
      </w:r>
      <w:r w:rsidRPr="007A735C">
        <w:rPr>
          <w:rFonts w:ascii="Titillium" w:hAnsi="Titillium" w:cstheme="minorHAnsi"/>
          <w:b/>
          <w:bCs/>
          <w:i/>
          <w:iCs/>
          <w:sz w:val="18"/>
          <w:szCs w:val="18"/>
        </w:rPr>
        <w:t xml:space="preserve"> </w:t>
      </w:r>
      <w:r w:rsidR="00C54246" w:rsidRPr="007A735C">
        <w:rPr>
          <w:rFonts w:ascii="Titillium" w:hAnsi="Titillium" w:cstheme="minorHAnsi"/>
          <w:b/>
          <w:bCs/>
          <w:i/>
          <w:iCs/>
          <w:sz w:val="18"/>
          <w:szCs w:val="18"/>
        </w:rPr>
        <w:t>di metodi e strumenti di gestione informativa digitale delle costruzioni</w:t>
      </w:r>
      <w:r w:rsidR="00647AB8" w:rsidRPr="007C4214">
        <w:rPr>
          <w:rFonts w:ascii="Titillium" w:hAnsi="Titillium" w:cstheme="minorHAnsi"/>
          <w:b/>
          <w:bCs/>
          <w:sz w:val="18"/>
          <w:szCs w:val="18"/>
        </w:rPr>
        <w:t xml:space="preserve">] </w:t>
      </w:r>
      <w:r w:rsidR="00647AB8" w:rsidRPr="007C4214">
        <w:rPr>
          <w:rFonts w:ascii="Titillium" w:hAnsi="Titillium" w:cstheme="minorHAnsi"/>
          <w:i/>
          <w:iCs/>
          <w:sz w:val="18"/>
          <w:szCs w:val="18"/>
        </w:rPr>
        <w:t xml:space="preserve"> </w:t>
      </w:r>
    </w:p>
    <w:p w14:paraId="65F14CD8" w14:textId="77777777" w:rsidR="008B5C42" w:rsidRPr="007C4214" w:rsidRDefault="008B5C42" w:rsidP="0098062C">
      <w:pPr>
        <w:rPr>
          <w:rFonts w:ascii="Titillium" w:hAnsi="Titillium" w:cstheme="minorHAnsi"/>
          <w:i/>
          <w:iCs/>
          <w:sz w:val="18"/>
          <w:szCs w:val="18"/>
        </w:rPr>
      </w:pPr>
    </w:p>
    <w:tbl>
      <w:tblPr>
        <w:tblStyle w:val="Grigliatabella"/>
        <w:tblW w:w="0" w:type="auto"/>
        <w:tblLook w:val="04A0" w:firstRow="1" w:lastRow="0" w:firstColumn="1" w:lastColumn="0" w:noHBand="0" w:noVBand="1"/>
      </w:tblPr>
      <w:tblGrid>
        <w:gridCol w:w="9214"/>
      </w:tblGrid>
      <w:tr w:rsidR="008B5C42" w14:paraId="63979C11" w14:textId="77777777" w:rsidTr="008B5C42">
        <w:tc>
          <w:tcPr>
            <w:tcW w:w="9214" w:type="dxa"/>
          </w:tcPr>
          <w:p w14:paraId="6E80F082" w14:textId="09B95DEE" w:rsidR="008B5C42" w:rsidRDefault="008B5C42" w:rsidP="0098062C">
            <w:pPr>
              <w:rPr>
                <w:rFonts w:ascii="Titillium" w:hAnsi="Titillium" w:cstheme="minorHAnsi"/>
                <w:i/>
                <w:iCs/>
                <w:sz w:val="18"/>
                <w:szCs w:val="18"/>
              </w:rPr>
            </w:pPr>
            <w:r w:rsidRPr="007C4214">
              <w:rPr>
                <w:rFonts w:ascii="Titillium" w:hAnsi="Titillium" w:cstheme="minorHAnsi"/>
                <w:i/>
                <w:iCs/>
                <w:sz w:val="18"/>
                <w:szCs w:val="18"/>
              </w:rPr>
              <w:t>N.B. Si richiamano di seguito le quattro figure professionali attualmente previste dalla norma UNI 11337-</w:t>
            </w:r>
            <w:r w:rsidR="00BA66BE" w:rsidRPr="007C4214">
              <w:rPr>
                <w:rFonts w:ascii="Titillium" w:hAnsi="Titillium" w:cstheme="minorHAnsi"/>
                <w:i/>
                <w:iCs/>
                <w:sz w:val="18"/>
                <w:szCs w:val="18"/>
              </w:rPr>
              <w:t>7 da</w:t>
            </w:r>
            <w:r w:rsidRPr="007C4214">
              <w:rPr>
                <w:rFonts w:ascii="Titillium" w:hAnsi="Titillium" w:cstheme="minorHAnsi"/>
                <w:i/>
                <w:iCs/>
                <w:sz w:val="18"/>
                <w:szCs w:val="18"/>
              </w:rPr>
              <w:t xml:space="preserve"> intendersi suscettibili di integrazione nel caso di successiva previsione di ulteriori figure.</w:t>
            </w:r>
            <w:r>
              <w:rPr>
                <w:rFonts w:ascii="Titillium" w:hAnsi="Titillium" w:cstheme="minorHAnsi"/>
                <w:i/>
                <w:iCs/>
                <w:sz w:val="18"/>
                <w:szCs w:val="18"/>
              </w:rPr>
              <w:t xml:space="preserve"> </w:t>
            </w:r>
          </w:p>
        </w:tc>
      </w:tr>
    </w:tbl>
    <w:p w14:paraId="2571BAF3" w14:textId="77777777" w:rsidR="008B5C42" w:rsidRPr="00DE60B0" w:rsidRDefault="008B5C42" w:rsidP="0098062C">
      <w:pPr>
        <w:rPr>
          <w:rFonts w:ascii="Titillium" w:hAnsi="Titillium" w:cstheme="minorHAnsi"/>
          <w:i/>
          <w:iCs/>
          <w:sz w:val="18"/>
          <w:szCs w:val="18"/>
        </w:rPr>
      </w:pPr>
    </w:p>
    <w:p w14:paraId="7AF73BA9" w14:textId="7F96600B" w:rsidR="0098062C" w:rsidRPr="000B0E59" w:rsidRDefault="0098062C" w:rsidP="0098062C">
      <w:pPr>
        <w:rPr>
          <w:rFonts w:ascii="Titillium" w:hAnsi="Titillium" w:cstheme="minorHAnsi"/>
          <w:b/>
          <w:bCs/>
          <w:i/>
          <w:iCs/>
          <w:sz w:val="18"/>
          <w:szCs w:val="18"/>
        </w:rPr>
      </w:pPr>
      <w:r w:rsidRPr="007A735C">
        <w:rPr>
          <w:rFonts w:ascii="Titillium" w:hAnsi="Titillium" w:cstheme="minorHAnsi"/>
          <w:b/>
          <w:bCs/>
          <w:sz w:val="18"/>
          <w:szCs w:val="18"/>
        </w:rPr>
        <w:t xml:space="preserve">Per </w:t>
      </w:r>
      <w:r w:rsidR="00A72284" w:rsidRPr="000B0E59">
        <w:rPr>
          <w:rFonts w:ascii="Titillium" w:hAnsi="Titillium" w:cstheme="minorHAnsi"/>
          <w:b/>
          <w:bCs/>
          <w:sz w:val="18"/>
          <w:szCs w:val="18"/>
        </w:rPr>
        <w:t xml:space="preserve">il </w:t>
      </w:r>
      <w:r w:rsidR="0061786C" w:rsidRPr="000B0E59">
        <w:rPr>
          <w:rFonts w:ascii="Titillium" w:hAnsi="Titillium" w:cstheme="minorHAnsi"/>
          <w:b/>
          <w:bCs/>
          <w:sz w:val="18"/>
          <w:szCs w:val="18"/>
        </w:rPr>
        <w:t xml:space="preserve">Gestore dei processi digitali </w:t>
      </w:r>
      <w:r w:rsidR="00C01E6E" w:rsidRPr="000B0E59">
        <w:rPr>
          <w:rFonts w:ascii="Titillium" w:hAnsi="Titillium" w:cstheme="minorHAnsi"/>
          <w:b/>
          <w:bCs/>
          <w:sz w:val="18"/>
          <w:szCs w:val="18"/>
        </w:rPr>
        <w:t xml:space="preserve">(cd </w:t>
      </w:r>
      <w:r w:rsidRPr="000B0E59">
        <w:rPr>
          <w:rFonts w:ascii="Titillium" w:hAnsi="Titillium" w:cstheme="minorHAnsi"/>
          <w:b/>
          <w:bCs/>
          <w:sz w:val="18"/>
          <w:szCs w:val="18"/>
        </w:rPr>
        <w:t>BIM Manager</w:t>
      </w:r>
      <w:r w:rsidR="00C01E6E" w:rsidRPr="000B0E59">
        <w:rPr>
          <w:rFonts w:ascii="Titillium" w:hAnsi="Titillium" w:cstheme="minorHAnsi"/>
          <w:b/>
          <w:bCs/>
          <w:sz w:val="18"/>
          <w:szCs w:val="18"/>
        </w:rPr>
        <w:t>)</w:t>
      </w:r>
    </w:p>
    <w:p w14:paraId="430C7AB5" w14:textId="6559EDE1" w:rsidR="00ED7221" w:rsidRPr="007A735C" w:rsidRDefault="00091E95" w:rsidP="00D26F03">
      <w:pPr>
        <w:pStyle w:val="Paragrafoelenco"/>
        <w:widowControl w:val="0"/>
        <w:numPr>
          <w:ilvl w:val="0"/>
          <w:numId w:val="26"/>
        </w:numPr>
        <w:spacing w:line="240" w:lineRule="auto"/>
        <w:rPr>
          <w:rFonts w:ascii="Titillium" w:hAnsi="Titillium" w:cstheme="minorHAnsi"/>
          <w:i/>
          <w:iCs/>
          <w:sz w:val="18"/>
          <w:szCs w:val="18"/>
        </w:rPr>
      </w:pPr>
      <w:r w:rsidRPr="007A735C">
        <w:rPr>
          <w:rFonts w:ascii="Titillium" w:hAnsi="Titillium" w:cstheme="minorHAnsi"/>
          <w:b/>
          <w:bCs/>
          <w:sz w:val="18"/>
          <w:szCs w:val="18"/>
        </w:rPr>
        <w:t xml:space="preserve">Pregressa </w:t>
      </w:r>
      <w:r w:rsidR="00C248E0" w:rsidRPr="007A735C">
        <w:rPr>
          <w:rFonts w:ascii="Titillium" w:hAnsi="Titillium" w:cstheme="minorHAnsi"/>
          <w:b/>
          <w:bCs/>
          <w:sz w:val="18"/>
          <w:szCs w:val="18"/>
        </w:rPr>
        <w:t xml:space="preserve">esperienza documentabile di almeno </w:t>
      </w:r>
      <w:r w:rsidR="00C75931" w:rsidRPr="007A735C">
        <w:rPr>
          <w:rFonts w:ascii="Titillium" w:hAnsi="Titillium" w:cstheme="minorHAnsi"/>
          <w:b/>
          <w:bCs/>
          <w:sz w:val="18"/>
          <w:szCs w:val="18"/>
        </w:rPr>
        <w:t xml:space="preserve">… </w:t>
      </w:r>
      <w:r w:rsidR="003610F2" w:rsidRPr="007A735C">
        <w:rPr>
          <w:rFonts w:ascii="Titillium" w:hAnsi="Titillium" w:cstheme="minorHAnsi"/>
          <w:i/>
          <w:iCs/>
          <w:sz w:val="18"/>
          <w:szCs w:val="18"/>
        </w:rPr>
        <w:t>[indicare l’esperienza ritenuta adeguata in relazione alla progettazione da affidare]</w:t>
      </w:r>
      <w:r w:rsidR="003610F2" w:rsidRPr="007A735C">
        <w:rPr>
          <w:rFonts w:ascii="Titillium" w:hAnsi="Titillium" w:cstheme="minorHAnsi"/>
          <w:b/>
          <w:bCs/>
          <w:i/>
          <w:iCs/>
          <w:sz w:val="18"/>
          <w:szCs w:val="18"/>
        </w:rPr>
        <w:t xml:space="preserve"> </w:t>
      </w:r>
      <w:r w:rsidR="002D5733" w:rsidRPr="007A735C">
        <w:rPr>
          <w:rFonts w:ascii="Titillium" w:hAnsi="Titillium" w:cstheme="minorHAnsi"/>
          <w:b/>
          <w:bCs/>
          <w:sz w:val="18"/>
          <w:szCs w:val="18"/>
        </w:rPr>
        <w:t>o</w:t>
      </w:r>
      <w:r w:rsidR="00ED7221" w:rsidRPr="007A735C">
        <w:rPr>
          <w:rFonts w:ascii="Titillium" w:hAnsi="Titillium" w:cstheme="minorHAnsi"/>
          <w:b/>
          <w:bCs/>
          <w:sz w:val="18"/>
          <w:szCs w:val="18"/>
        </w:rPr>
        <w:t xml:space="preserve"> riferibile ad un importo dei lavor</w:t>
      </w:r>
      <w:r w:rsidR="001A1322" w:rsidRPr="007A735C">
        <w:rPr>
          <w:rFonts w:ascii="Titillium" w:hAnsi="Titillium" w:cstheme="minorHAnsi"/>
          <w:b/>
          <w:bCs/>
          <w:sz w:val="18"/>
          <w:szCs w:val="18"/>
        </w:rPr>
        <w:t>i</w:t>
      </w:r>
      <w:r w:rsidR="00ED7221" w:rsidRPr="007A735C">
        <w:rPr>
          <w:rFonts w:ascii="Titillium" w:hAnsi="Titillium" w:cstheme="minorHAnsi"/>
          <w:b/>
          <w:bCs/>
          <w:sz w:val="18"/>
          <w:szCs w:val="18"/>
        </w:rPr>
        <w:t xml:space="preserve"> pari a quello cui si riferisce la progettazione da affidare</w:t>
      </w:r>
      <w:r w:rsidR="00EE2E3B" w:rsidRPr="007A735C">
        <w:rPr>
          <w:rFonts w:ascii="Titillium" w:hAnsi="Titillium" w:cstheme="minorHAnsi"/>
          <w:b/>
          <w:bCs/>
          <w:sz w:val="18"/>
          <w:szCs w:val="18"/>
        </w:rPr>
        <w:t>, ossia</w:t>
      </w:r>
      <w:r w:rsidR="00EE2E3B" w:rsidRPr="007A735C">
        <w:rPr>
          <w:rFonts w:ascii="Titillium" w:hAnsi="Titillium" w:cstheme="minorHAnsi"/>
          <w:sz w:val="18"/>
          <w:szCs w:val="18"/>
        </w:rPr>
        <w:t>…</w:t>
      </w:r>
      <w:r w:rsidR="00EE2E3B" w:rsidRPr="007A735C">
        <w:rPr>
          <w:rFonts w:ascii="Titillium" w:hAnsi="Titillium" w:cstheme="minorHAnsi"/>
          <w:b/>
          <w:bCs/>
          <w:sz w:val="18"/>
          <w:szCs w:val="18"/>
        </w:rPr>
        <w:t xml:space="preserve"> </w:t>
      </w:r>
      <w:r w:rsidR="00EE2E3B" w:rsidRPr="007A735C">
        <w:rPr>
          <w:rFonts w:ascii="Titillium" w:hAnsi="Titillium" w:cstheme="minorHAnsi"/>
          <w:i/>
          <w:iCs/>
          <w:sz w:val="18"/>
          <w:szCs w:val="18"/>
        </w:rPr>
        <w:t>[specificare];</w:t>
      </w:r>
      <w:r w:rsidR="00ED7221" w:rsidRPr="007A735C">
        <w:rPr>
          <w:rFonts w:ascii="Titillium" w:hAnsi="Titillium" w:cstheme="minorHAnsi"/>
          <w:i/>
          <w:iCs/>
          <w:sz w:val="18"/>
          <w:szCs w:val="18"/>
        </w:rPr>
        <w:t xml:space="preserve"> </w:t>
      </w:r>
    </w:p>
    <w:p w14:paraId="4F2BD9BF" w14:textId="6744F5B3" w:rsidR="0098062C" w:rsidRPr="000B0E59" w:rsidRDefault="0098062C" w:rsidP="0098062C">
      <w:pPr>
        <w:rPr>
          <w:rFonts w:ascii="Titillium" w:hAnsi="Titillium" w:cstheme="minorHAnsi"/>
          <w:sz w:val="18"/>
          <w:szCs w:val="18"/>
        </w:rPr>
      </w:pPr>
      <w:r w:rsidRPr="000B0E59">
        <w:rPr>
          <w:rFonts w:ascii="Titillium" w:hAnsi="Titillium" w:cstheme="minorHAnsi"/>
          <w:sz w:val="18"/>
          <w:szCs w:val="18"/>
        </w:rPr>
        <w:t xml:space="preserve">Il concorrente indica </w:t>
      </w:r>
      <w:r w:rsidR="003610F2" w:rsidRPr="000B0E59">
        <w:rPr>
          <w:rFonts w:ascii="Titillium" w:hAnsi="Titillium" w:cstheme="minorHAnsi"/>
          <w:sz w:val="18"/>
          <w:szCs w:val="18"/>
        </w:rPr>
        <w:t>nella domanda di partecipazione di cui al successivo p</w:t>
      </w:r>
      <w:r w:rsidR="00743BE0">
        <w:rPr>
          <w:rFonts w:ascii="Titillium" w:hAnsi="Titillium" w:cstheme="minorHAnsi"/>
          <w:sz w:val="18"/>
          <w:szCs w:val="18"/>
        </w:rPr>
        <w:t>aragrafo</w:t>
      </w:r>
      <w:r w:rsidR="003610F2" w:rsidRPr="000B0E59">
        <w:rPr>
          <w:rFonts w:ascii="Titillium" w:hAnsi="Titillium" w:cstheme="minorHAnsi"/>
          <w:sz w:val="18"/>
          <w:szCs w:val="18"/>
        </w:rPr>
        <w:t xml:space="preserve"> 1</w:t>
      </w:r>
      <w:r w:rsidR="002B4729" w:rsidRPr="000B0E59">
        <w:rPr>
          <w:rFonts w:ascii="Titillium" w:hAnsi="Titillium" w:cstheme="minorHAnsi"/>
          <w:sz w:val="18"/>
          <w:szCs w:val="18"/>
        </w:rPr>
        <w:t>5</w:t>
      </w:r>
      <w:r w:rsidR="003610F2" w:rsidRPr="000B0E59">
        <w:rPr>
          <w:rFonts w:ascii="Titillium" w:hAnsi="Titillium" w:cstheme="minorHAnsi"/>
          <w:sz w:val="18"/>
          <w:szCs w:val="18"/>
        </w:rPr>
        <w:t xml:space="preserve">.1 </w:t>
      </w:r>
      <w:r w:rsidRPr="000B0E59">
        <w:rPr>
          <w:rFonts w:ascii="Titillium" w:hAnsi="Titillium" w:cstheme="minorHAnsi"/>
          <w:sz w:val="18"/>
          <w:szCs w:val="18"/>
        </w:rPr>
        <w:t>il nominativo del professionista ed i dati relativi al</w:t>
      </w:r>
      <w:r w:rsidR="00BC66F0" w:rsidRPr="000B0E59">
        <w:rPr>
          <w:rFonts w:ascii="Titillium" w:hAnsi="Titillium" w:cstheme="minorHAnsi"/>
          <w:sz w:val="18"/>
          <w:szCs w:val="18"/>
        </w:rPr>
        <w:t xml:space="preserve"> </w:t>
      </w:r>
      <w:r w:rsidRPr="000B0E59">
        <w:rPr>
          <w:rFonts w:ascii="Titillium" w:hAnsi="Titillium" w:cstheme="minorHAnsi"/>
          <w:sz w:val="18"/>
          <w:szCs w:val="18"/>
        </w:rPr>
        <w:t>possesso in capo al medesimo dei requisiti suddetti.</w:t>
      </w:r>
    </w:p>
    <w:p w14:paraId="1AD9A302" w14:textId="77777777" w:rsidR="007D5322" w:rsidRPr="000B0E59" w:rsidRDefault="007D5322" w:rsidP="0098062C">
      <w:pPr>
        <w:rPr>
          <w:rFonts w:ascii="Titillium" w:hAnsi="Titillium" w:cstheme="minorHAnsi"/>
          <w:sz w:val="18"/>
          <w:szCs w:val="18"/>
        </w:rPr>
      </w:pPr>
    </w:p>
    <w:p w14:paraId="604D520C" w14:textId="05E2E278" w:rsidR="0098062C" w:rsidRPr="000B0E59" w:rsidRDefault="0098062C" w:rsidP="0098062C">
      <w:pPr>
        <w:rPr>
          <w:rFonts w:ascii="Titillium" w:hAnsi="Titillium" w:cstheme="minorHAnsi"/>
          <w:b/>
          <w:bCs/>
          <w:sz w:val="18"/>
          <w:szCs w:val="18"/>
        </w:rPr>
      </w:pPr>
      <w:bookmarkStart w:id="1389" w:name="_Hlk224816186"/>
      <w:r w:rsidRPr="000B0E59">
        <w:rPr>
          <w:rFonts w:ascii="Titillium" w:hAnsi="Titillium" w:cstheme="minorHAnsi"/>
          <w:b/>
          <w:bCs/>
          <w:sz w:val="18"/>
          <w:szCs w:val="18"/>
        </w:rPr>
        <w:t>Per</w:t>
      </w:r>
      <w:r w:rsidR="00A72284" w:rsidRPr="000B0E59">
        <w:rPr>
          <w:rFonts w:ascii="Titillium" w:hAnsi="Titillium" w:cstheme="minorHAnsi"/>
          <w:b/>
          <w:bCs/>
          <w:sz w:val="18"/>
          <w:szCs w:val="18"/>
        </w:rPr>
        <w:t xml:space="preserve"> il</w:t>
      </w:r>
      <w:r w:rsidR="00CB1D44" w:rsidRPr="000B0E59">
        <w:rPr>
          <w:rFonts w:ascii="Titillium" w:hAnsi="Titillium" w:cstheme="minorHAnsi"/>
          <w:b/>
          <w:bCs/>
          <w:sz w:val="18"/>
          <w:szCs w:val="18"/>
        </w:rPr>
        <w:t xml:space="preserve"> </w:t>
      </w:r>
      <w:r w:rsidR="00FC0BA9" w:rsidRPr="000B0E59">
        <w:rPr>
          <w:rFonts w:ascii="Titillium" w:hAnsi="Titillium" w:cstheme="minorHAnsi"/>
          <w:b/>
          <w:bCs/>
          <w:sz w:val="18"/>
          <w:szCs w:val="18"/>
        </w:rPr>
        <w:t xml:space="preserve">Coordinatore dei flussi informativi </w:t>
      </w:r>
      <w:r w:rsidR="00C01E6E" w:rsidRPr="000B0E59">
        <w:rPr>
          <w:rFonts w:ascii="Titillium" w:hAnsi="Titillium" w:cstheme="minorHAnsi"/>
          <w:b/>
          <w:bCs/>
          <w:sz w:val="18"/>
          <w:szCs w:val="18"/>
        </w:rPr>
        <w:t xml:space="preserve">(cd </w:t>
      </w:r>
      <w:r w:rsidRPr="000B0E59">
        <w:rPr>
          <w:rFonts w:ascii="Titillium" w:hAnsi="Titillium" w:cstheme="minorHAnsi"/>
          <w:b/>
          <w:bCs/>
          <w:sz w:val="18"/>
          <w:szCs w:val="18"/>
        </w:rPr>
        <w:t>BIM Coordinator</w:t>
      </w:r>
      <w:r w:rsidR="00C01E6E" w:rsidRPr="000B0E59">
        <w:rPr>
          <w:rFonts w:ascii="Titillium" w:hAnsi="Titillium" w:cstheme="minorHAnsi"/>
          <w:b/>
          <w:bCs/>
          <w:sz w:val="18"/>
          <w:szCs w:val="18"/>
        </w:rPr>
        <w:t>)</w:t>
      </w:r>
    </w:p>
    <w:p w14:paraId="34DD44E0" w14:textId="2D8B0CA9" w:rsidR="00C96DB4" w:rsidRPr="000B0E59" w:rsidRDefault="00091E95" w:rsidP="00D26F03">
      <w:pPr>
        <w:widowControl w:val="0"/>
        <w:numPr>
          <w:ilvl w:val="0"/>
          <w:numId w:val="26"/>
        </w:numPr>
        <w:spacing w:line="240" w:lineRule="auto"/>
        <w:rPr>
          <w:rFonts w:ascii="Titillium" w:hAnsi="Titillium" w:cstheme="minorHAnsi"/>
          <w:b/>
          <w:bCs/>
          <w:sz w:val="18"/>
          <w:szCs w:val="18"/>
        </w:rPr>
      </w:pPr>
      <w:r w:rsidRPr="000B0E59">
        <w:rPr>
          <w:rFonts w:ascii="Titillium" w:hAnsi="Titillium" w:cstheme="minorHAnsi"/>
          <w:b/>
          <w:bCs/>
          <w:sz w:val="18"/>
          <w:szCs w:val="18"/>
        </w:rPr>
        <w:t xml:space="preserve">Pregressa </w:t>
      </w:r>
      <w:r w:rsidR="00ED7221" w:rsidRPr="000B0E59">
        <w:rPr>
          <w:rFonts w:ascii="Titillium" w:hAnsi="Titillium" w:cstheme="minorHAnsi"/>
          <w:b/>
          <w:bCs/>
          <w:sz w:val="18"/>
          <w:szCs w:val="18"/>
        </w:rPr>
        <w:t xml:space="preserve">esperienza documentabile di almeno </w:t>
      </w:r>
      <w:r w:rsidR="00C75931" w:rsidRPr="000B0E59">
        <w:rPr>
          <w:rFonts w:ascii="Titillium" w:hAnsi="Titillium" w:cstheme="minorHAnsi"/>
          <w:b/>
          <w:bCs/>
          <w:sz w:val="18"/>
          <w:szCs w:val="18"/>
        </w:rPr>
        <w:t>…</w:t>
      </w:r>
      <w:r w:rsidR="00ED7221" w:rsidRPr="000B0E59">
        <w:rPr>
          <w:rFonts w:ascii="Titillium" w:hAnsi="Titillium" w:cstheme="minorHAnsi"/>
          <w:b/>
          <w:bCs/>
          <w:sz w:val="18"/>
          <w:szCs w:val="18"/>
        </w:rPr>
        <w:t xml:space="preserve"> </w:t>
      </w:r>
      <w:r w:rsidR="00C96DB4" w:rsidRPr="000B0E59">
        <w:rPr>
          <w:rFonts w:ascii="Titillium" w:hAnsi="Titillium" w:cstheme="minorHAnsi"/>
          <w:b/>
          <w:bCs/>
          <w:sz w:val="18"/>
          <w:szCs w:val="18"/>
        </w:rPr>
        <w:t xml:space="preserve"> </w:t>
      </w:r>
      <w:r w:rsidR="003610F2" w:rsidRPr="000B0E59">
        <w:rPr>
          <w:rFonts w:ascii="Titillium" w:hAnsi="Titillium" w:cstheme="minorHAnsi"/>
          <w:i/>
          <w:iCs/>
          <w:sz w:val="18"/>
          <w:szCs w:val="18"/>
        </w:rPr>
        <w:t>[indicare l’esperienza ritenuta adeguata in relazione alla progettazione da affidare]</w:t>
      </w:r>
      <w:r w:rsidR="003610F2" w:rsidRPr="000B0E59">
        <w:rPr>
          <w:rFonts w:ascii="Titillium" w:hAnsi="Titillium" w:cstheme="minorHAnsi"/>
          <w:sz w:val="18"/>
          <w:szCs w:val="18"/>
        </w:rPr>
        <w:t xml:space="preserve"> </w:t>
      </w:r>
      <w:r w:rsidR="00C96DB4" w:rsidRPr="000B0E59">
        <w:rPr>
          <w:rFonts w:ascii="Titillium" w:hAnsi="Titillium" w:cstheme="minorHAnsi"/>
          <w:b/>
          <w:bCs/>
          <w:sz w:val="18"/>
          <w:szCs w:val="18"/>
        </w:rPr>
        <w:t>o riferibile ad un importo dei lavor</w:t>
      </w:r>
      <w:r w:rsidR="001A1322" w:rsidRPr="000B0E59">
        <w:rPr>
          <w:rFonts w:ascii="Titillium" w:hAnsi="Titillium" w:cstheme="minorHAnsi"/>
          <w:b/>
          <w:bCs/>
          <w:sz w:val="18"/>
          <w:szCs w:val="18"/>
        </w:rPr>
        <w:t>i</w:t>
      </w:r>
      <w:r w:rsidR="00C96DB4" w:rsidRPr="000B0E59">
        <w:rPr>
          <w:rFonts w:ascii="Titillium" w:hAnsi="Titillium" w:cstheme="minorHAnsi"/>
          <w:b/>
          <w:bCs/>
          <w:sz w:val="18"/>
          <w:szCs w:val="18"/>
        </w:rPr>
        <w:t xml:space="preserve"> pari a quello cui si riferisce la progettazione da affidare</w:t>
      </w:r>
      <w:r w:rsidR="00EE2E3B" w:rsidRPr="000B0E59">
        <w:t xml:space="preserve"> </w:t>
      </w:r>
      <w:r w:rsidR="00EE2E3B" w:rsidRPr="000B0E59">
        <w:rPr>
          <w:rFonts w:ascii="Titillium" w:hAnsi="Titillium" w:cstheme="minorHAnsi"/>
          <w:b/>
          <w:bCs/>
          <w:i/>
          <w:iCs/>
          <w:sz w:val="18"/>
          <w:szCs w:val="18"/>
        </w:rPr>
        <w:t>ossia…</w:t>
      </w:r>
      <w:r w:rsidR="00EE2E3B" w:rsidRPr="000B0E59">
        <w:rPr>
          <w:rFonts w:ascii="Titillium" w:hAnsi="Titillium" w:cstheme="minorHAnsi"/>
          <w:b/>
          <w:bCs/>
          <w:sz w:val="18"/>
          <w:szCs w:val="18"/>
        </w:rPr>
        <w:t xml:space="preserve"> </w:t>
      </w:r>
      <w:r w:rsidR="00EE2E3B" w:rsidRPr="000B0E59">
        <w:rPr>
          <w:rFonts w:ascii="Titillium" w:hAnsi="Titillium" w:cstheme="minorHAnsi"/>
          <w:i/>
          <w:iCs/>
          <w:sz w:val="18"/>
          <w:szCs w:val="18"/>
        </w:rPr>
        <w:t>[specificare]</w:t>
      </w:r>
      <w:r w:rsidR="00C96DB4" w:rsidRPr="000B0E59">
        <w:rPr>
          <w:rFonts w:ascii="Titillium" w:hAnsi="Titillium" w:cstheme="minorHAnsi"/>
          <w:i/>
          <w:iCs/>
          <w:sz w:val="18"/>
          <w:szCs w:val="18"/>
        </w:rPr>
        <w:t>;</w:t>
      </w:r>
      <w:r w:rsidR="00C96DB4" w:rsidRPr="000B0E59">
        <w:rPr>
          <w:rFonts w:ascii="Titillium" w:hAnsi="Titillium" w:cstheme="minorHAnsi"/>
          <w:b/>
          <w:bCs/>
          <w:sz w:val="18"/>
          <w:szCs w:val="18"/>
        </w:rPr>
        <w:t xml:space="preserve"> </w:t>
      </w:r>
    </w:p>
    <w:bookmarkEnd w:id="1389"/>
    <w:p w14:paraId="76CF0D12" w14:textId="44134A0C" w:rsidR="0098062C" w:rsidRPr="000B0E59" w:rsidRDefault="0098062C" w:rsidP="0098062C">
      <w:pPr>
        <w:rPr>
          <w:rFonts w:ascii="Titillium" w:hAnsi="Titillium" w:cstheme="minorHAnsi"/>
          <w:sz w:val="18"/>
          <w:szCs w:val="18"/>
        </w:rPr>
      </w:pPr>
      <w:r w:rsidRPr="000B0E59">
        <w:rPr>
          <w:rFonts w:ascii="Titillium" w:hAnsi="Titillium" w:cstheme="minorHAnsi"/>
          <w:sz w:val="18"/>
          <w:szCs w:val="18"/>
        </w:rPr>
        <w:t>Il concorrente indica</w:t>
      </w:r>
      <w:r w:rsidR="003610F2" w:rsidRPr="000B0E59">
        <w:t xml:space="preserve"> </w:t>
      </w:r>
      <w:r w:rsidR="003610F2" w:rsidRPr="000B0E59">
        <w:rPr>
          <w:rFonts w:ascii="Titillium" w:hAnsi="Titillium" w:cstheme="minorHAnsi"/>
          <w:sz w:val="18"/>
          <w:szCs w:val="18"/>
        </w:rPr>
        <w:t>nella domanda di partecipazione di cui al successivo p</w:t>
      </w:r>
      <w:r w:rsidR="00254CE8">
        <w:rPr>
          <w:rFonts w:ascii="Titillium" w:hAnsi="Titillium" w:cstheme="minorHAnsi"/>
          <w:sz w:val="18"/>
          <w:szCs w:val="18"/>
        </w:rPr>
        <w:t xml:space="preserve">aragrafo </w:t>
      </w:r>
      <w:r w:rsidR="003610F2" w:rsidRPr="000B0E59">
        <w:rPr>
          <w:rFonts w:ascii="Titillium" w:hAnsi="Titillium" w:cstheme="minorHAnsi"/>
          <w:sz w:val="18"/>
          <w:szCs w:val="18"/>
        </w:rPr>
        <w:t>1</w:t>
      </w:r>
      <w:r w:rsidR="002B4729" w:rsidRPr="000B0E59">
        <w:rPr>
          <w:rFonts w:ascii="Titillium" w:hAnsi="Titillium" w:cstheme="minorHAnsi"/>
          <w:sz w:val="18"/>
          <w:szCs w:val="18"/>
        </w:rPr>
        <w:t>5</w:t>
      </w:r>
      <w:r w:rsidR="003610F2" w:rsidRPr="000B0E59">
        <w:rPr>
          <w:rFonts w:ascii="Titillium" w:hAnsi="Titillium" w:cstheme="minorHAnsi"/>
          <w:sz w:val="18"/>
          <w:szCs w:val="18"/>
        </w:rPr>
        <w:t>.1</w:t>
      </w:r>
      <w:r w:rsidRPr="000B0E59">
        <w:rPr>
          <w:rFonts w:ascii="Titillium" w:hAnsi="Titillium" w:cstheme="minorHAnsi"/>
          <w:sz w:val="18"/>
          <w:szCs w:val="18"/>
        </w:rPr>
        <w:t>, il nominativo del professionista ed i dati relativi al</w:t>
      </w:r>
      <w:r w:rsidR="00BC66F0" w:rsidRPr="000B0E59">
        <w:rPr>
          <w:rFonts w:ascii="Titillium" w:hAnsi="Titillium" w:cstheme="minorHAnsi"/>
          <w:sz w:val="18"/>
          <w:szCs w:val="18"/>
        </w:rPr>
        <w:t xml:space="preserve"> </w:t>
      </w:r>
      <w:r w:rsidRPr="000B0E59">
        <w:rPr>
          <w:rFonts w:ascii="Titillium" w:hAnsi="Titillium" w:cstheme="minorHAnsi"/>
          <w:sz w:val="18"/>
          <w:szCs w:val="18"/>
        </w:rPr>
        <w:t>possesso in capo al medesimo dei requisiti suddetti.</w:t>
      </w:r>
    </w:p>
    <w:p w14:paraId="64B4A5E8" w14:textId="77777777" w:rsidR="007D5322" w:rsidRPr="000B0E59" w:rsidRDefault="007D5322" w:rsidP="0098062C">
      <w:pPr>
        <w:rPr>
          <w:rFonts w:ascii="Titillium" w:hAnsi="Titillium" w:cstheme="minorHAnsi"/>
          <w:b/>
          <w:bCs/>
          <w:sz w:val="18"/>
          <w:szCs w:val="18"/>
        </w:rPr>
      </w:pPr>
    </w:p>
    <w:p w14:paraId="587FC2E3" w14:textId="629108F4" w:rsidR="00BA66BE" w:rsidRPr="000B0E59" w:rsidRDefault="00BA66BE" w:rsidP="00BA66BE">
      <w:pPr>
        <w:rPr>
          <w:rFonts w:ascii="Titillium" w:hAnsi="Titillium" w:cstheme="minorHAnsi"/>
          <w:b/>
          <w:bCs/>
          <w:sz w:val="18"/>
          <w:szCs w:val="18"/>
        </w:rPr>
      </w:pPr>
      <w:r w:rsidRPr="000B0E59">
        <w:rPr>
          <w:rFonts w:ascii="Titillium" w:hAnsi="Titillium" w:cstheme="minorHAnsi"/>
          <w:b/>
          <w:bCs/>
          <w:sz w:val="18"/>
          <w:szCs w:val="18"/>
        </w:rPr>
        <w:t>Per il Tecnico esperto della modellazione informativa (cd BIM Specialist)</w:t>
      </w:r>
      <w:r>
        <w:rPr>
          <w:rFonts w:ascii="Titillium" w:hAnsi="Titillium" w:cstheme="minorHAnsi"/>
          <w:b/>
          <w:bCs/>
          <w:sz w:val="18"/>
          <w:szCs w:val="18"/>
        </w:rPr>
        <w:t xml:space="preserve"> </w:t>
      </w:r>
    </w:p>
    <w:p w14:paraId="0D18C777" w14:textId="6AACF232" w:rsidR="00BA66BE" w:rsidRPr="00BA66BE" w:rsidRDefault="00BA66BE" w:rsidP="00D26F03">
      <w:pPr>
        <w:pStyle w:val="Paragrafoelenco"/>
        <w:numPr>
          <w:ilvl w:val="0"/>
          <w:numId w:val="26"/>
        </w:numPr>
        <w:rPr>
          <w:rFonts w:ascii="Titillium" w:eastAsia="Times New Roman" w:hAnsi="Titillium" w:cstheme="minorHAnsi"/>
          <w:b/>
          <w:bCs/>
          <w:sz w:val="18"/>
          <w:szCs w:val="18"/>
          <w:lang w:eastAsia="en-US"/>
        </w:rPr>
      </w:pPr>
      <w:r w:rsidRPr="00BA66BE">
        <w:rPr>
          <w:rFonts w:ascii="Titillium" w:hAnsi="Titillium" w:cstheme="minorHAnsi"/>
          <w:b/>
          <w:bCs/>
          <w:sz w:val="18"/>
          <w:szCs w:val="18"/>
        </w:rPr>
        <w:t xml:space="preserve">Pregressa esperienza documentabile di gestione dei processi di progettazione in BIM di almeno … </w:t>
      </w:r>
      <w:r w:rsidRPr="00BA66BE">
        <w:rPr>
          <w:rFonts w:ascii="Titillium" w:hAnsi="Titillium" w:cstheme="minorHAnsi"/>
          <w:i/>
          <w:iCs/>
          <w:sz w:val="18"/>
          <w:szCs w:val="18"/>
        </w:rPr>
        <w:t>[indicare l’esperienza ritenuta adeguata in relazione alla progettazione da affidare]</w:t>
      </w:r>
      <w:r w:rsidRPr="00BA66BE">
        <w:rPr>
          <w:rFonts w:ascii="Titillium" w:hAnsi="Titillium" w:cstheme="minorHAnsi"/>
          <w:b/>
          <w:bCs/>
          <w:sz w:val="18"/>
          <w:szCs w:val="18"/>
        </w:rPr>
        <w:t xml:space="preserve"> o riferibile ad un importo dei lavori pari a quello cui si riferisce la progettazione da affidare, ossia</w:t>
      </w:r>
      <w:r w:rsidRPr="00BA66BE">
        <w:rPr>
          <w:rFonts w:ascii="Titillium" w:hAnsi="Titillium" w:cstheme="minorHAnsi"/>
          <w:i/>
          <w:iCs/>
          <w:sz w:val="18"/>
          <w:szCs w:val="18"/>
        </w:rPr>
        <w:t>…</w:t>
      </w:r>
      <w:r w:rsidRPr="00BA66BE">
        <w:rPr>
          <w:rFonts w:ascii="Titillium" w:eastAsia="Times New Roman" w:hAnsi="Titillium" w:cstheme="minorHAnsi"/>
          <w:i/>
          <w:iCs/>
          <w:sz w:val="18"/>
          <w:szCs w:val="18"/>
          <w:lang w:eastAsia="en-US"/>
        </w:rPr>
        <w:t>[specificare]</w:t>
      </w:r>
      <w:r w:rsidRPr="00BA66BE">
        <w:rPr>
          <w:rFonts w:ascii="Titillium" w:eastAsia="Times New Roman" w:hAnsi="Titillium" w:cstheme="minorHAnsi"/>
          <w:b/>
          <w:bCs/>
          <w:sz w:val="18"/>
          <w:szCs w:val="18"/>
          <w:lang w:eastAsia="en-US"/>
        </w:rPr>
        <w:t xml:space="preserve">; </w:t>
      </w:r>
    </w:p>
    <w:p w14:paraId="21D86CAE" w14:textId="5AA48B94" w:rsidR="0098062C" w:rsidRPr="000B0E59" w:rsidRDefault="0098062C" w:rsidP="0098062C">
      <w:pPr>
        <w:rPr>
          <w:rFonts w:ascii="Titillium" w:hAnsi="Titillium" w:cstheme="minorHAnsi"/>
          <w:sz w:val="18"/>
          <w:szCs w:val="18"/>
        </w:rPr>
      </w:pPr>
      <w:r w:rsidRPr="000B0E59">
        <w:rPr>
          <w:rFonts w:ascii="Titillium" w:hAnsi="Titillium" w:cstheme="minorHAnsi"/>
          <w:sz w:val="18"/>
          <w:szCs w:val="18"/>
        </w:rPr>
        <w:t xml:space="preserve">Il concorrente indica </w:t>
      </w:r>
      <w:r w:rsidR="003610F2" w:rsidRPr="000B0E59">
        <w:rPr>
          <w:rFonts w:ascii="Titillium" w:hAnsi="Titillium" w:cstheme="minorHAnsi"/>
          <w:sz w:val="18"/>
          <w:szCs w:val="18"/>
        </w:rPr>
        <w:t>nella domanda di partecipazione di cui al successivo p</w:t>
      </w:r>
      <w:r w:rsidR="00254CE8">
        <w:rPr>
          <w:rFonts w:ascii="Titillium" w:hAnsi="Titillium" w:cstheme="minorHAnsi"/>
          <w:sz w:val="18"/>
          <w:szCs w:val="18"/>
        </w:rPr>
        <w:t xml:space="preserve">aragrafo </w:t>
      </w:r>
      <w:r w:rsidR="003610F2" w:rsidRPr="000B0E59">
        <w:rPr>
          <w:rFonts w:ascii="Titillium" w:hAnsi="Titillium" w:cstheme="minorHAnsi"/>
          <w:sz w:val="18"/>
          <w:szCs w:val="18"/>
        </w:rPr>
        <w:t>1</w:t>
      </w:r>
      <w:r w:rsidR="002B4729" w:rsidRPr="000B0E59">
        <w:rPr>
          <w:rFonts w:ascii="Titillium" w:hAnsi="Titillium" w:cstheme="minorHAnsi"/>
          <w:sz w:val="18"/>
          <w:szCs w:val="18"/>
        </w:rPr>
        <w:t>5</w:t>
      </w:r>
      <w:r w:rsidR="003610F2" w:rsidRPr="000B0E59">
        <w:rPr>
          <w:rFonts w:ascii="Titillium" w:hAnsi="Titillium" w:cstheme="minorHAnsi"/>
          <w:sz w:val="18"/>
          <w:szCs w:val="18"/>
        </w:rPr>
        <w:t>.1</w:t>
      </w:r>
      <w:r w:rsidRPr="000B0E59">
        <w:rPr>
          <w:rFonts w:ascii="Titillium" w:hAnsi="Titillium" w:cstheme="minorHAnsi"/>
          <w:sz w:val="18"/>
          <w:szCs w:val="18"/>
        </w:rPr>
        <w:t xml:space="preserve"> il nominativo del professionista ed i dati relativi al</w:t>
      </w:r>
      <w:r w:rsidR="00BC66F0" w:rsidRPr="000B0E59">
        <w:rPr>
          <w:rFonts w:ascii="Titillium" w:hAnsi="Titillium" w:cstheme="minorHAnsi"/>
          <w:sz w:val="18"/>
          <w:szCs w:val="18"/>
        </w:rPr>
        <w:t xml:space="preserve"> </w:t>
      </w:r>
      <w:r w:rsidRPr="000B0E59">
        <w:rPr>
          <w:rFonts w:ascii="Titillium" w:hAnsi="Titillium" w:cstheme="minorHAnsi"/>
          <w:sz w:val="18"/>
          <w:szCs w:val="18"/>
        </w:rPr>
        <w:t>possesso in capo al medesimo dei requisiti suddetti.</w:t>
      </w:r>
    </w:p>
    <w:p w14:paraId="4D943512" w14:textId="77777777" w:rsidR="00BC66F0" w:rsidRPr="000B0E59" w:rsidRDefault="00BC66F0" w:rsidP="0098062C">
      <w:pPr>
        <w:rPr>
          <w:rFonts w:ascii="Titillium" w:hAnsi="Titillium" w:cstheme="minorHAnsi"/>
          <w:sz w:val="18"/>
          <w:szCs w:val="18"/>
        </w:rPr>
      </w:pPr>
    </w:p>
    <w:p w14:paraId="4E06241F" w14:textId="085303F2" w:rsidR="00BA66BE" w:rsidRPr="000B0E59" w:rsidRDefault="00BA66BE" w:rsidP="00BA66BE">
      <w:pPr>
        <w:rPr>
          <w:rFonts w:ascii="Titillium" w:hAnsi="Titillium" w:cstheme="minorHAnsi"/>
          <w:b/>
          <w:bCs/>
          <w:sz w:val="18"/>
          <w:szCs w:val="18"/>
        </w:rPr>
      </w:pPr>
      <w:r w:rsidRPr="000B0E59">
        <w:rPr>
          <w:rFonts w:ascii="Titillium" w:hAnsi="Titillium" w:cstheme="minorHAnsi"/>
          <w:b/>
          <w:bCs/>
          <w:sz w:val="18"/>
          <w:szCs w:val="18"/>
        </w:rPr>
        <w:t xml:space="preserve">Per </w:t>
      </w:r>
      <w:r w:rsidR="002E2166">
        <w:rPr>
          <w:rFonts w:ascii="Titillium" w:hAnsi="Titillium" w:cstheme="minorHAnsi"/>
          <w:b/>
          <w:bCs/>
          <w:sz w:val="18"/>
          <w:szCs w:val="18"/>
        </w:rPr>
        <w:t xml:space="preserve">il Gestore dell’ambiente di condivisione dei dati (cd CDE manager): </w:t>
      </w:r>
    </w:p>
    <w:p w14:paraId="120E6A06" w14:textId="66619886" w:rsidR="00BA66BE" w:rsidRDefault="00BA66BE" w:rsidP="00D26F03">
      <w:pPr>
        <w:pStyle w:val="Paragrafoelenco"/>
        <w:numPr>
          <w:ilvl w:val="0"/>
          <w:numId w:val="26"/>
        </w:numPr>
        <w:rPr>
          <w:rFonts w:ascii="Titillium" w:hAnsi="Titillium" w:cstheme="minorHAnsi"/>
          <w:b/>
          <w:bCs/>
          <w:sz w:val="18"/>
          <w:szCs w:val="18"/>
        </w:rPr>
      </w:pPr>
      <w:r w:rsidRPr="002E2166">
        <w:rPr>
          <w:rFonts w:ascii="Titillium" w:hAnsi="Titillium" w:cstheme="minorHAnsi"/>
          <w:b/>
          <w:bCs/>
          <w:sz w:val="18"/>
          <w:szCs w:val="18"/>
        </w:rPr>
        <w:t xml:space="preserve">Pregressa esperienza documentabile </w:t>
      </w:r>
      <w:r w:rsidR="002E2166" w:rsidRPr="002E2166">
        <w:rPr>
          <w:rFonts w:ascii="Titillium" w:hAnsi="Titillium" w:cstheme="minorHAnsi"/>
          <w:b/>
          <w:bCs/>
          <w:sz w:val="18"/>
          <w:szCs w:val="18"/>
        </w:rPr>
        <w:t xml:space="preserve">di almeno … </w:t>
      </w:r>
      <w:r w:rsidR="002E2166" w:rsidRPr="002E2166">
        <w:rPr>
          <w:rFonts w:ascii="Titillium" w:hAnsi="Titillium" w:cstheme="minorHAnsi"/>
          <w:i/>
          <w:iCs/>
          <w:sz w:val="18"/>
          <w:szCs w:val="18"/>
        </w:rPr>
        <w:t xml:space="preserve">[indicare l’esperienza ritenuta adeguata in relazione alla progettazione da affidare] </w:t>
      </w:r>
      <w:r w:rsidR="002E2166" w:rsidRPr="002E2166">
        <w:rPr>
          <w:rFonts w:ascii="Titillium" w:hAnsi="Titillium" w:cstheme="minorHAnsi"/>
          <w:b/>
          <w:bCs/>
          <w:sz w:val="18"/>
          <w:szCs w:val="18"/>
        </w:rPr>
        <w:t>o riferibile ad un importo dei lavori pari a quello cui si riferisce la progettazione da affidare, ossia</w:t>
      </w:r>
      <w:r w:rsidR="002E2166" w:rsidRPr="002E2166">
        <w:rPr>
          <w:rFonts w:ascii="Titillium" w:hAnsi="Titillium" w:cstheme="minorHAnsi"/>
          <w:i/>
          <w:iCs/>
          <w:sz w:val="18"/>
          <w:szCs w:val="18"/>
        </w:rPr>
        <w:t>… [</w:t>
      </w:r>
      <w:r w:rsidR="002E2166" w:rsidRPr="002E2166">
        <w:rPr>
          <w:rFonts w:ascii="Titillium" w:eastAsia="Times New Roman" w:hAnsi="Titillium" w:cstheme="minorHAnsi"/>
          <w:i/>
          <w:iCs/>
          <w:sz w:val="18"/>
          <w:szCs w:val="18"/>
          <w:lang w:eastAsia="en-US"/>
        </w:rPr>
        <w:t>specificare</w:t>
      </w:r>
      <w:r w:rsidR="002E2166">
        <w:rPr>
          <w:rFonts w:ascii="Titillium" w:eastAsia="Times New Roman" w:hAnsi="Titillium" w:cstheme="minorHAnsi"/>
          <w:i/>
          <w:iCs/>
          <w:sz w:val="18"/>
          <w:szCs w:val="18"/>
          <w:lang w:eastAsia="en-US"/>
        </w:rPr>
        <w:t xml:space="preserve">] </w:t>
      </w:r>
    </w:p>
    <w:p w14:paraId="1A24C6A5" w14:textId="030B5B9E" w:rsidR="00BC66F0" w:rsidRPr="000B0E59" w:rsidRDefault="00BC66F0" w:rsidP="00BC66F0">
      <w:pPr>
        <w:rPr>
          <w:rFonts w:ascii="Titillium" w:hAnsi="Titillium" w:cstheme="minorHAnsi"/>
          <w:sz w:val="18"/>
          <w:szCs w:val="18"/>
        </w:rPr>
      </w:pPr>
      <w:r w:rsidRPr="000B0E59">
        <w:rPr>
          <w:rFonts w:ascii="Titillium" w:hAnsi="Titillium" w:cstheme="minorHAnsi"/>
          <w:sz w:val="18"/>
          <w:szCs w:val="18"/>
        </w:rPr>
        <w:t xml:space="preserve">Il concorrente indica </w:t>
      </w:r>
      <w:r w:rsidR="003610F2" w:rsidRPr="000B0E59">
        <w:rPr>
          <w:rFonts w:ascii="Titillium" w:hAnsi="Titillium" w:cstheme="minorHAnsi"/>
          <w:sz w:val="18"/>
          <w:szCs w:val="18"/>
        </w:rPr>
        <w:t>nella domanda di partecipazione di cui al successivo p</w:t>
      </w:r>
      <w:r w:rsidR="00254CE8">
        <w:rPr>
          <w:rFonts w:ascii="Titillium" w:hAnsi="Titillium" w:cstheme="minorHAnsi"/>
          <w:sz w:val="18"/>
          <w:szCs w:val="18"/>
        </w:rPr>
        <w:t xml:space="preserve">aragrafo </w:t>
      </w:r>
      <w:r w:rsidR="003610F2" w:rsidRPr="000B0E59">
        <w:rPr>
          <w:rFonts w:ascii="Titillium" w:hAnsi="Titillium" w:cstheme="minorHAnsi"/>
          <w:sz w:val="18"/>
          <w:szCs w:val="18"/>
        </w:rPr>
        <w:t>1</w:t>
      </w:r>
      <w:r w:rsidR="002B4729" w:rsidRPr="000B0E59">
        <w:rPr>
          <w:rFonts w:ascii="Titillium" w:hAnsi="Titillium" w:cstheme="minorHAnsi"/>
          <w:sz w:val="18"/>
          <w:szCs w:val="18"/>
        </w:rPr>
        <w:t>5</w:t>
      </w:r>
      <w:r w:rsidR="003610F2" w:rsidRPr="000B0E59">
        <w:rPr>
          <w:rFonts w:ascii="Titillium" w:hAnsi="Titillium" w:cstheme="minorHAnsi"/>
          <w:sz w:val="18"/>
          <w:szCs w:val="18"/>
        </w:rPr>
        <w:t>.1</w:t>
      </w:r>
      <w:r w:rsidRPr="000B0E59">
        <w:rPr>
          <w:rFonts w:ascii="Titillium" w:hAnsi="Titillium" w:cstheme="minorHAnsi"/>
          <w:sz w:val="18"/>
          <w:szCs w:val="18"/>
        </w:rPr>
        <w:t xml:space="preserve"> il nominativo del professionista ed i dati relativi al possesso in capo al medesimo dei requisiti suddetti.</w:t>
      </w:r>
    </w:p>
    <w:p w14:paraId="1CA1D11D" w14:textId="77777777" w:rsidR="001146AD" w:rsidRPr="000B0E59" w:rsidRDefault="001146AD" w:rsidP="00BC66F0">
      <w:pPr>
        <w:rPr>
          <w:rFonts w:ascii="Titilium" w:hAnsi="Titilium" w:cstheme="minorHAnsi"/>
          <w:sz w:val="20"/>
          <w:szCs w:val="20"/>
        </w:rPr>
      </w:pPr>
    </w:p>
    <w:tbl>
      <w:tblPr>
        <w:tblStyle w:val="Grigliatabella"/>
        <w:tblW w:w="0" w:type="auto"/>
        <w:tblLook w:val="04A0" w:firstRow="1" w:lastRow="0" w:firstColumn="1" w:lastColumn="0" w:noHBand="0" w:noVBand="1"/>
      </w:tblPr>
      <w:tblGrid>
        <w:gridCol w:w="9214"/>
      </w:tblGrid>
      <w:tr w:rsidR="00141D52" w:rsidRPr="000B0E59" w14:paraId="3055D904" w14:textId="77777777" w:rsidTr="001146AD">
        <w:tc>
          <w:tcPr>
            <w:tcW w:w="9214" w:type="dxa"/>
          </w:tcPr>
          <w:p w14:paraId="277AE2A7" w14:textId="1CD80AE7" w:rsidR="001146AD" w:rsidRPr="000B0E59" w:rsidRDefault="00162A69" w:rsidP="0093685F">
            <w:pPr>
              <w:rPr>
                <w:rFonts w:ascii="Titillium" w:hAnsi="Titillium" w:cstheme="minorHAnsi"/>
                <w:i/>
                <w:iCs/>
                <w:strike/>
                <w:sz w:val="18"/>
                <w:szCs w:val="18"/>
              </w:rPr>
            </w:pPr>
            <w:r w:rsidRPr="000B0E59">
              <w:rPr>
                <w:rFonts w:ascii="Titillium" w:hAnsi="Titillium" w:cstheme="minorHAnsi"/>
                <w:i/>
                <w:iCs/>
                <w:sz w:val="18"/>
                <w:szCs w:val="18"/>
              </w:rPr>
              <w:t xml:space="preserve">N.B </w:t>
            </w:r>
            <w:r w:rsidR="00C425F3" w:rsidRPr="000B0E59">
              <w:rPr>
                <w:rFonts w:ascii="Titillium" w:hAnsi="Titillium" w:cstheme="minorHAnsi"/>
                <w:i/>
                <w:iCs/>
                <w:sz w:val="18"/>
                <w:szCs w:val="18"/>
              </w:rPr>
              <w:t xml:space="preserve">Il </w:t>
            </w:r>
            <w:r w:rsidR="00C425F3" w:rsidRPr="000B0E59">
              <w:rPr>
                <w:rFonts w:ascii="Titillium" w:hAnsi="Titillium"/>
                <w:i/>
                <w:iCs/>
                <w:sz w:val="18"/>
                <w:szCs w:val="18"/>
              </w:rPr>
              <w:t>possesso</w:t>
            </w:r>
            <w:r w:rsidR="003D343E" w:rsidRPr="000B0E59">
              <w:rPr>
                <w:rFonts w:ascii="Titillium" w:hAnsi="Titillium"/>
                <w:i/>
                <w:iCs/>
                <w:sz w:val="18"/>
                <w:szCs w:val="18"/>
              </w:rPr>
              <w:t xml:space="preserve"> di un’eventuale certificazione </w:t>
            </w:r>
            <w:r w:rsidR="003D343E" w:rsidRPr="000B0E59">
              <w:rPr>
                <w:rFonts w:ascii="Titillium" w:hAnsi="Titillium" w:cstheme="minorHAnsi"/>
                <w:i/>
                <w:iCs/>
                <w:sz w:val="18"/>
                <w:szCs w:val="18"/>
              </w:rPr>
              <w:t>ai sensi della Norma UNI 11337-7:2018</w:t>
            </w:r>
            <w:r w:rsidR="0093685F" w:rsidRPr="000B0E59">
              <w:rPr>
                <w:rFonts w:ascii="Titillium" w:hAnsi="Titillium" w:cstheme="minorHAnsi"/>
                <w:i/>
                <w:iCs/>
                <w:sz w:val="18"/>
                <w:szCs w:val="18"/>
              </w:rPr>
              <w:t xml:space="preserve"> e successivi aggiornamenti</w:t>
            </w:r>
            <w:r w:rsidR="00847DF6" w:rsidRPr="000B0E59">
              <w:rPr>
                <w:rFonts w:ascii="Titillium" w:hAnsi="Titillium" w:cstheme="minorHAnsi"/>
                <w:i/>
                <w:iCs/>
                <w:sz w:val="18"/>
                <w:szCs w:val="18"/>
              </w:rPr>
              <w:t xml:space="preserve"> </w:t>
            </w:r>
            <w:r w:rsidR="0093685F" w:rsidRPr="000B0E59">
              <w:rPr>
                <w:rFonts w:ascii="Titillium" w:hAnsi="Titillium" w:cstheme="minorHAnsi"/>
                <w:i/>
                <w:iCs/>
                <w:sz w:val="18"/>
                <w:szCs w:val="18"/>
              </w:rPr>
              <w:t xml:space="preserve">- rilasciata da organismi della valutazione della conformità accreditati a fronte della UNI CEI EN ISO/IEC 17024 per lo specifico scopo a norma del Reg. 765/2008 - </w:t>
            </w:r>
            <w:r w:rsidR="00847DF6" w:rsidRPr="000B0E59">
              <w:rPr>
                <w:rFonts w:ascii="Titillium" w:hAnsi="Titillium" w:cstheme="minorHAnsi"/>
                <w:i/>
                <w:iCs/>
                <w:sz w:val="18"/>
                <w:szCs w:val="18"/>
              </w:rPr>
              <w:t xml:space="preserve">da parte dei </w:t>
            </w:r>
            <w:r w:rsidR="005B4DF5" w:rsidRPr="000B0E59">
              <w:rPr>
                <w:rFonts w:ascii="Titillium" w:hAnsi="Titillium" w:cstheme="minorHAnsi"/>
                <w:i/>
                <w:iCs/>
                <w:sz w:val="18"/>
                <w:szCs w:val="18"/>
              </w:rPr>
              <w:t>professionisti BIM</w:t>
            </w:r>
            <w:r w:rsidR="0093685F" w:rsidRPr="000B0E59">
              <w:rPr>
                <w:rFonts w:ascii="Titillium" w:hAnsi="Titillium" w:cstheme="minorHAnsi"/>
                <w:i/>
                <w:iCs/>
                <w:sz w:val="18"/>
                <w:szCs w:val="18"/>
              </w:rPr>
              <w:t xml:space="preserve"> </w:t>
            </w:r>
            <w:r w:rsidR="00847DF6" w:rsidRPr="000B0E59">
              <w:rPr>
                <w:rFonts w:ascii="Titillium" w:hAnsi="Titillium" w:cstheme="minorHAnsi"/>
                <w:i/>
                <w:iCs/>
                <w:sz w:val="18"/>
                <w:szCs w:val="18"/>
              </w:rPr>
              <w:t>p</w:t>
            </w:r>
            <w:r w:rsidR="002E79DA" w:rsidRPr="000B0E59">
              <w:rPr>
                <w:rFonts w:ascii="Titillium" w:hAnsi="Titillium" w:cstheme="minorHAnsi"/>
                <w:i/>
                <w:iCs/>
                <w:sz w:val="18"/>
                <w:szCs w:val="18"/>
              </w:rPr>
              <w:t xml:space="preserve">uò </w:t>
            </w:r>
            <w:r w:rsidR="00847DF6" w:rsidRPr="000B0E59">
              <w:rPr>
                <w:rFonts w:ascii="Titillium" w:hAnsi="Titillium" w:cstheme="minorHAnsi"/>
                <w:i/>
                <w:iCs/>
                <w:sz w:val="18"/>
                <w:szCs w:val="18"/>
              </w:rPr>
              <w:t>essere</w:t>
            </w:r>
            <w:r w:rsidR="002E79DA" w:rsidRPr="000B0E59">
              <w:rPr>
                <w:rFonts w:ascii="Titillium" w:hAnsi="Titillium" w:cstheme="minorHAnsi"/>
                <w:i/>
                <w:iCs/>
                <w:sz w:val="18"/>
                <w:szCs w:val="18"/>
              </w:rPr>
              <w:t xml:space="preserve">, </w:t>
            </w:r>
            <w:r w:rsidR="00847DF6" w:rsidRPr="000B0E59">
              <w:rPr>
                <w:rFonts w:ascii="Titillium" w:hAnsi="Titillium" w:cstheme="minorHAnsi"/>
                <w:i/>
                <w:iCs/>
                <w:sz w:val="18"/>
                <w:szCs w:val="18"/>
              </w:rPr>
              <w:t xml:space="preserve">valorizzato </w:t>
            </w:r>
            <w:r w:rsidR="00E95E92" w:rsidRPr="000B0E59">
              <w:rPr>
                <w:rFonts w:ascii="Titillium" w:hAnsi="Titillium" w:cstheme="minorHAnsi"/>
                <w:i/>
                <w:iCs/>
                <w:sz w:val="18"/>
                <w:szCs w:val="18"/>
              </w:rPr>
              <w:t xml:space="preserve">quale criterio premiale </w:t>
            </w:r>
            <w:r w:rsidR="00847DF6" w:rsidRPr="000B0E59">
              <w:rPr>
                <w:rFonts w:ascii="Titillium" w:hAnsi="Titillium" w:cstheme="minorHAnsi"/>
                <w:i/>
                <w:iCs/>
                <w:sz w:val="18"/>
                <w:szCs w:val="18"/>
              </w:rPr>
              <w:t xml:space="preserve">in sede </w:t>
            </w:r>
            <w:r w:rsidR="00E95E92" w:rsidRPr="000B0E59">
              <w:rPr>
                <w:rFonts w:ascii="Titillium" w:hAnsi="Titillium" w:cstheme="minorHAnsi"/>
                <w:i/>
                <w:iCs/>
                <w:sz w:val="18"/>
                <w:szCs w:val="18"/>
              </w:rPr>
              <w:t>di valutazione delle offerte</w:t>
            </w:r>
            <w:r w:rsidR="003D343E" w:rsidRPr="000B0E59">
              <w:rPr>
                <w:rFonts w:ascii="Titillium" w:hAnsi="Titillium" w:cstheme="minorHAnsi"/>
                <w:i/>
                <w:iCs/>
                <w:sz w:val="18"/>
                <w:szCs w:val="18"/>
              </w:rPr>
              <w:t>.</w:t>
            </w:r>
            <w:r w:rsidR="00847DF6" w:rsidRPr="000B0E59">
              <w:rPr>
                <w:rFonts w:ascii="Titillium" w:hAnsi="Titillium" w:cstheme="minorHAnsi"/>
                <w:i/>
                <w:iCs/>
                <w:sz w:val="18"/>
                <w:szCs w:val="18"/>
              </w:rPr>
              <w:t xml:space="preserve"> </w:t>
            </w:r>
          </w:p>
        </w:tc>
      </w:tr>
    </w:tbl>
    <w:p w14:paraId="68EAFED8" w14:textId="77777777" w:rsidR="001146AD" w:rsidRPr="000B0E59" w:rsidRDefault="001146AD" w:rsidP="00BC66F0">
      <w:pPr>
        <w:rPr>
          <w:rFonts w:ascii="Titilium" w:hAnsi="Titilium" w:cstheme="minorHAnsi"/>
          <w:color w:val="0070C0"/>
          <w:sz w:val="20"/>
          <w:szCs w:val="20"/>
        </w:rPr>
      </w:pPr>
    </w:p>
    <w:p w14:paraId="4ACA0243" w14:textId="7AB06A41" w:rsidR="006D6C11" w:rsidRPr="000B0E59" w:rsidRDefault="00FC0BA9" w:rsidP="006D6C11">
      <w:pPr>
        <w:rPr>
          <w:rFonts w:ascii="Titillium" w:hAnsi="Titillium" w:cstheme="minorHAnsi"/>
          <w:i/>
          <w:iCs/>
          <w:sz w:val="18"/>
          <w:szCs w:val="18"/>
        </w:rPr>
      </w:pPr>
      <w:r w:rsidRPr="000B0E59">
        <w:rPr>
          <w:rFonts w:ascii="Titillium" w:hAnsi="Titillium" w:cstheme="minorHAnsi"/>
          <w:sz w:val="18"/>
          <w:szCs w:val="18"/>
        </w:rPr>
        <w:t>La comprova del</w:t>
      </w:r>
      <w:r w:rsidR="006D6C11" w:rsidRPr="000B0E59">
        <w:rPr>
          <w:rFonts w:ascii="Titillium" w:hAnsi="Titillium" w:cstheme="minorHAnsi"/>
          <w:sz w:val="18"/>
          <w:szCs w:val="18"/>
        </w:rPr>
        <w:t xml:space="preserve">l’esperienza richiesta per le suddette figure professionali necessarie nel caso di adozione di metodi e strumenti di gestione informativa digitale delle costruzioni può essere </w:t>
      </w:r>
      <w:r w:rsidR="001B5B13" w:rsidRPr="000B0E59">
        <w:rPr>
          <w:rFonts w:ascii="Titillium" w:hAnsi="Titillium" w:cstheme="minorHAnsi"/>
          <w:sz w:val="18"/>
          <w:szCs w:val="18"/>
        </w:rPr>
        <w:t>fornita</w:t>
      </w:r>
      <w:r w:rsidR="001B5B13" w:rsidRPr="000B0E59">
        <w:rPr>
          <w:rFonts w:ascii="Titillium" w:hAnsi="Titillium" w:cstheme="minorHAnsi"/>
          <w:b/>
          <w:bCs/>
          <w:i/>
          <w:iCs/>
          <w:sz w:val="18"/>
          <w:szCs w:val="18"/>
        </w:rPr>
        <w:t>: ….</w:t>
      </w:r>
      <w:r w:rsidR="00BD432F" w:rsidRPr="000B0E59">
        <w:rPr>
          <w:rFonts w:ascii="Titillium" w:hAnsi="Titillium" w:cstheme="minorHAnsi"/>
          <w:b/>
          <w:bCs/>
          <w:i/>
          <w:iCs/>
          <w:sz w:val="18"/>
          <w:szCs w:val="18"/>
        </w:rPr>
        <w:t xml:space="preserve"> </w:t>
      </w:r>
      <w:r w:rsidR="006D6C11" w:rsidRPr="000B0E59">
        <w:rPr>
          <w:rFonts w:ascii="Titillium" w:hAnsi="Titillium"/>
          <w:i/>
          <w:iCs/>
          <w:sz w:val="18"/>
          <w:szCs w:val="18"/>
        </w:rPr>
        <w:t>[</w:t>
      </w:r>
      <w:r w:rsidR="006D6C11" w:rsidRPr="000B0E59">
        <w:rPr>
          <w:rFonts w:ascii="Titillium" w:hAnsi="Titillium" w:cstheme="minorHAnsi"/>
          <w:b/>
          <w:bCs/>
          <w:i/>
          <w:iCs/>
          <w:sz w:val="18"/>
          <w:szCs w:val="18"/>
        </w:rPr>
        <w:t>l</w:t>
      </w:r>
      <w:r w:rsidR="006D6C11" w:rsidRPr="000B0E59">
        <w:rPr>
          <w:rFonts w:ascii="Titillium" w:hAnsi="Titillium" w:cstheme="minorHAnsi"/>
          <w:i/>
          <w:iCs/>
          <w:sz w:val="18"/>
          <w:szCs w:val="18"/>
        </w:rPr>
        <w:t xml:space="preserve">a stazione appaltante indica la documentazione utilizzabile a comprova, ivi compresa documentazione resa dalla struttura di appartenenza del professionista al tempo in cui la prestazione è stata </w:t>
      </w:r>
      <w:r w:rsidR="001B5B13" w:rsidRPr="000B0E59">
        <w:rPr>
          <w:rFonts w:ascii="Titillium" w:hAnsi="Titillium" w:cstheme="minorHAnsi"/>
          <w:i/>
          <w:iCs/>
          <w:sz w:val="18"/>
          <w:szCs w:val="18"/>
        </w:rPr>
        <w:t>svolta]</w:t>
      </w:r>
    </w:p>
    <w:p w14:paraId="42C5A752" w14:textId="77777777" w:rsidR="006D6C11" w:rsidRPr="000B0E59" w:rsidRDefault="006D6C11" w:rsidP="006D6C11">
      <w:pPr>
        <w:rPr>
          <w:rFonts w:ascii="Titillium" w:hAnsi="Titillium" w:cstheme="minorHAnsi"/>
          <w:i/>
          <w:iCs/>
          <w:sz w:val="18"/>
          <w:szCs w:val="18"/>
        </w:rPr>
      </w:pPr>
    </w:p>
    <w:bookmarkEnd w:id="1388"/>
    <w:p w14:paraId="227E0C78" w14:textId="77F47C3F" w:rsidR="006842EE" w:rsidRPr="00CA6979" w:rsidRDefault="008F2625" w:rsidP="001A1322">
      <w:pPr>
        <w:rPr>
          <w:i/>
          <w:iCs/>
        </w:rPr>
      </w:pPr>
      <w:r w:rsidRPr="000B0E59">
        <w:rPr>
          <w:rFonts w:ascii="Titillium" w:hAnsi="Titillium" w:cstheme="minorHAnsi"/>
          <w:sz w:val="18"/>
          <w:szCs w:val="18"/>
        </w:rPr>
        <w:t xml:space="preserve">Il gruppo di lavoro per l’esecuzione del presente incarico dovrà essere composto dalle seguenti figure, </w:t>
      </w:r>
      <w:r w:rsidRPr="000B0E59">
        <w:rPr>
          <w:rFonts w:ascii="Titillium" w:hAnsi="Titillium" w:cstheme="minorHAnsi"/>
          <w:sz w:val="18"/>
          <w:szCs w:val="18"/>
          <w:u w:val="single"/>
        </w:rPr>
        <w:t>in possesso dei requisiti di idoneità di cui sopra e de</w:t>
      </w:r>
      <w:r w:rsidR="001A1322" w:rsidRPr="000B0E59">
        <w:rPr>
          <w:rFonts w:ascii="Titillium" w:hAnsi="Titillium" w:cstheme="minorHAnsi"/>
          <w:sz w:val="18"/>
          <w:szCs w:val="18"/>
          <w:u w:val="single"/>
        </w:rPr>
        <w:t xml:space="preserve">i relativi </w:t>
      </w:r>
      <w:r w:rsidRPr="000B0E59">
        <w:rPr>
          <w:rFonts w:ascii="Titillium" w:hAnsi="Titillium" w:cstheme="minorHAnsi"/>
          <w:sz w:val="18"/>
          <w:szCs w:val="18"/>
          <w:u w:val="single"/>
        </w:rPr>
        <w:t>specifici titoli di studio/professionali</w:t>
      </w:r>
      <w:r w:rsidR="001A1322" w:rsidRPr="000B0E59">
        <w:rPr>
          <w:rFonts w:ascii="Titillium" w:hAnsi="Titillium" w:cstheme="minorHAnsi"/>
          <w:sz w:val="18"/>
          <w:szCs w:val="18"/>
          <w:u w:val="single"/>
        </w:rPr>
        <w:t xml:space="preserve"> </w:t>
      </w:r>
      <w:r w:rsidR="001A1322" w:rsidRPr="000B0E59">
        <w:rPr>
          <w:rFonts w:ascii="Titillium" w:hAnsi="Titillium" w:cstheme="minorHAnsi"/>
          <w:i/>
          <w:iCs/>
          <w:sz w:val="18"/>
          <w:szCs w:val="18"/>
          <w:u w:val="single"/>
        </w:rPr>
        <w:t>[specificare le singole figure e i richiesti titoli di studio (es. laurea in ingegnere e/o architettura)</w:t>
      </w:r>
      <w:r w:rsidR="00071AF4" w:rsidRPr="000B0E59">
        <w:rPr>
          <w:rFonts w:ascii="Titillium" w:hAnsi="Titillium" w:cstheme="minorHAnsi"/>
          <w:i/>
          <w:iCs/>
          <w:sz w:val="18"/>
          <w:szCs w:val="18"/>
          <w:u w:val="single"/>
        </w:rPr>
        <w:t>,</w:t>
      </w:r>
      <w:r w:rsidR="001A1322" w:rsidRPr="000B0E59">
        <w:rPr>
          <w:rFonts w:ascii="Titillium" w:hAnsi="Titillium" w:cstheme="minorHAnsi"/>
          <w:i/>
          <w:iCs/>
          <w:sz w:val="18"/>
          <w:szCs w:val="18"/>
          <w:u w:val="single"/>
        </w:rPr>
        <w:t xml:space="preserve"> abilitazione</w:t>
      </w:r>
      <w:r w:rsidR="00071AF4" w:rsidRPr="000B0E59">
        <w:rPr>
          <w:rFonts w:ascii="Titillium" w:hAnsi="Titillium" w:cstheme="minorHAnsi"/>
          <w:i/>
          <w:iCs/>
          <w:sz w:val="18"/>
          <w:szCs w:val="18"/>
          <w:u w:val="single"/>
        </w:rPr>
        <w:t xml:space="preserve"> </w:t>
      </w:r>
      <w:r w:rsidR="002D5733" w:rsidRPr="000B0E59">
        <w:rPr>
          <w:rFonts w:ascii="Titillium" w:hAnsi="Titillium" w:cstheme="minorHAnsi"/>
          <w:i/>
          <w:iCs/>
          <w:sz w:val="18"/>
          <w:szCs w:val="18"/>
          <w:u w:val="single"/>
        </w:rPr>
        <w:t>e iscrizione</w:t>
      </w:r>
      <w:r w:rsidR="001A1322" w:rsidRPr="000B0E59">
        <w:rPr>
          <w:rFonts w:ascii="Titillium" w:hAnsi="Titillium" w:cstheme="minorHAnsi"/>
          <w:i/>
          <w:iCs/>
          <w:sz w:val="18"/>
          <w:szCs w:val="18"/>
          <w:u w:val="single"/>
        </w:rPr>
        <w:t xml:space="preserve"> al relativo albo professionale (es. </w:t>
      </w:r>
      <w:r w:rsidR="00071AF4" w:rsidRPr="000B0E59">
        <w:rPr>
          <w:rFonts w:ascii="Titillium" w:hAnsi="Titillium" w:cstheme="minorHAnsi"/>
          <w:i/>
          <w:iCs/>
          <w:sz w:val="18"/>
          <w:szCs w:val="18"/>
          <w:u w:val="single"/>
        </w:rPr>
        <w:t xml:space="preserve"> </w:t>
      </w:r>
      <w:r w:rsidR="001A1322" w:rsidRPr="000B0E59">
        <w:rPr>
          <w:rFonts w:ascii="Titillium" w:hAnsi="Titillium" w:cstheme="minorHAnsi"/>
          <w:i/>
          <w:iCs/>
          <w:sz w:val="18"/>
          <w:szCs w:val="18"/>
          <w:u w:val="single"/>
        </w:rPr>
        <w:t>Sezione A)</w:t>
      </w:r>
      <w:r w:rsidR="004D076A" w:rsidRPr="000B0E59">
        <w:rPr>
          <w:rFonts w:ascii="Titillium" w:hAnsi="Titillium" w:cstheme="minorHAnsi"/>
          <w:i/>
          <w:iCs/>
          <w:sz w:val="18"/>
          <w:szCs w:val="18"/>
          <w:u w:val="single"/>
        </w:rPr>
        <w:t>]</w:t>
      </w:r>
      <w:r w:rsidR="001A1322" w:rsidRPr="000B0E59">
        <w:rPr>
          <w:rFonts w:ascii="Titillium" w:hAnsi="Titillium" w:cstheme="minorHAnsi"/>
          <w:i/>
          <w:iCs/>
          <w:sz w:val="18"/>
          <w:szCs w:val="18"/>
          <w:u w:val="single"/>
        </w:rPr>
        <w:t>;</w:t>
      </w:r>
    </w:p>
    <w:p w14:paraId="58B119C1" w14:textId="510FD26C" w:rsidR="006842EE" w:rsidRPr="00C327DD" w:rsidRDefault="008F2625">
      <w:r w:rsidRPr="00C327DD">
        <w:rPr>
          <w:rFonts w:ascii="Titillium" w:hAnsi="Titillium" w:cstheme="minorHAnsi"/>
          <w:sz w:val="18"/>
          <w:szCs w:val="18"/>
        </w:rPr>
        <w:t>1)</w:t>
      </w:r>
      <w:r w:rsidR="0049159B">
        <w:rPr>
          <w:rFonts w:ascii="Titillium" w:hAnsi="Titillium" w:cstheme="minorHAnsi"/>
          <w:sz w:val="18"/>
          <w:szCs w:val="18"/>
        </w:rPr>
        <w:t xml:space="preserve"> ……………………….</w:t>
      </w:r>
    </w:p>
    <w:p w14:paraId="1D35E9DE" w14:textId="54FF1757" w:rsidR="006842EE" w:rsidRPr="00C327DD" w:rsidRDefault="008F2625">
      <w:r w:rsidRPr="00C327DD">
        <w:rPr>
          <w:rFonts w:ascii="Titillium" w:hAnsi="Titillium" w:cstheme="minorHAnsi"/>
          <w:sz w:val="18"/>
          <w:szCs w:val="18"/>
        </w:rPr>
        <w:t>2)</w:t>
      </w:r>
      <w:r w:rsidR="0049159B">
        <w:rPr>
          <w:rFonts w:ascii="Titillium" w:hAnsi="Titillium" w:cstheme="minorHAnsi"/>
          <w:sz w:val="18"/>
          <w:szCs w:val="18"/>
        </w:rPr>
        <w:t xml:space="preserve"> …………………………</w:t>
      </w:r>
    </w:p>
    <w:p w14:paraId="38599A94" w14:textId="65D4C75D" w:rsidR="006842EE" w:rsidRPr="00D014A9" w:rsidRDefault="008F2625">
      <w:pPr>
        <w:rPr>
          <w:rFonts w:ascii="Titillium" w:hAnsi="Titillium" w:cstheme="minorHAnsi"/>
          <w:sz w:val="18"/>
          <w:szCs w:val="18"/>
        </w:rPr>
      </w:pPr>
      <w:r w:rsidRPr="00C327DD">
        <w:rPr>
          <w:rFonts w:ascii="Titillium" w:hAnsi="Titillium" w:cstheme="minorHAnsi"/>
          <w:sz w:val="18"/>
          <w:szCs w:val="18"/>
        </w:rPr>
        <w:t>3)</w:t>
      </w:r>
      <w:r w:rsidR="0049159B">
        <w:rPr>
          <w:rFonts w:ascii="Titillium" w:hAnsi="Titillium" w:cstheme="minorHAnsi"/>
          <w:sz w:val="18"/>
          <w:szCs w:val="18"/>
        </w:rPr>
        <w:t xml:space="preserve"> …………………………..</w:t>
      </w:r>
    </w:p>
    <w:p w14:paraId="23E314D6" w14:textId="2945D4FD" w:rsidR="00C248E0" w:rsidRPr="00D014A9" w:rsidRDefault="00B03D2F" w:rsidP="00C248E0">
      <w:pPr>
        <w:rPr>
          <w:rFonts w:ascii="Titillium" w:hAnsi="Titillium"/>
          <w:sz w:val="18"/>
          <w:szCs w:val="18"/>
        </w:rPr>
      </w:pPr>
      <w:r w:rsidRPr="000500CF">
        <w:rPr>
          <w:rFonts w:ascii="Titillium" w:hAnsi="Titillium"/>
          <w:b/>
          <w:bCs/>
          <w:sz w:val="18"/>
          <w:szCs w:val="18"/>
        </w:rPr>
        <w:t>[</w:t>
      </w:r>
      <w:r w:rsidRPr="004325D1">
        <w:rPr>
          <w:rFonts w:ascii="Titillium" w:hAnsi="Titillium"/>
          <w:b/>
          <w:bCs/>
          <w:i/>
          <w:iCs/>
          <w:sz w:val="18"/>
          <w:szCs w:val="18"/>
        </w:rPr>
        <w:t>Facoltativo</w:t>
      </w:r>
      <w:r w:rsidRPr="000500CF">
        <w:rPr>
          <w:rFonts w:ascii="Titillium" w:hAnsi="Titillium"/>
          <w:b/>
          <w:bCs/>
          <w:sz w:val="18"/>
          <w:szCs w:val="18"/>
        </w:rPr>
        <w:t>]</w:t>
      </w:r>
      <w:r w:rsidRPr="00D014A9">
        <w:rPr>
          <w:rFonts w:ascii="Titillium" w:hAnsi="Titillium"/>
          <w:b/>
          <w:bCs/>
          <w:sz w:val="18"/>
          <w:szCs w:val="18"/>
        </w:rPr>
        <w:t xml:space="preserve"> </w:t>
      </w:r>
      <w:r w:rsidR="00C248E0" w:rsidRPr="00D014A9">
        <w:rPr>
          <w:rFonts w:ascii="Titillium" w:hAnsi="Titillium"/>
          <w:sz w:val="18"/>
          <w:szCs w:val="18"/>
        </w:rPr>
        <w:t xml:space="preserve">Il numero minimo di unità che dovranno comporre il gruppo di </w:t>
      </w:r>
      <w:r w:rsidR="00D014A9">
        <w:rPr>
          <w:rFonts w:ascii="Titillium" w:hAnsi="Titillium"/>
          <w:sz w:val="18"/>
          <w:szCs w:val="18"/>
        </w:rPr>
        <w:t xml:space="preserve">lavoro </w:t>
      </w:r>
      <w:r w:rsidR="00C248E0" w:rsidRPr="00D014A9">
        <w:rPr>
          <w:rFonts w:ascii="Titillium" w:hAnsi="Titillium"/>
          <w:sz w:val="18"/>
          <w:szCs w:val="18"/>
        </w:rPr>
        <w:t xml:space="preserve">è pari … </w:t>
      </w:r>
      <w:r w:rsidR="00254CE8" w:rsidRPr="00254CE8">
        <w:rPr>
          <w:rFonts w:ascii="Titillium" w:hAnsi="Titillium"/>
          <w:sz w:val="18"/>
          <w:szCs w:val="18"/>
        </w:rPr>
        <w:t>[</w:t>
      </w:r>
      <w:r w:rsidR="00254CE8" w:rsidRPr="00254CE8">
        <w:rPr>
          <w:rFonts w:ascii="Titillium" w:hAnsi="Titillium"/>
          <w:i/>
          <w:iCs/>
          <w:sz w:val="18"/>
          <w:szCs w:val="18"/>
        </w:rPr>
        <w:t>indicare il numero</w:t>
      </w:r>
      <w:r w:rsidR="00254CE8" w:rsidRPr="00254CE8">
        <w:rPr>
          <w:rFonts w:ascii="Titillium" w:hAnsi="Titillium"/>
          <w:sz w:val="18"/>
          <w:szCs w:val="18"/>
        </w:rPr>
        <w:t>]</w:t>
      </w:r>
    </w:p>
    <w:p w14:paraId="2520212C" w14:textId="77777777" w:rsidR="000829DC" w:rsidRPr="00D014A9" w:rsidRDefault="000829DC" w:rsidP="00C248E0">
      <w:pPr>
        <w:rPr>
          <w:rFonts w:ascii="Titillium" w:hAnsi="Titillium"/>
          <w:b/>
          <w:bCs/>
          <w:sz w:val="18"/>
          <w:szCs w:val="18"/>
        </w:rPr>
      </w:pPr>
    </w:p>
    <w:p w14:paraId="56BFB9FC" w14:textId="57B44561" w:rsidR="00C248E0" w:rsidRPr="00D014A9" w:rsidRDefault="00B03D2F" w:rsidP="00C248E0">
      <w:pPr>
        <w:rPr>
          <w:rFonts w:ascii="Titillium" w:hAnsi="Titillium"/>
          <w:sz w:val="18"/>
          <w:szCs w:val="18"/>
        </w:rPr>
      </w:pPr>
      <w:r w:rsidRPr="000500CF">
        <w:rPr>
          <w:rFonts w:ascii="Titillium" w:hAnsi="Titillium"/>
          <w:b/>
          <w:bCs/>
          <w:sz w:val="18"/>
          <w:szCs w:val="18"/>
        </w:rPr>
        <w:t>[</w:t>
      </w:r>
      <w:r w:rsidRPr="004325D1">
        <w:rPr>
          <w:rFonts w:ascii="Titillium" w:hAnsi="Titillium"/>
          <w:b/>
          <w:bCs/>
          <w:i/>
          <w:iCs/>
          <w:sz w:val="18"/>
          <w:szCs w:val="18"/>
        </w:rPr>
        <w:t>Facoltativo</w:t>
      </w:r>
      <w:r w:rsidRPr="000500CF">
        <w:rPr>
          <w:rFonts w:ascii="Titillium" w:hAnsi="Titillium"/>
          <w:b/>
          <w:bCs/>
          <w:sz w:val="18"/>
          <w:szCs w:val="18"/>
        </w:rPr>
        <w:t xml:space="preserve">]: </w:t>
      </w:r>
      <w:r w:rsidR="00C248E0" w:rsidRPr="000500CF">
        <w:rPr>
          <w:rFonts w:ascii="Titillium" w:hAnsi="Titillium"/>
          <w:sz w:val="18"/>
          <w:szCs w:val="18"/>
        </w:rPr>
        <w:t>È</w:t>
      </w:r>
      <w:r w:rsidR="00C248E0" w:rsidRPr="00D014A9">
        <w:rPr>
          <w:rFonts w:ascii="Titillium" w:hAnsi="Titillium"/>
          <w:sz w:val="18"/>
          <w:szCs w:val="18"/>
        </w:rPr>
        <w:t xml:space="preserve"> possibile indicare uno stesso soggetto per più prestazioni indicate, purché in possesso dei relativi requisiti</w:t>
      </w:r>
      <w:r w:rsidR="00D014A9">
        <w:rPr>
          <w:rFonts w:ascii="Titillium" w:hAnsi="Titillium"/>
          <w:sz w:val="18"/>
          <w:szCs w:val="18"/>
        </w:rPr>
        <w:t xml:space="preserve"> richiesti nel presente disciplinare</w:t>
      </w:r>
      <w:r w:rsidR="00C248E0" w:rsidRPr="00D014A9">
        <w:rPr>
          <w:rFonts w:ascii="Titillium" w:hAnsi="Titillium"/>
          <w:sz w:val="18"/>
          <w:szCs w:val="18"/>
        </w:rPr>
        <w:t xml:space="preserve">. </w:t>
      </w:r>
    </w:p>
    <w:p w14:paraId="7835BC41" w14:textId="77777777" w:rsidR="000829DC" w:rsidRPr="00CE332E" w:rsidRDefault="000829DC" w:rsidP="00C248E0">
      <w:pPr>
        <w:rPr>
          <w:rFonts w:ascii="Titilium" w:hAnsi="Titilium"/>
          <w:b/>
          <w:bCs/>
          <w:color w:val="0070C0"/>
          <w:sz w:val="20"/>
          <w:szCs w:val="20"/>
        </w:rPr>
      </w:pPr>
    </w:p>
    <w:p w14:paraId="61FB349B" w14:textId="39D68EFA" w:rsidR="00C248E0" w:rsidRPr="00A962B9" w:rsidRDefault="00B03D2F" w:rsidP="00C248E0">
      <w:pPr>
        <w:rPr>
          <w:rFonts w:ascii="Titillium" w:hAnsi="Titillium" w:cstheme="minorHAnsi"/>
          <w:sz w:val="18"/>
          <w:szCs w:val="18"/>
        </w:rPr>
      </w:pPr>
      <w:r w:rsidRPr="000500CF">
        <w:rPr>
          <w:rFonts w:ascii="Titilium" w:hAnsi="Titilium"/>
          <w:b/>
          <w:bCs/>
          <w:sz w:val="18"/>
          <w:szCs w:val="18"/>
        </w:rPr>
        <w:t>[</w:t>
      </w:r>
      <w:r w:rsidRPr="004325D1">
        <w:rPr>
          <w:rFonts w:ascii="Titilium" w:hAnsi="Titilium"/>
          <w:b/>
          <w:bCs/>
          <w:i/>
          <w:iCs/>
          <w:sz w:val="18"/>
          <w:szCs w:val="18"/>
        </w:rPr>
        <w:t>Facoltativo</w:t>
      </w:r>
      <w:r w:rsidRPr="000500CF">
        <w:rPr>
          <w:rFonts w:ascii="Titilium" w:hAnsi="Titilium"/>
          <w:b/>
          <w:bCs/>
          <w:sz w:val="18"/>
          <w:szCs w:val="18"/>
        </w:rPr>
        <w:t>]</w:t>
      </w:r>
      <w:r w:rsidR="00C248E0" w:rsidRPr="000500CF">
        <w:rPr>
          <w:rFonts w:ascii="Titilium" w:hAnsi="Titilium"/>
          <w:b/>
          <w:bCs/>
          <w:sz w:val="18"/>
          <w:szCs w:val="18"/>
        </w:rPr>
        <w:t>:</w:t>
      </w:r>
      <w:r w:rsidR="00C248E0" w:rsidRPr="00A962B9">
        <w:rPr>
          <w:rFonts w:ascii="Titilium" w:hAnsi="Titilium"/>
          <w:sz w:val="18"/>
          <w:szCs w:val="18"/>
        </w:rPr>
        <w:t xml:space="preserve"> </w:t>
      </w:r>
      <w:r w:rsidR="00C248E0" w:rsidRPr="00A962B9">
        <w:rPr>
          <w:rFonts w:ascii="Titillium" w:hAnsi="Titillium"/>
          <w:sz w:val="18"/>
          <w:szCs w:val="18"/>
        </w:rPr>
        <w:t>È possibile indicare, per una stessa prestazione, più soggetti, fermo il rispetto del numero minimo di unità richieste</w:t>
      </w:r>
      <w:r w:rsidR="00F24784" w:rsidRPr="00A962B9">
        <w:rPr>
          <w:rFonts w:ascii="Titillium" w:hAnsi="Titillium"/>
          <w:sz w:val="18"/>
          <w:szCs w:val="18"/>
        </w:rPr>
        <w:t xml:space="preserve"> e fermo restando che, in tal caso, prima della stipula del contratto, dovrà essere indicato il soggetto referente nei confronti della stazione appaltante</w:t>
      </w:r>
      <w:r w:rsidR="00077BA2" w:rsidRPr="00A962B9">
        <w:rPr>
          <w:rFonts w:ascii="Titillium" w:hAnsi="Titillium"/>
          <w:sz w:val="18"/>
          <w:szCs w:val="18"/>
        </w:rPr>
        <w:t>.</w:t>
      </w:r>
    </w:p>
    <w:p w14:paraId="6928A9C1" w14:textId="77777777" w:rsidR="00A72284" w:rsidRPr="00A962B9" w:rsidRDefault="00A72284">
      <w:pPr>
        <w:rPr>
          <w:rFonts w:ascii="Titillium" w:hAnsi="Titillium" w:cstheme="minorHAnsi"/>
          <w:sz w:val="18"/>
          <w:szCs w:val="18"/>
        </w:rPr>
      </w:pPr>
    </w:p>
    <w:p w14:paraId="0CD2EC3C" w14:textId="3FBAE2B8" w:rsidR="00525A52" w:rsidRPr="00DE009A" w:rsidRDefault="00EE4383" w:rsidP="00525A52">
      <w:pPr>
        <w:rPr>
          <w:rFonts w:ascii="Titillium" w:hAnsi="Titillium" w:cstheme="minorHAnsi"/>
          <w:strike/>
          <w:sz w:val="18"/>
          <w:szCs w:val="18"/>
        </w:rPr>
      </w:pPr>
      <w:r w:rsidRPr="00A962B9">
        <w:rPr>
          <w:rFonts w:ascii="Titillium" w:hAnsi="Titillium" w:cstheme="minorHAnsi"/>
          <w:sz w:val="18"/>
          <w:szCs w:val="18"/>
        </w:rPr>
        <w:t>Per tutti i componenti del gruppo di lavoro l’operatore economico è tenuto a precisare</w:t>
      </w:r>
      <w:r w:rsidR="008B2811" w:rsidRPr="00B05B75">
        <w:rPr>
          <w:rFonts w:ascii="Titillium" w:hAnsi="Titillium" w:cstheme="minorHAnsi"/>
          <w:sz w:val="18"/>
          <w:szCs w:val="18"/>
        </w:rPr>
        <w:t xml:space="preserve"> nella domanda di </w:t>
      </w:r>
      <w:r w:rsidR="00254CE8">
        <w:rPr>
          <w:rFonts w:ascii="Titillium" w:hAnsi="Titillium" w:cstheme="minorHAnsi"/>
          <w:sz w:val="18"/>
          <w:szCs w:val="18"/>
        </w:rPr>
        <w:t xml:space="preserve">partecipazione di cui </w:t>
      </w:r>
      <w:r w:rsidR="00D252B4">
        <w:rPr>
          <w:rFonts w:ascii="Titillium" w:hAnsi="Titillium" w:cstheme="minorHAnsi"/>
          <w:sz w:val="18"/>
          <w:szCs w:val="18"/>
        </w:rPr>
        <w:t xml:space="preserve">al successivo paragrafo </w:t>
      </w:r>
      <w:r w:rsidR="008B2811" w:rsidRPr="00B05B75">
        <w:rPr>
          <w:rFonts w:ascii="Titillium" w:hAnsi="Titillium" w:cstheme="minorHAnsi"/>
          <w:sz w:val="18"/>
          <w:szCs w:val="18"/>
        </w:rPr>
        <w:t>15</w:t>
      </w:r>
      <w:r w:rsidR="00D252B4">
        <w:rPr>
          <w:rFonts w:ascii="Titillium" w:hAnsi="Titillium" w:cstheme="minorHAnsi"/>
          <w:sz w:val="18"/>
          <w:szCs w:val="18"/>
        </w:rPr>
        <w:t xml:space="preserve"> </w:t>
      </w:r>
      <w:r w:rsidR="008B2811" w:rsidRPr="00B05B75">
        <w:rPr>
          <w:rFonts w:ascii="Titillium" w:hAnsi="Titillium" w:cstheme="minorHAnsi"/>
          <w:sz w:val="18"/>
          <w:szCs w:val="18"/>
        </w:rPr>
        <w:t xml:space="preserve"> il nominativo del professionista abilitato, gli estremi dell’iscrizione al relativo albo e </w:t>
      </w:r>
      <w:r w:rsidRPr="00A962B9">
        <w:rPr>
          <w:rFonts w:ascii="Titillium" w:hAnsi="Titillium" w:cstheme="minorHAnsi"/>
          <w:sz w:val="18"/>
          <w:szCs w:val="18"/>
        </w:rPr>
        <w:t xml:space="preserve">la natura del rapporto professionale intercorrente con il </w:t>
      </w:r>
      <w:r w:rsidR="008B2811">
        <w:rPr>
          <w:rFonts w:ascii="Titillium" w:hAnsi="Titillium" w:cstheme="minorHAnsi"/>
          <w:sz w:val="18"/>
          <w:szCs w:val="18"/>
        </w:rPr>
        <w:t xml:space="preserve">medesimo professionista, </w:t>
      </w:r>
      <w:r w:rsidR="00525A52" w:rsidRPr="00A962B9">
        <w:rPr>
          <w:rFonts w:ascii="Titillium" w:hAnsi="Titillium" w:cstheme="minorHAnsi"/>
          <w:sz w:val="18"/>
          <w:szCs w:val="18"/>
        </w:rPr>
        <w:t xml:space="preserve"> instaurato prima della presentazione dell’offerta</w:t>
      </w:r>
      <w:r w:rsidR="00071AF4" w:rsidRPr="00A962B9">
        <w:rPr>
          <w:rFonts w:ascii="Titillium" w:hAnsi="Titillium" w:cstheme="minorHAnsi"/>
          <w:sz w:val="18"/>
          <w:szCs w:val="18"/>
        </w:rPr>
        <w:t xml:space="preserve">, specificando se </w:t>
      </w:r>
      <w:r w:rsidR="00525A52" w:rsidRPr="00A962B9">
        <w:rPr>
          <w:rFonts w:ascii="Titillium" w:hAnsi="Titillium" w:cstheme="minorHAnsi"/>
          <w:sz w:val="18"/>
          <w:szCs w:val="18"/>
        </w:rPr>
        <w:t>sia: componente di un raggruppamento temporaneo; associato di una associazione tra professionisti; socio/amministratore/direttore tecnico di una società di professionisti o di ingegneria; dipendente oppure co</w:t>
      </w:r>
      <w:r w:rsidR="00E008DA">
        <w:rPr>
          <w:rFonts w:ascii="Titillium" w:hAnsi="Titillium" w:cstheme="minorHAnsi"/>
          <w:sz w:val="18"/>
          <w:szCs w:val="18"/>
        </w:rPr>
        <w:t xml:space="preserve">nsulente </w:t>
      </w:r>
      <w:r w:rsidR="00525A52" w:rsidRPr="00A962B9">
        <w:rPr>
          <w:rFonts w:ascii="Titillium" w:hAnsi="Titillium" w:cstheme="minorHAnsi"/>
          <w:sz w:val="18"/>
          <w:szCs w:val="18"/>
        </w:rPr>
        <w:t xml:space="preserve"> con contratto di collaborazione coordinata e continuativa su base annua, iscritto all’albo professionale e munito di partiva IVA, che abbia fatturato nei confronti del concorrente una quota superiore al cinquanta per cento del proprio fatturato annuo, risultante dall’ultima dichiarazione IVA)</w:t>
      </w:r>
      <w:r w:rsidR="00E008DA">
        <w:rPr>
          <w:rFonts w:ascii="Titillium" w:hAnsi="Titillium" w:cstheme="minorHAnsi"/>
          <w:sz w:val="18"/>
          <w:szCs w:val="18"/>
        </w:rPr>
        <w:t xml:space="preserve">; </w:t>
      </w:r>
      <w:r w:rsidR="00E008DA" w:rsidRPr="003A78AD">
        <w:rPr>
          <w:rFonts w:ascii="Titillium" w:hAnsi="Titillium" w:cstheme="minorHAnsi"/>
          <w:sz w:val="18"/>
          <w:szCs w:val="18"/>
        </w:rPr>
        <w:t>ausiliario</w:t>
      </w:r>
      <w:r w:rsidR="000B0E59">
        <w:rPr>
          <w:rFonts w:ascii="Titillium" w:hAnsi="Titillium" w:cstheme="minorHAnsi"/>
          <w:sz w:val="18"/>
          <w:szCs w:val="18"/>
        </w:rPr>
        <w:t>.</w:t>
      </w:r>
      <w:r w:rsidR="00B2155B" w:rsidRPr="00DE009A">
        <w:rPr>
          <w:rFonts w:ascii="Titillium" w:hAnsi="Titillium" w:cstheme="minorHAnsi"/>
          <w:strike/>
          <w:sz w:val="18"/>
          <w:szCs w:val="18"/>
        </w:rPr>
        <w:t xml:space="preserve"> </w:t>
      </w:r>
      <w:r w:rsidR="00E008DA" w:rsidRPr="00DE009A">
        <w:rPr>
          <w:rFonts w:ascii="Titillium" w:hAnsi="Titillium" w:cstheme="minorHAnsi"/>
          <w:strike/>
          <w:sz w:val="18"/>
          <w:szCs w:val="18"/>
        </w:rPr>
        <w:t xml:space="preserve"> </w:t>
      </w:r>
    </w:p>
    <w:p w14:paraId="41250A46" w14:textId="4EAA9E8D" w:rsidR="00E008DA" w:rsidRPr="00E008DA" w:rsidRDefault="00E008DA" w:rsidP="00E008DA">
      <w:pPr>
        <w:rPr>
          <w:rFonts w:ascii="Titillium" w:hAnsi="Titillium" w:cstheme="minorHAnsi"/>
          <w:b/>
          <w:bCs/>
          <w:sz w:val="18"/>
          <w:szCs w:val="18"/>
        </w:rPr>
      </w:pPr>
      <w:r w:rsidRPr="00E008DA">
        <w:rPr>
          <w:rFonts w:ascii="Titillium" w:hAnsi="Titillium" w:cstheme="minorHAnsi"/>
          <w:b/>
          <w:bCs/>
          <w:sz w:val="18"/>
          <w:szCs w:val="18"/>
        </w:rPr>
        <w:t></w:t>
      </w:r>
      <w:r w:rsidRPr="00E008DA">
        <w:rPr>
          <w:rFonts w:ascii="Titillium" w:hAnsi="Titillium" w:cstheme="minorHAnsi"/>
          <w:b/>
          <w:bCs/>
          <w:sz w:val="18"/>
          <w:szCs w:val="18"/>
        </w:rPr>
        <w:tab/>
      </w:r>
    </w:p>
    <w:p w14:paraId="70064611" w14:textId="25B7BB9F" w:rsidR="00EE4383" w:rsidRDefault="00765419" w:rsidP="00525A52">
      <w:pPr>
        <w:rPr>
          <w:rFonts w:ascii="Titillium" w:hAnsi="Titillium" w:cstheme="minorHAnsi"/>
          <w:sz w:val="18"/>
          <w:szCs w:val="18"/>
        </w:rPr>
      </w:pPr>
      <w:r w:rsidRPr="000500CF">
        <w:rPr>
          <w:rFonts w:ascii="Titillium" w:hAnsi="Titillium" w:cstheme="minorHAnsi"/>
          <w:b/>
          <w:bCs/>
          <w:sz w:val="18"/>
          <w:szCs w:val="18"/>
        </w:rPr>
        <w:t>[</w:t>
      </w:r>
      <w:r w:rsidR="00525A52" w:rsidRPr="004325D1">
        <w:rPr>
          <w:rFonts w:ascii="Titillium" w:hAnsi="Titillium" w:cstheme="minorHAnsi"/>
          <w:b/>
          <w:bCs/>
          <w:i/>
          <w:iCs/>
          <w:sz w:val="18"/>
          <w:szCs w:val="18"/>
        </w:rPr>
        <w:t>Facoltativo</w:t>
      </w:r>
      <w:r w:rsidRPr="000500CF">
        <w:rPr>
          <w:rFonts w:ascii="Titillium" w:hAnsi="Titillium" w:cstheme="minorHAnsi"/>
          <w:b/>
          <w:bCs/>
          <w:sz w:val="18"/>
          <w:szCs w:val="18"/>
        </w:rPr>
        <w:t>]</w:t>
      </w:r>
      <w:r w:rsidR="00525A52" w:rsidRPr="000500CF">
        <w:rPr>
          <w:rFonts w:ascii="Titillium" w:hAnsi="Titillium" w:cstheme="minorHAnsi"/>
          <w:sz w:val="18"/>
          <w:szCs w:val="18"/>
        </w:rPr>
        <w:t>: P</w:t>
      </w:r>
      <w:r w:rsidR="00525A52" w:rsidRPr="00A962B9">
        <w:rPr>
          <w:rFonts w:ascii="Titillium" w:hAnsi="Titillium" w:cstheme="minorHAnsi"/>
          <w:sz w:val="18"/>
          <w:szCs w:val="18"/>
        </w:rPr>
        <w:t>ossono far parte del gruppo di lavoro anche i professionisti legati al concorrente in virtù di un rapporto di consulenza occasionalmente stabilito ad hoc per l’appalto</w:t>
      </w:r>
      <w:r w:rsidR="00605A83" w:rsidRPr="00A962B9">
        <w:rPr>
          <w:rFonts w:ascii="Titillium" w:hAnsi="Titillium" w:cstheme="minorHAnsi"/>
          <w:sz w:val="18"/>
          <w:szCs w:val="18"/>
        </w:rPr>
        <w:t xml:space="preserve"> </w:t>
      </w:r>
      <w:r w:rsidR="00525A52" w:rsidRPr="00A962B9">
        <w:rPr>
          <w:rFonts w:ascii="Titillium" w:hAnsi="Titillium" w:cstheme="minorHAnsi"/>
          <w:sz w:val="18"/>
          <w:szCs w:val="18"/>
        </w:rPr>
        <w:t>in</w:t>
      </w:r>
      <w:r w:rsidR="00605A83" w:rsidRPr="00A962B9">
        <w:rPr>
          <w:rFonts w:ascii="Titillium" w:hAnsi="Titillium" w:cstheme="minorHAnsi"/>
          <w:sz w:val="18"/>
          <w:szCs w:val="18"/>
        </w:rPr>
        <w:t xml:space="preserve"> questione </w:t>
      </w:r>
      <w:r w:rsidR="00525A52" w:rsidRPr="00A962B9">
        <w:rPr>
          <w:rFonts w:ascii="Titillium" w:hAnsi="Titillium" w:cstheme="minorHAnsi"/>
          <w:sz w:val="18"/>
          <w:szCs w:val="18"/>
        </w:rPr>
        <w:t>prima della presentazione dell’offerta</w:t>
      </w:r>
      <w:r w:rsidR="00605A83" w:rsidRPr="00A962B9">
        <w:rPr>
          <w:rFonts w:ascii="Titillium" w:hAnsi="Titillium" w:cstheme="minorHAnsi"/>
          <w:sz w:val="18"/>
          <w:szCs w:val="18"/>
        </w:rPr>
        <w:t xml:space="preserve"> e per tutta la durata della prestazione.  </w:t>
      </w:r>
    </w:p>
    <w:p w14:paraId="4F4ACAC8" w14:textId="77777777" w:rsidR="00A962B9" w:rsidRDefault="00A962B9" w:rsidP="00525A52">
      <w:pPr>
        <w:rPr>
          <w:rFonts w:ascii="Titillium" w:hAnsi="Titillium" w:cstheme="minorHAnsi"/>
          <w:sz w:val="18"/>
          <w:szCs w:val="18"/>
        </w:rPr>
      </w:pPr>
    </w:p>
    <w:p w14:paraId="30BF28C0" w14:textId="3090F345" w:rsidR="00A962B9" w:rsidRPr="004501FC" w:rsidRDefault="00A962B9" w:rsidP="00D26F03">
      <w:pPr>
        <w:pStyle w:val="Paragrafoelenco"/>
        <w:keepNext/>
        <w:numPr>
          <w:ilvl w:val="1"/>
          <w:numId w:val="54"/>
        </w:numPr>
        <w:spacing w:before="120" w:after="60"/>
        <w:outlineLvl w:val="2"/>
        <w:rPr>
          <w:rFonts w:ascii="Titillium" w:hAnsi="Titillium"/>
          <w:b/>
          <w:bCs/>
          <w:caps/>
          <w:sz w:val="18"/>
          <w:szCs w:val="18"/>
        </w:rPr>
      </w:pPr>
      <w:r w:rsidRPr="004501FC">
        <w:rPr>
          <w:rFonts w:ascii="Titillium" w:hAnsi="Titillium"/>
          <w:b/>
          <w:bCs/>
          <w:caps/>
          <w:sz w:val="18"/>
          <w:szCs w:val="18"/>
        </w:rPr>
        <w:t xml:space="preserve">REQUISITI DI CAPACITÀ ECONOMICA E FINANZIARIA </w:t>
      </w:r>
    </w:p>
    <w:tbl>
      <w:tblPr>
        <w:tblStyle w:val="Grigliatabella"/>
        <w:tblW w:w="0" w:type="auto"/>
        <w:tblInd w:w="-5" w:type="dxa"/>
        <w:tblLook w:val="04A0" w:firstRow="1" w:lastRow="0" w:firstColumn="1" w:lastColumn="0" w:noHBand="0" w:noVBand="1"/>
      </w:tblPr>
      <w:tblGrid>
        <w:gridCol w:w="9182"/>
      </w:tblGrid>
      <w:tr w:rsidR="00FE7692" w14:paraId="34D19915" w14:textId="77777777" w:rsidTr="00EF5940">
        <w:trPr>
          <w:trHeight w:val="1612"/>
        </w:trPr>
        <w:tc>
          <w:tcPr>
            <w:tcW w:w="9182" w:type="dxa"/>
          </w:tcPr>
          <w:p w14:paraId="5226C7F3" w14:textId="7CAE800B" w:rsidR="00FE7692" w:rsidRPr="00FE7692" w:rsidRDefault="00950BD8" w:rsidP="00FE7692">
            <w:pPr>
              <w:keepNext/>
              <w:spacing w:before="120" w:after="60"/>
              <w:outlineLvl w:val="2"/>
              <w:rPr>
                <w:rFonts w:ascii="Titillium" w:hAnsi="Titillium"/>
                <w:i/>
                <w:iCs/>
                <w:caps/>
                <w:sz w:val="18"/>
                <w:szCs w:val="18"/>
              </w:rPr>
            </w:pPr>
            <w:r>
              <w:rPr>
                <w:rFonts w:ascii="Titillium" w:hAnsi="Titillium"/>
                <w:i/>
                <w:iCs/>
                <w:sz w:val="18"/>
                <w:szCs w:val="18"/>
              </w:rPr>
              <w:t>N.B.</w:t>
            </w:r>
            <w:r w:rsidR="00EF5940">
              <w:rPr>
                <w:rFonts w:ascii="Titillium" w:hAnsi="Titillium"/>
                <w:i/>
                <w:iCs/>
                <w:sz w:val="18"/>
                <w:szCs w:val="18"/>
              </w:rPr>
              <w:t xml:space="preserve"> </w:t>
            </w:r>
            <w:r w:rsidR="00FE7692">
              <w:rPr>
                <w:rFonts w:ascii="Titillium" w:hAnsi="Titillium"/>
                <w:i/>
                <w:iCs/>
                <w:sz w:val="18"/>
                <w:szCs w:val="18"/>
              </w:rPr>
              <w:t>I</w:t>
            </w:r>
            <w:r w:rsidR="00FE7692" w:rsidRPr="00FE7692">
              <w:rPr>
                <w:rFonts w:ascii="Titillium" w:hAnsi="Titillium"/>
                <w:i/>
                <w:iCs/>
                <w:sz w:val="18"/>
                <w:szCs w:val="18"/>
              </w:rPr>
              <w:t xml:space="preserve">l correttivo al codice appalti ha aggiunto il comma 1-bis, all'articolo 40 dell'allegato </w:t>
            </w:r>
            <w:r w:rsidR="00EF5940">
              <w:rPr>
                <w:rFonts w:ascii="Titillium" w:hAnsi="Titillium"/>
                <w:i/>
                <w:iCs/>
                <w:sz w:val="18"/>
                <w:szCs w:val="18"/>
              </w:rPr>
              <w:t>II</w:t>
            </w:r>
            <w:r w:rsidR="00FE7692" w:rsidRPr="00FE7692">
              <w:rPr>
                <w:rFonts w:ascii="Titillium" w:hAnsi="Titillium"/>
                <w:i/>
                <w:iCs/>
                <w:sz w:val="18"/>
                <w:szCs w:val="18"/>
              </w:rPr>
              <w:t>.12</w:t>
            </w:r>
            <w:r w:rsidR="00841093">
              <w:rPr>
                <w:rFonts w:ascii="Titillium" w:hAnsi="Titillium"/>
                <w:i/>
                <w:iCs/>
                <w:sz w:val="18"/>
                <w:szCs w:val="18"/>
              </w:rPr>
              <w:t xml:space="preserve"> al Codice</w:t>
            </w:r>
            <w:r w:rsidR="00FE7692" w:rsidRPr="00FE7692">
              <w:rPr>
                <w:rFonts w:ascii="Titillium" w:hAnsi="Titillium"/>
                <w:i/>
                <w:iCs/>
                <w:sz w:val="18"/>
                <w:szCs w:val="18"/>
              </w:rPr>
              <w:t>, il quale prevede che, nei servizi di architettura e ingegneria e negli altri servizi tecnici, i requisiti economico-finanziari sono dimostrati, alternativamente: tramite una copertura assicurativa con massimale pari al 10% dell'importo delle opere o mediante  fatturato globale maturato nei migliori 3 esercizi degli ultimi 5 anni antecedenti la pubblicazione del bando e non superiore al valore stimato dell'appalto.</w:t>
            </w:r>
          </w:p>
        </w:tc>
      </w:tr>
    </w:tbl>
    <w:p w14:paraId="7C5D3FA2" w14:textId="543B5744" w:rsidR="00A962B9" w:rsidRPr="00A962B9" w:rsidRDefault="00A962B9" w:rsidP="00D26F03">
      <w:pPr>
        <w:pStyle w:val="Paragrafoelenco"/>
        <w:numPr>
          <w:ilvl w:val="0"/>
          <w:numId w:val="36"/>
        </w:numPr>
        <w:spacing w:before="60" w:after="60"/>
        <w:ind w:left="426"/>
        <w:rPr>
          <w:rFonts w:ascii="Titillium" w:hAnsi="Titillium" w:cs="Arial"/>
          <w:bCs/>
          <w:i/>
          <w:sz w:val="18"/>
          <w:szCs w:val="18"/>
        </w:rPr>
      </w:pPr>
      <w:r w:rsidRPr="00072B95">
        <w:rPr>
          <w:rFonts w:ascii="Titillium" w:hAnsi="Titillium" w:cs="Arial"/>
          <w:b/>
          <w:i/>
          <w:sz w:val="18"/>
          <w:szCs w:val="18"/>
        </w:rPr>
        <w:t>[Facoltativo]</w:t>
      </w:r>
      <w:r w:rsidRPr="00A962B9">
        <w:rPr>
          <w:rFonts w:ascii="Titillium" w:hAnsi="Titillium" w:cs="Arial"/>
          <w:b/>
          <w:i/>
          <w:sz w:val="18"/>
          <w:szCs w:val="18"/>
        </w:rPr>
        <w:t xml:space="preserve"> </w:t>
      </w:r>
      <w:r w:rsidRPr="00A962B9">
        <w:rPr>
          <w:rFonts w:ascii="Titillium" w:hAnsi="Titillium" w:cs="Arial"/>
          <w:bCs/>
          <w:iCs/>
          <w:sz w:val="18"/>
          <w:szCs w:val="18"/>
        </w:rPr>
        <w:t>Fatturato globale maturato nei migliori tre esercizi degli ultimi cinque anni antecedenti la pubblicazione del bando di gara pari a € … IVA esclusa</w:t>
      </w:r>
      <w:r w:rsidR="006077CE">
        <w:rPr>
          <w:rFonts w:ascii="Titillium" w:hAnsi="Titillium" w:cs="Arial"/>
          <w:b/>
          <w:iCs/>
          <w:sz w:val="18"/>
          <w:szCs w:val="18"/>
        </w:rPr>
        <w:t xml:space="preserve"> </w:t>
      </w:r>
      <w:r w:rsidR="006077CE" w:rsidRPr="006077CE">
        <w:rPr>
          <w:rFonts w:ascii="Titillium" w:hAnsi="Titillium" w:cs="Arial"/>
          <w:bCs/>
          <w:i/>
          <w:sz w:val="18"/>
          <w:szCs w:val="18"/>
        </w:rPr>
        <w:t>[</w:t>
      </w:r>
      <w:r w:rsidRPr="00A962B9">
        <w:rPr>
          <w:rFonts w:ascii="Titillium" w:hAnsi="Titillium" w:cs="Arial"/>
          <w:bCs/>
          <w:i/>
          <w:sz w:val="18"/>
          <w:szCs w:val="18"/>
        </w:rPr>
        <w:t>indicare un importo non superiore al valore stimato dell’appalto</w:t>
      </w:r>
      <w:r w:rsidR="006077CE">
        <w:rPr>
          <w:rFonts w:ascii="Titillium" w:hAnsi="Titillium" w:cs="Arial"/>
          <w:bCs/>
          <w:i/>
          <w:sz w:val="18"/>
          <w:szCs w:val="18"/>
        </w:rPr>
        <w:t>]</w:t>
      </w:r>
      <w:r w:rsidRPr="00A962B9">
        <w:rPr>
          <w:rFonts w:ascii="Titillium" w:hAnsi="Titillium" w:cs="Arial"/>
          <w:bCs/>
          <w:i/>
          <w:sz w:val="18"/>
          <w:szCs w:val="18"/>
        </w:rPr>
        <w:t xml:space="preserve">  </w:t>
      </w:r>
    </w:p>
    <w:p w14:paraId="205F34B2" w14:textId="198657C8" w:rsidR="00A962B9" w:rsidRPr="002E28F1" w:rsidRDefault="00A962B9" w:rsidP="00A962B9">
      <w:pPr>
        <w:rPr>
          <w:rFonts w:ascii="Titillium" w:hAnsi="Titillium" w:cs="Arial"/>
          <w:i/>
          <w:strike/>
          <w:sz w:val="18"/>
          <w:szCs w:val="24"/>
        </w:rPr>
      </w:pPr>
      <w:r w:rsidRPr="00A962B9">
        <w:rPr>
          <w:rFonts w:ascii="Titillium" w:hAnsi="Titillium" w:cs="Arial"/>
          <w:i/>
          <w:sz w:val="18"/>
          <w:szCs w:val="24"/>
        </w:rPr>
        <w:t xml:space="preserve">[Nel caso di suddivisione in lotti indicare il requisito richiesto per ciascun lotto o gruppi di lotti aggiudicabili contemporaneamente. Nel caso in cui sia previsto un numero massimo di lotti aggiudicabili al medesimo operatore economico, il requisito richiesto deve essere commisurato </w:t>
      </w:r>
      <w:r w:rsidRPr="003A78AD">
        <w:rPr>
          <w:rFonts w:ascii="Titillium" w:hAnsi="Titillium" w:cs="Arial"/>
          <w:i/>
          <w:sz w:val="18"/>
          <w:szCs w:val="24"/>
        </w:rPr>
        <w:t>a</w:t>
      </w:r>
      <w:r w:rsidR="002E28F1" w:rsidRPr="003A78AD">
        <w:rPr>
          <w:rFonts w:ascii="Titillium" w:hAnsi="Titillium" w:cs="Arial"/>
          <w:i/>
          <w:sz w:val="18"/>
          <w:szCs w:val="24"/>
        </w:rPr>
        <w:t xml:space="preserve">l valore </w:t>
      </w:r>
      <w:r w:rsidR="00406EAE" w:rsidRPr="00A962B9">
        <w:rPr>
          <w:rFonts w:ascii="Titillium" w:hAnsi="Titillium" w:cs="Arial"/>
          <w:i/>
          <w:sz w:val="18"/>
          <w:szCs w:val="24"/>
        </w:rPr>
        <w:t>d</w:t>
      </w:r>
      <w:r w:rsidR="00406EAE">
        <w:rPr>
          <w:rFonts w:ascii="Titillium" w:hAnsi="Titillium" w:cs="Arial"/>
          <w:i/>
          <w:sz w:val="18"/>
          <w:szCs w:val="24"/>
        </w:rPr>
        <w:t xml:space="preserve">ei </w:t>
      </w:r>
      <w:r w:rsidR="00406EAE" w:rsidRPr="003A78AD">
        <w:rPr>
          <w:rFonts w:ascii="Titillium" w:hAnsi="Titillium" w:cs="Arial"/>
          <w:i/>
          <w:sz w:val="18"/>
          <w:szCs w:val="24"/>
        </w:rPr>
        <w:t>lotti</w:t>
      </w:r>
      <w:r w:rsidRPr="003A78AD">
        <w:rPr>
          <w:rFonts w:ascii="Titillium" w:hAnsi="Titillium" w:cs="Arial"/>
          <w:i/>
          <w:sz w:val="18"/>
          <w:szCs w:val="24"/>
        </w:rPr>
        <w:t xml:space="preserve"> </w:t>
      </w:r>
      <w:r w:rsidR="005B4DF5" w:rsidRPr="003A78AD">
        <w:rPr>
          <w:rFonts w:ascii="Titillium" w:hAnsi="Titillium" w:cs="Arial"/>
          <w:i/>
          <w:sz w:val="18"/>
          <w:szCs w:val="24"/>
        </w:rPr>
        <w:t>aggiudicabili</w:t>
      </w:r>
      <w:r w:rsidR="00684903" w:rsidRPr="00684903">
        <w:rPr>
          <w:rFonts w:ascii="Titillium" w:hAnsi="Titillium" w:cs="Arial"/>
          <w:i/>
          <w:sz w:val="18"/>
          <w:szCs w:val="24"/>
        </w:rPr>
        <w:t>]</w:t>
      </w:r>
      <w:r w:rsidR="005B4DF5" w:rsidRPr="003A78AD">
        <w:rPr>
          <w:rFonts w:ascii="Titillium" w:hAnsi="Titillium" w:cs="Arial"/>
          <w:i/>
          <w:sz w:val="18"/>
          <w:szCs w:val="24"/>
        </w:rPr>
        <w:t>.</w:t>
      </w:r>
    </w:p>
    <w:p w14:paraId="7F755A77" w14:textId="51B996B4" w:rsidR="00A962B9" w:rsidRPr="00A962B9" w:rsidRDefault="00A962B9" w:rsidP="00A962B9">
      <w:r w:rsidRPr="00A962B9">
        <w:rPr>
          <w:rFonts w:ascii="Titillium" w:hAnsi="Titillium" w:cs="Arial"/>
          <w:sz w:val="18"/>
          <w:szCs w:val="18"/>
          <w:u w:val="single"/>
        </w:rPr>
        <w:t>La comprova del requisito</w:t>
      </w:r>
      <w:r w:rsidRPr="00A962B9">
        <w:rPr>
          <w:rFonts w:ascii="Titillium" w:hAnsi="Titillium" w:cs="Arial"/>
          <w:sz w:val="18"/>
          <w:szCs w:val="18"/>
        </w:rPr>
        <w:t xml:space="preserve"> è fornita mediante uno dei seguenti documenti:</w:t>
      </w:r>
    </w:p>
    <w:p w14:paraId="541C8436" w14:textId="2DC4F5DD" w:rsidR="00A962B9" w:rsidRPr="00A962B9" w:rsidRDefault="00A962B9" w:rsidP="00A962B9">
      <w:pPr>
        <w:numPr>
          <w:ilvl w:val="0"/>
          <w:numId w:val="6"/>
        </w:numPr>
        <w:rPr>
          <w:rFonts w:eastAsia="Calibri"/>
          <w:lang w:eastAsia="it-IT"/>
        </w:rPr>
      </w:pPr>
      <w:r w:rsidRPr="00A962B9">
        <w:rPr>
          <w:rFonts w:ascii="Titillium" w:eastAsia="Calibri" w:hAnsi="Titillium" w:cs="Arial"/>
          <w:sz w:val="18"/>
          <w:szCs w:val="18"/>
          <w:lang w:eastAsia="it-IT"/>
        </w:rPr>
        <w:t xml:space="preserve">per le </w:t>
      </w:r>
      <w:r w:rsidRPr="00A962B9">
        <w:rPr>
          <w:rFonts w:ascii="Titillium" w:eastAsia="Calibri" w:hAnsi="Titillium" w:cs="Calibri"/>
          <w:sz w:val="18"/>
          <w:szCs w:val="18"/>
          <w:lang w:eastAsia="it-IT"/>
        </w:rPr>
        <w:t xml:space="preserve">società di capitali </w:t>
      </w:r>
      <w:r w:rsidR="00406EAE">
        <w:rPr>
          <w:rFonts w:ascii="Titillium" w:eastAsia="Calibri" w:hAnsi="Titillium" w:cs="Calibri"/>
          <w:sz w:val="18"/>
          <w:szCs w:val="18"/>
          <w:lang w:eastAsia="it-IT"/>
        </w:rPr>
        <w:t xml:space="preserve">- </w:t>
      </w:r>
      <w:r w:rsidRPr="00A962B9">
        <w:rPr>
          <w:rFonts w:ascii="Titillium" w:eastAsia="Calibri" w:hAnsi="Titillium" w:cs="Calibri"/>
          <w:sz w:val="18"/>
          <w:szCs w:val="18"/>
          <w:lang w:eastAsia="it-IT"/>
        </w:rPr>
        <w:t xml:space="preserve">bilanci, o estratti di essi, approvati alla data di scadenza del termine per la presentazione delle offerte corredati della nota integrativa; </w:t>
      </w:r>
    </w:p>
    <w:p w14:paraId="52FE7178" w14:textId="6E627197" w:rsidR="00543114" w:rsidRDefault="00A962B9" w:rsidP="00543114">
      <w:pPr>
        <w:numPr>
          <w:ilvl w:val="0"/>
          <w:numId w:val="6"/>
        </w:numPr>
        <w:rPr>
          <w:rFonts w:ascii="Titillium" w:eastAsia="Calibri" w:hAnsi="Titillium" w:cs="Calibri"/>
          <w:sz w:val="18"/>
          <w:szCs w:val="18"/>
          <w:lang w:eastAsia="it-IT"/>
        </w:rPr>
      </w:pPr>
      <w:r w:rsidRPr="00A962B9">
        <w:rPr>
          <w:rFonts w:ascii="Titillium" w:eastAsia="Calibri" w:hAnsi="Titillium" w:cs="Calibri"/>
          <w:sz w:val="18"/>
          <w:szCs w:val="18"/>
          <w:lang w:eastAsia="it-IT"/>
        </w:rPr>
        <w:t xml:space="preserve">per gli operatori economici costituiti in forma d’impresa individuale ovvero di società di persone mediante </w:t>
      </w:r>
      <w:r w:rsidR="00406EAE">
        <w:rPr>
          <w:rFonts w:ascii="Titillium" w:eastAsia="Calibri" w:hAnsi="Titillium" w:cs="Calibri"/>
          <w:sz w:val="18"/>
          <w:szCs w:val="18"/>
          <w:lang w:eastAsia="it-IT"/>
        </w:rPr>
        <w:t xml:space="preserve">- </w:t>
      </w:r>
      <w:r w:rsidRPr="00A962B9">
        <w:rPr>
          <w:rFonts w:ascii="Titillium" w:eastAsia="Calibri" w:hAnsi="Titillium" w:cs="Calibri"/>
          <w:sz w:val="18"/>
          <w:szCs w:val="18"/>
          <w:lang w:eastAsia="it-IT"/>
        </w:rPr>
        <w:t>copia del Modello Unico o la Dichiarazione IVA;</w:t>
      </w:r>
    </w:p>
    <w:p w14:paraId="21350CBB" w14:textId="3BBCBF2A" w:rsidR="00A962B9" w:rsidRPr="00543114" w:rsidRDefault="00A962B9" w:rsidP="00543114">
      <w:pPr>
        <w:numPr>
          <w:ilvl w:val="0"/>
          <w:numId w:val="6"/>
        </w:numPr>
        <w:rPr>
          <w:rFonts w:ascii="Titillium" w:eastAsia="Calibri" w:hAnsi="Titillium" w:cs="Calibri"/>
          <w:sz w:val="18"/>
          <w:szCs w:val="18"/>
          <w:lang w:eastAsia="it-IT"/>
        </w:rPr>
      </w:pPr>
      <w:r w:rsidRPr="00543114">
        <w:rPr>
          <w:rFonts w:ascii="Titillium" w:eastAsia="Calibri" w:hAnsi="Titillium" w:cs="Calibri"/>
          <w:sz w:val="18"/>
          <w:szCs w:val="18"/>
          <w:lang w:eastAsia="it-IT"/>
        </w:rPr>
        <w:t>dichiarazione resa, ai sensi e per gli effetti dell’articolo 47 del decreto del Presidente della Repubblica n. 445/2000, dal soggetto o organo preposto al controllo contabile della società ove presente (sia esso il Collegio sindacale, il revisore contabile o la società di revisione), attestante la misura (importo) del fatturato dichiarato in sede di partecipazione.</w:t>
      </w:r>
    </w:p>
    <w:p w14:paraId="0B36200D" w14:textId="77777777" w:rsidR="00A962B9" w:rsidRPr="00A962B9" w:rsidRDefault="00A962B9" w:rsidP="00A962B9">
      <w:pPr>
        <w:spacing w:before="60" w:after="60"/>
        <w:rPr>
          <w:rFonts w:ascii="Titillium" w:hAnsi="Titillium" w:cs="Arial"/>
          <w:b/>
          <w:i/>
          <w:sz w:val="18"/>
          <w:szCs w:val="18"/>
        </w:rPr>
      </w:pPr>
      <w:r w:rsidRPr="00A962B9">
        <w:rPr>
          <w:rFonts w:ascii="Titillium" w:hAnsi="Titillium" w:cs="Arial"/>
          <w:sz w:val="18"/>
          <w:szCs w:val="18"/>
        </w:rPr>
        <w:t xml:space="preserve">Per le imprese che abbiano iniziato l’attività da meno di tre anni, il requisito di fatturato è rapportato al periodo di attività effettivamente svolto. </w:t>
      </w:r>
    </w:p>
    <w:p w14:paraId="77504A44" w14:textId="4D731244" w:rsidR="00CD1816" w:rsidRDefault="00A962B9" w:rsidP="00A962B9">
      <w:pPr>
        <w:spacing w:before="60" w:after="60"/>
        <w:rPr>
          <w:rFonts w:ascii="Titillium" w:hAnsi="Titillium" w:cs="Arial"/>
          <w:sz w:val="18"/>
          <w:szCs w:val="18"/>
        </w:rPr>
      </w:pPr>
      <w:r w:rsidRPr="00A962B9">
        <w:rPr>
          <w:rFonts w:ascii="Titillium" w:hAnsi="Titillium" w:cs="Arial"/>
          <w:sz w:val="18"/>
          <w:szCs w:val="18"/>
        </w:rPr>
        <w:t>L’operatore economico, che per fondati motivi non è in grado di presentare le referenze richieste può provare la propria capacità economica e finanziaria mediante … [</w:t>
      </w:r>
      <w:r w:rsidRPr="00A962B9">
        <w:rPr>
          <w:rFonts w:ascii="Titillium" w:hAnsi="Titillium" w:cs="Arial"/>
          <w:i/>
          <w:sz w:val="18"/>
          <w:szCs w:val="18"/>
        </w:rPr>
        <w:t xml:space="preserve">indicare altri documenti ritenuti </w:t>
      </w:r>
      <w:r w:rsidR="000373DB" w:rsidRPr="00A962B9">
        <w:rPr>
          <w:rFonts w:ascii="Titillium" w:hAnsi="Titillium" w:cs="Arial"/>
          <w:i/>
          <w:sz w:val="18"/>
          <w:szCs w:val="18"/>
        </w:rPr>
        <w:t>idonei</w:t>
      </w:r>
      <w:r w:rsidR="000373DB">
        <w:rPr>
          <w:rFonts w:ascii="Titillium" w:hAnsi="Titillium" w:cs="Arial"/>
          <w:i/>
          <w:sz w:val="18"/>
          <w:szCs w:val="18"/>
        </w:rPr>
        <w:t>]</w:t>
      </w:r>
      <w:r w:rsidR="00841093">
        <w:rPr>
          <w:rFonts w:ascii="Titillium" w:hAnsi="Titillium" w:cs="Arial"/>
          <w:i/>
          <w:sz w:val="18"/>
          <w:szCs w:val="18"/>
        </w:rPr>
        <w:t>.</w:t>
      </w:r>
    </w:p>
    <w:p w14:paraId="58EAB6F8" w14:textId="75D697D2" w:rsidR="00CD1816" w:rsidRPr="003A78AD" w:rsidRDefault="00CD1816" w:rsidP="00A962B9">
      <w:pPr>
        <w:spacing w:before="60" w:after="60"/>
        <w:rPr>
          <w:rFonts w:ascii="Titillium" w:hAnsi="Titillium" w:cs="Arial"/>
          <w:b/>
          <w:bCs/>
          <w:i/>
          <w:iCs/>
          <w:sz w:val="18"/>
          <w:szCs w:val="18"/>
        </w:rPr>
      </w:pPr>
      <w:r w:rsidRPr="003A78AD">
        <w:rPr>
          <w:rFonts w:ascii="Titillium" w:hAnsi="Titillium" w:cs="Arial"/>
          <w:b/>
          <w:bCs/>
          <w:i/>
          <w:iCs/>
          <w:sz w:val="18"/>
          <w:szCs w:val="18"/>
        </w:rPr>
        <w:t xml:space="preserve">in alternativa  </w:t>
      </w:r>
    </w:p>
    <w:p w14:paraId="15FD9D95" w14:textId="333D9D7C" w:rsidR="00341ECE" w:rsidRPr="00406EAE" w:rsidRDefault="00A962B9" w:rsidP="00D26F03">
      <w:pPr>
        <w:pStyle w:val="Paragrafoelenco"/>
        <w:numPr>
          <w:ilvl w:val="0"/>
          <w:numId w:val="36"/>
        </w:numPr>
        <w:spacing w:before="60" w:after="60"/>
        <w:ind w:left="426"/>
        <w:rPr>
          <w:rFonts w:ascii="Titillium" w:hAnsi="Titillium" w:cs="Arial"/>
          <w:bCs/>
          <w:i/>
          <w:sz w:val="18"/>
          <w:szCs w:val="18"/>
        </w:rPr>
      </w:pPr>
      <w:r w:rsidRPr="00406EAE">
        <w:rPr>
          <w:rFonts w:ascii="Titillium" w:hAnsi="Titillium" w:cs="Arial"/>
          <w:b/>
          <w:i/>
          <w:sz w:val="18"/>
          <w:szCs w:val="18"/>
        </w:rPr>
        <w:t xml:space="preserve"> </w:t>
      </w:r>
      <w:r w:rsidRPr="00406EAE">
        <w:rPr>
          <w:rFonts w:ascii="Titillium" w:hAnsi="Titillium" w:cs="Arial"/>
          <w:bCs/>
          <w:iCs/>
          <w:sz w:val="18"/>
          <w:szCs w:val="18"/>
        </w:rPr>
        <w:t>Copertura assicurativa contro i rischi professionali per un massimale non inferiore ad euro …</w:t>
      </w:r>
      <w:r w:rsidRPr="00406EAE">
        <w:rPr>
          <w:rFonts w:ascii="Titillium" w:hAnsi="Titillium" w:cs="Arial"/>
          <w:bCs/>
          <w:i/>
          <w:sz w:val="18"/>
          <w:szCs w:val="18"/>
        </w:rPr>
        <w:t xml:space="preserve"> </w:t>
      </w:r>
      <w:r w:rsidR="00856E56">
        <w:rPr>
          <w:rFonts w:ascii="Titillium" w:hAnsi="Titillium" w:cs="Arial"/>
          <w:bCs/>
          <w:i/>
          <w:sz w:val="18"/>
          <w:szCs w:val="18"/>
        </w:rPr>
        <w:t>[</w:t>
      </w:r>
      <w:r w:rsidRPr="00406EAE">
        <w:rPr>
          <w:rFonts w:ascii="Titillium" w:hAnsi="Titillium" w:cs="Arial"/>
          <w:bCs/>
          <w:i/>
          <w:sz w:val="18"/>
          <w:szCs w:val="18"/>
        </w:rPr>
        <w:t>indicare un massimale pari al 10% dell’importo de</w:t>
      </w:r>
      <w:r w:rsidR="0003692D" w:rsidRPr="00406EAE">
        <w:rPr>
          <w:rFonts w:ascii="Titillium" w:hAnsi="Titillium" w:cs="Arial"/>
          <w:bCs/>
          <w:i/>
          <w:sz w:val="18"/>
          <w:szCs w:val="18"/>
        </w:rPr>
        <w:t>lle opere</w:t>
      </w:r>
      <w:r w:rsidR="00856E56">
        <w:rPr>
          <w:rFonts w:ascii="Titillium" w:hAnsi="Titillium" w:cs="Arial"/>
          <w:bCs/>
          <w:i/>
          <w:sz w:val="18"/>
          <w:szCs w:val="18"/>
        </w:rPr>
        <w:t>]</w:t>
      </w:r>
      <w:r w:rsidRPr="00406EAE">
        <w:rPr>
          <w:rFonts w:ascii="Titillium" w:hAnsi="Titillium" w:cs="Arial"/>
          <w:bCs/>
          <w:i/>
          <w:sz w:val="18"/>
          <w:szCs w:val="18"/>
        </w:rPr>
        <w:t xml:space="preserve"> </w:t>
      </w:r>
    </w:p>
    <w:p w14:paraId="18103433" w14:textId="1E6E6573" w:rsidR="00856E56" w:rsidRPr="00856E56" w:rsidRDefault="006077CE" w:rsidP="00856E56">
      <w:pPr>
        <w:spacing w:before="60" w:after="60"/>
        <w:ind w:left="283"/>
        <w:rPr>
          <w:rFonts w:ascii="Titillium" w:eastAsia="Calibri" w:hAnsi="Titillium" w:cs="Arial"/>
          <w:sz w:val="18"/>
          <w:szCs w:val="18"/>
          <w:lang w:eastAsia="it-IT"/>
        </w:rPr>
      </w:pPr>
      <w:r w:rsidRPr="00CD1816">
        <w:rPr>
          <w:rFonts w:ascii="Titillium" w:eastAsia="Calibri" w:hAnsi="Titillium" w:cs="Arial"/>
          <w:sz w:val="18"/>
          <w:szCs w:val="18"/>
          <w:lang w:eastAsia="it-IT"/>
        </w:rPr>
        <w:t>La comprova del requisito è fornita mediante</w:t>
      </w:r>
      <w:r w:rsidR="00CD1816" w:rsidRPr="00CD1816">
        <w:rPr>
          <w:rFonts w:ascii="Titillium" w:eastAsia="Calibri" w:hAnsi="Titillium" w:cs="Arial"/>
          <w:sz w:val="18"/>
          <w:szCs w:val="18"/>
          <w:lang w:eastAsia="it-IT"/>
        </w:rPr>
        <w:t xml:space="preserve"> </w:t>
      </w:r>
      <w:r w:rsidRPr="00CD1816">
        <w:rPr>
          <w:rFonts w:ascii="Titillium" w:eastAsia="Calibri" w:hAnsi="Titillium" w:cs="Arial"/>
          <w:sz w:val="18"/>
          <w:szCs w:val="18"/>
          <w:lang w:eastAsia="it-IT"/>
        </w:rPr>
        <w:t xml:space="preserve">copia </w:t>
      </w:r>
      <w:r w:rsidRPr="000B0E59">
        <w:rPr>
          <w:rFonts w:ascii="Titillium" w:eastAsia="Calibri" w:hAnsi="Titillium" w:cs="Arial"/>
          <w:sz w:val="18"/>
          <w:szCs w:val="18"/>
          <w:lang w:eastAsia="it-IT"/>
        </w:rPr>
        <w:t>conforme dell</w:t>
      </w:r>
      <w:r w:rsidR="00856E56" w:rsidRPr="000B0E59">
        <w:rPr>
          <w:rFonts w:ascii="Titillium" w:eastAsia="Calibri" w:hAnsi="Titillium" w:cs="Arial"/>
          <w:sz w:val="18"/>
          <w:szCs w:val="18"/>
          <w:lang w:eastAsia="it-IT"/>
        </w:rPr>
        <w:t>’</w:t>
      </w:r>
      <w:r w:rsidRPr="000B0E59">
        <w:rPr>
          <w:rFonts w:ascii="Titillium" w:eastAsia="Calibri" w:hAnsi="Titillium" w:cs="Arial"/>
          <w:sz w:val="18"/>
          <w:szCs w:val="18"/>
          <w:lang w:eastAsia="it-IT"/>
        </w:rPr>
        <w:t>a</w:t>
      </w:r>
      <w:r w:rsidR="00856E56" w:rsidRPr="000B0E59">
        <w:rPr>
          <w:rFonts w:ascii="Titillium" w:eastAsia="Calibri" w:hAnsi="Titillium" w:cs="Arial"/>
          <w:sz w:val="18"/>
          <w:szCs w:val="18"/>
          <w:lang w:eastAsia="it-IT"/>
        </w:rPr>
        <w:t>pposita</w:t>
      </w:r>
      <w:r w:rsidRPr="000B0E59">
        <w:rPr>
          <w:rFonts w:ascii="Titillium" w:eastAsia="Calibri" w:hAnsi="Titillium" w:cs="Arial"/>
          <w:sz w:val="18"/>
          <w:szCs w:val="18"/>
          <w:lang w:eastAsia="it-IT"/>
        </w:rPr>
        <w:t xml:space="preserve"> polizza</w:t>
      </w:r>
      <w:r w:rsidR="00856E56" w:rsidRPr="000B0E59">
        <w:rPr>
          <w:rFonts w:ascii="Titillium" w:eastAsia="Calibri" w:hAnsi="Titillium" w:cs="Arial"/>
          <w:sz w:val="18"/>
          <w:szCs w:val="18"/>
          <w:lang w:eastAsia="it-IT"/>
        </w:rPr>
        <w:t>.</w:t>
      </w:r>
      <w:r w:rsidR="00856E56">
        <w:rPr>
          <w:rFonts w:ascii="Titillium" w:eastAsia="Calibri" w:hAnsi="Titillium" w:cs="Arial"/>
          <w:sz w:val="18"/>
          <w:szCs w:val="18"/>
          <w:lang w:eastAsia="it-IT"/>
        </w:rPr>
        <w:t xml:space="preserve"> </w:t>
      </w:r>
      <w:r w:rsidR="00856E56" w:rsidRPr="00856E56">
        <w:t xml:space="preserve"> </w:t>
      </w:r>
    </w:p>
    <w:p w14:paraId="6E542F75" w14:textId="6E1593C1" w:rsidR="00856E56" w:rsidRDefault="00856E56" w:rsidP="00856E56">
      <w:pPr>
        <w:spacing w:before="60" w:after="60"/>
        <w:ind w:left="283"/>
        <w:rPr>
          <w:rFonts w:ascii="Titillium" w:eastAsia="Calibri" w:hAnsi="Titillium" w:cs="Arial"/>
          <w:sz w:val="18"/>
          <w:szCs w:val="18"/>
          <w:lang w:eastAsia="it-IT"/>
        </w:rPr>
      </w:pPr>
    </w:p>
    <w:p w14:paraId="25E6C88E" w14:textId="460745D9" w:rsidR="006842EE" w:rsidRDefault="009B6720" w:rsidP="00D26F03">
      <w:pPr>
        <w:pStyle w:val="Titolo3"/>
        <w:numPr>
          <w:ilvl w:val="1"/>
          <w:numId w:val="54"/>
        </w:numPr>
        <w:spacing w:before="120"/>
        <w:ind w:left="426" w:hanging="426"/>
        <w:rPr>
          <w:rFonts w:ascii="Titillium" w:hAnsi="Titillium"/>
          <w:caps w:val="0"/>
          <w:sz w:val="18"/>
          <w:szCs w:val="18"/>
          <w:lang w:val="it-IT"/>
        </w:rPr>
      </w:pPr>
      <w:bookmarkStart w:id="1390" w:name="_Toc227921627"/>
      <w:r w:rsidRPr="009B6720">
        <w:rPr>
          <w:rFonts w:ascii="Titillium" w:hAnsi="Titillium"/>
          <w:caps w:val="0"/>
          <w:sz w:val="18"/>
          <w:szCs w:val="18"/>
          <w:lang w:val="it-IT"/>
        </w:rPr>
        <w:t>REQUISITI DI CAPACITÀ TECNICA E PROFESSIONALE</w:t>
      </w:r>
      <w:bookmarkEnd w:id="1390"/>
      <w:r w:rsidRPr="009B6720">
        <w:rPr>
          <w:rFonts w:ascii="Titillium" w:hAnsi="Titillium"/>
          <w:caps w:val="0"/>
          <w:sz w:val="18"/>
          <w:szCs w:val="18"/>
          <w:lang w:val="it-IT"/>
        </w:rPr>
        <w:t xml:space="preserve"> </w:t>
      </w:r>
    </w:p>
    <w:tbl>
      <w:tblPr>
        <w:tblStyle w:val="Grigliatabella"/>
        <w:tblW w:w="0" w:type="auto"/>
        <w:tblLook w:val="04A0" w:firstRow="1" w:lastRow="0" w:firstColumn="1" w:lastColumn="0" w:noHBand="0" w:noVBand="1"/>
      </w:tblPr>
      <w:tblGrid>
        <w:gridCol w:w="9214"/>
      </w:tblGrid>
      <w:tr w:rsidR="00EF5940" w14:paraId="4753F988" w14:textId="77777777" w:rsidTr="00EF5940">
        <w:tc>
          <w:tcPr>
            <w:tcW w:w="9214" w:type="dxa"/>
          </w:tcPr>
          <w:p w14:paraId="54318B1C" w14:textId="77777777" w:rsidR="00EF5940" w:rsidRPr="00EF5940" w:rsidRDefault="00EF5940" w:rsidP="00EF5940">
            <w:pPr>
              <w:rPr>
                <w:rFonts w:ascii="Titillium" w:hAnsi="Titillium" w:cstheme="minorHAnsi"/>
                <w:i/>
                <w:iCs/>
                <w:sz w:val="18"/>
                <w:szCs w:val="18"/>
              </w:rPr>
            </w:pPr>
            <w:r w:rsidRPr="00EF5940">
              <w:rPr>
                <w:rFonts w:ascii="Titillium" w:hAnsi="Titillium" w:cstheme="minorHAnsi"/>
                <w:i/>
                <w:iCs/>
                <w:sz w:val="18"/>
                <w:szCs w:val="18"/>
              </w:rPr>
              <w:t xml:space="preserve">N.B. Il comma 1 bis dell’articolo 40 dell’Allegato II.12 per quanto attiene ai requisiti di capacità tecnico professionale fa riferimento a contratti analoghi eseguiti nei dieci anni antecedenti la data di pubblicazione del bando. </w:t>
            </w:r>
          </w:p>
          <w:p w14:paraId="479C040B" w14:textId="5F2C4DA5" w:rsidR="00EF5940" w:rsidRDefault="00EF5940" w:rsidP="00EF5940">
            <w:r w:rsidRPr="00EF5940">
              <w:rPr>
                <w:rFonts w:ascii="Titillium" w:hAnsi="Titillium" w:cstheme="minorHAnsi"/>
                <w:i/>
                <w:iCs/>
                <w:sz w:val="18"/>
                <w:szCs w:val="18"/>
              </w:rPr>
              <w:t>Stante la specificità e la stretta correlazione dei servizi di ingegneria ed architettura con i successivi lavori - in conformità a quanto previsto nelle Linee Guida ANAC n.1 “Indirizzi generali sull’affidamento dei servizi attinenti all’architettura e all’ingegneria”, che seppur adottate in vigenza del vecchio codice, contengono indicazioni tali da potersi ritenere ancora applicabili – la dimostrazione dei requisiti di capacità tecnica professionale può essere richiesta sia mediante l’elenco servizi sia mediante i servizi di punta, comunque correlati al valore delle opere. Nel rispetto di quanto stabilito dagli articoli 10 comma 3 e 100, comma 2 del Codice la previsione del requisito facoltativo dell’elenco servizi è da ritenersi, comunque, preferibile in tutti i casi in cui l’appalto non presenti natura e/o complessità, tali da giustificare l’eventuale richiesta del requisito dei servizi di punta.</w:t>
            </w:r>
          </w:p>
        </w:tc>
      </w:tr>
    </w:tbl>
    <w:p w14:paraId="21A8AEE8" w14:textId="3EFF2E12" w:rsidR="006842EE" w:rsidRDefault="008F2625" w:rsidP="00D26F03">
      <w:pPr>
        <w:pStyle w:val="Paragrafoelenco"/>
        <w:numPr>
          <w:ilvl w:val="0"/>
          <w:numId w:val="41"/>
        </w:numPr>
        <w:spacing w:before="60" w:after="60"/>
        <w:ind w:left="426"/>
        <w:rPr>
          <w:rFonts w:ascii="Titillium" w:hAnsi="Titillium" w:cs="Arial"/>
          <w:sz w:val="18"/>
          <w:szCs w:val="18"/>
        </w:rPr>
      </w:pPr>
      <w:r w:rsidRPr="00072B95">
        <w:rPr>
          <w:rFonts w:ascii="Titillium" w:hAnsi="Titillium" w:cs="Arial"/>
          <w:b/>
          <w:i/>
          <w:iCs/>
          <w:sz w:val="18"/>
          <w:szCs w:val="18"/>
        </w:rPr>
        <w:t>[Facoltativo]</w:t>
      </w:r>
      <w:r w:rsidRPr="00534170">
        <w:rPr>
          <w:rFonts w:ascii="Titillium" w:hAnsi="Titillium" w:cs="Arial"/>
          <w:b/>
          <w:sz w:val="18"/>
          <w:szCs w:val="18"/>
        </w:rPr>
        <w:t xml:space="preserve"> </w:t>
      </w:r>
      <w:r w:rsidR="006E5719" w:rsidRPr="00F9533E">
        <w:rPr>
          <w:rFonts w:ascii="Titillium" w:hAnsi="Titillium" w:cs="Arial"/>
          <w:b/>
          <w:bCs/>
          <w:sz w:val="18"/>
          <w:szCs w:val="18"/>
        </w:rPr>
        <w:t xml:space="preserve">Elenco </w:t>
      </w:r>
      <w:r w:rsidRPr="00F9533E">
        <w:rPr>
          <w:rFonts w:ascii="Titillium" w:hAnsi="Titillium" w:cs="Arial"/>
          <w:b/>
          <w:bCs/>
          <w:sz w:val="18"/>
          <w:szCs w:val="18"/>
        </w:rPr>
        <w:t>di servizi di ingegneria e di</w:t>
      </w:r>
      <w:r w:rsidRPr="00534170">
        <w:rPr>
          <w:rFonts w:ascii="Titillium" w:hAnsi="Titillium" w:cs="Arial"/>
          <w:sz w:val="18"/>
          <w:szCs w:val="18"/>
        </w:rPr>
        <w:t xml:space="preserve"> </w:t>
      </w:r>
      <w:r w:rsidRPr="00534170">
        <w:rPr>
          <w:rFonts w:ascii="Titillium" w:hAnsi="Titillium" w:cs="Arial"/>
          <w:b/>
          <w:bCs/>
          <w:sz w:val="18"/>
          <w:szCs w:val="18"/>
        </w:rPr>
        <w:t>architettura espletati negli ultimi dieci anni antecedenti</w:t>
      </w:r>
      <w:r w:rsidRPr="00534170">
        <w:rPr>
          <w:rFonts w:ascii="Titillium" w:hAnsi="Titillium" w:cs="Arial"/>
          <w:sz w:val="18"/>
          <w:szCs w:val="18"/>
        </w:rPr>
        <w:t xml:space="preserve"> la data di pubblicazione del bando </w:t>
      </w:r>
      <w:r w:rsidRPr="00F177EB">
        <w:rPr>
          <w:rFonts w:ascii="Titillium" w:hAnsi="Titillium" w:cs="Arial"/>
          <w:sz w:val="18"/>
          <w:szCs w:val="18"/>
        </w:rPr>
        <w:t>e relativi ai lavori</w:t>
      </w:r>
      <w:r w:rsidRPr="00534170">
        <w:rPr>
          <w:rFonts w:ascii="Titillium" w:hAnsi="Titillium" w:cs="Arial"/>
          <w:sz w:val="18"/>
          <w:szCs w:val="18"/>
        </w:rPr>
        <w:t xml:space="preserve"> di ognuna delle categorie e ID indicate nella successiva tabella e il cui importo </w:t>
      </w:r>
      <w:r w:rsidR="006E5719">
        <w:rPr>
          <w:rFonts w:ascii="Titillium" w:hAnsi="Titillium" w:cs="Arial"/>
          <w:sz w:val="18"/>
          <w:szCs w:val="18"/>
        </w:rPr>
        <w:t>c</w:t>
      </w:r>
      <w:r w:rsidRPr="00534170">
        <w:rPr>
          <w:rFonts w:ascii="Titillium" w:hAnsi="Titillium" w:cs="Arial"/>
          <w:sz w:val="18"/>
          <w:szCs w:val="18"/>
        </w:rPr>
        <w:t>omplessivo, per ogni categoria e ID, è almeno pari a .............</w:t>
      </w:r>
      <w:r>
        <w:rPr>
          <w:rFonts w:ascii="Titillium" w:hAnsi="Titillium" w:cs="Arial"/>
          <w:sz w:val="18"/>
          <w:szCs w:val="18"/>
        </w:rPr>
        <w:t xml:space="preserve"> volte </w:t>
      </w:r>
      <w:r w:rsidRPr="00E03AED">
        <w:rPr>
          <w:rFonts w:ascii="Titillium" w:hAnsi="Titillium" w:cs="Arial"/>
          <w:i/>
          <w:iCs/>
          <w:sz w:val="18"/>
          <w:szCs w:val="18"/>
        </w:rPr>
        <w:t>[la stazione appaltante indica un valore compreso tra 1 e 2 volte]</w:t>
      </w:r>
      <w:r>
        <w:rPr>
          <w:rFonts w:ascii="Titillium" w:hAnsi="Titillium" w:cs="Arial"/>
          <w:sz w:val="18"/>
          <w:szCs w:val="18"/>
        </w:rPr>
        <w:t xml:space="preserve"> l’importo stimato dei lavori della rispettiva categoria e ID.  </w:t>
      </w:r>
    </w:p>
    <w:p w14:paraId="3065F423" w14:textId="77777777" w:rsidR="004325D1" w:rsidRPr="004325D1" w:rsidRDefault="004325D1" w:rsidP="004325D1">
      <w:pPr>
        <w:spacing w:before="60" w:after="60"/>
        <w:ind w:left="6"/>
        <w:rPr>
          <w:rFonts w:ascii="Titillium" w:hAnsi="Titillium" w:cs="Arial"/>
          <w:sz w:val="18"/>
          <w:szCs w:val="18"/>
        </w:rPr>
      </w:pPr>
    </w:p>
    <w:p w14:paraId="5F4AB10D" w14:textId="77777777" w:rsidR="006842EE" w:rsidRPr="006E5719" w:rsidRDefault="008F2625" w:rsidP="006E5719">
      <w:pPr>
        <w:spacing w:before="60" w:after="60"/>
        <w:ind w:left="6"/>
        <w:rPr>
          <w:rFonts w:ascii="Titillium" w:hAnsi="Titillium" w:cs="Arial"/>
          <w:sz w:val="18"/>
          <w:szCs w:val="18"/>
        </w:rPr>
      </w:pPr>
      <w:r w:rsidRPr="006E5719">
        <w:rPr>
          <w:rFonts w:ascii="Titillium" w:hAnsi="Titillium" w:cs="Arial"/>
          <w:sz w:val="18"/>
          <w:szCs w:val="18"/>
        </w:rPr>
        <w:t>Gli importi minimi dei lavori, per categorie e ID, sono riportati nella seguente tabella.</w:t>
      </w:r>
    </w:p>
    <w:p w14:paraId="2B976763" w14:textId="77777777" w:rsidR="006842EE" w:rsidRDefault="008F2625">
      <w:pPr>
        <w:shd w:val="clear" w:color="auto" w:fill="FFFFFF"/>
        <w:ind w:left="233" w:firstLine="129"/>
        <w:rPr>
          <w:rFonts w:ascii="Titillium" w:hAnsi="Titillium" w:cstheme="minorHAnsi"/>
          <w:sz w:val="18"/>
          <w:szCs w:val="18"/>
        </w:rPr>
      </w:pPr>
      <w:r w:rsidRPr="00072B95">
        <w:rPr>
          <w:rFonts w:ascii="Titillium" w:hAnsi="Titillium" w:cstheme="minorHAnsi"/>
          <w:b/>
          <w:bCs/>
          <w:sz w:val="18"/>
          <w:szCs w:val="18"/>
        </w:rPr>
        <w:t>Tabella 5 -</w:t>
      </w:r>
      <w:r>
        <w:rPr>
          <w:rFonts w:ascii="Titillium" w:hAnsi="Titillium" w:cstheme="minorHAnsi"/>
          <w:sz w:val="18"/>
          <w:szCs w:val="18"/>
        </w:rPr>
        <w:t xml:space="preserve"> </w:t>
      </w:r>
      <w:r w:rsidRPr="00072B95">
        <w:rPr>
          <w:rFonts w:ascii="Titillium" w:hAnsi="Titillium" w:cstheme="minorHAnsi"/>
          <w:b/>
          <w:bCs/>
          <w:sz w:val="18"/>
          <w:szCs w:val="18"/>
        </w:rPr>
        <w:t>Categorie, ID e importi minimi dei lavori per l’elenco dei servizi</w:t>
      </w:r>
    </w:p>
    <w:tbl>
      <w:tblPr>
        <w:tblW w:w="8966" w:type="dxa"/>
        <w:tblInd w:w="243" w:type="dxa"/>
        <w:tblLayout w:type="fixed"/>
        <w:tblLook w:val="0000" w:firstRow="0" w:lastRow="0" w:firstColumn="0" w:lastColumn="0" w:noHBand="0" w:noVBand="0"/>
      </w:tblPr>
      <w:tblGrid>
        <w:gridCol w:w="2304"/>
        <w:gridCol w:w="1984"/>
        <w:gridCol w:w="2127"/>
        <w:gridCol w:w="2551"/>
      </w:tblGrid>
      <w:tr w:rsidR="006842EE" w14:paraId="75073A89" w14:textId="77777777" w:rsidTr="00D262AD">
        <w:trPr>
          <w:trHeight w:val="629"/>
        </w:trPr>
        <w:tc>
          <w:tcPr>
            <w:tcW w:w="2304" w:type="dxa"/>
            <w:tcBorders>
              <w:top w:val="single" w:sz="4" w:space="0" w:color="000000"/>
              <w:left w:val="single" w:sz="4" w:space="0" w:color="000000"/>
              <w:bottom w:val="single" w:sz="4" w:space="0" w:color="000000"/>
              <w:right w:val="single" w:sz="4" w:space="0" w:color="000000"/>
            </w:tcBorders>
          </w:tcPr>
          <w:p w14:paraId="651A3C51" w14:textId="77777777" w:rsidR="006842EE" w:rsidRDefault="008F2625">
            <w:pPr>
              <w:widowControl w:val="0"/>
              <w:shd w:val="clear" w:color="auto" w:fill="FFFFFF"/>
              <w:ind w:left="107"/>
              <w:rPr>
                <w:rFonts w:ascii="Titillium" w:hAnsi="Titillium" w:cstheme="minorHAnsi"/>
                <w:b/>
                <w:sz w:val="18"/>
                <w:szCs w:val="18"/>
              </w:rPr>
            </w:pPr>
            <w:r>
              <w:rPr>
                <w:rFonts w:ascii="Titillium" w:hAnsi="Titillium" w:cstheme="minorHAnsi"/>
                <w:b/>
                <w:sz w:val="18"/>
                <w:szCs w:val="18"/>
              </w:rPr>
              <w:t>Categoria e ID delle opere</w:t>
            </w:r>
          </w:p>
        </w:tc>
        <w:tc>
          <w:tcPr>
            <w:tcW w:w="1984" w:type="dxa"/>
            <w:tcBorders>
              <w:top w:val="single" w:sz="4" w:space="0" w:color="000000"/>
              <w:left w:val="single" w:sz="4" w:space="0" w:color="000000"/>
              <w:bottom w:val="single" w:sz="4" w:space="0" w:color="000000"/>
              <w:right w:val="single" w:sz="4" w:space="0" w:color="000000"/>
            </w:tcBorders>
          </w:tcPr>
          <w:p w14:paraId="42810B31" w14:textId="77777777" w:rsidR="00D262AD" w:rsidRDefault="008F2625">
            <w:pPr>
              <w:widowControl w:val="0"/>
              <w:shd w:val="clear" w:color="auto" w:fill="FFFFFF"/>
              <w:ind w:left="107"/>
              <w:rPr>
                <w:rFonts w:ascii="Titillium" w:hAnsi="Titillium" w:cstheme="minorHAnsi"/>
                <w:b/>
                <w:sz w:val="18"/>
                <w:szCs w:val="18"/>
              </w:rPr>
            </w:pPr>
            <w:r>
              <w:rPr>
                <w:rFonts w:ascii="Titillium" w:hAnsi="Titillium" w:cstheme="minorHAnsi"/>
                <w:b/>
                <w:sz w:val="18"/>
                <w:szCs w:val="18"/>
              </w:rPr>
              <w:t xml:space="preserve">Corrispondenza </w:t>
            </w:r>
          </w:p>
          <w:p w14:paraId="3A88C97E" w14:textId="1935DD8C" w:rsidR="006842EE" w:rsidRDefault="008F2625">
            <w:pPr>
              <w:widowControl w:val="0"/>
              <w:shd w:val="clear" w:color="auto" w:fill="FFFFFF"/>
              <w:ind w:left="107"/>
              <w:rPr>
                <w:rFonts w:ascii="Titillium" w:hAnsi="Titillium" w:cstheme="minorHAnsi"/>
                <w:b/>
                <w:sz w:val="18"/>
                <w:szCs w:val="18"/>
              </w:rPr>
            </w:pPr>
            <w:r>
              <w:rPr>
                <w:rFonts w:ascii="Titillium" w:hAnsi="Titillium" w:cstheme="minorHAnsi"/>
                <w:b/>
                <w:sz w:val="18"/>
                <w:szCs w:val="18"/>
              </w:rPr>
              <w:t>l. 143/49</w:t>
            </w:r>
          </w:p>
        </w:tc>
        <w:tc>
          <w:tcPr>
            <w:tcW w:w="2127" w:type="dxa"/>
            <w:tcBorders>
              <w:top w:val="single" w:sz="4" w:space="0" w:color="000000"/>
              <w:left w:val="single" w:sz="4" w:space="0" w:color="000000"/>
              <w:bottom w:val="single" w:sz="4" w:space="0" w:color="000000"/>
              <w:right w:val="single" w:sz="4" w:space="0" w:color="000000"/>
            </w:tcBorders>
          </w:tcPr>
          <w:p w14:paraId="2CA6A6FD" w14:textId="77777777" w:rsidR="006842EE" w:rsidRDefault="008F2625">
            <w:pPr>
              <w:widowControl w:val="0"/>
              <w:shd w:val="clear" w:color="auto" w:fill="FFFFFF"/>
              <w:ind w:left="507" w:hanging="336"/>
              <w:rPr>
                <w:rFonts w:ascii="Titillium" w:hAnsi="Titillium" w:cstheme="minorHAnsi"/>
                <w:b/>
                <w:sz w:val="18"/>
                <w:szCs w:val="18"/>
              </w:rPr>
            </w:pPr>
            <w:r>
              <w:rPr>
                <w:rFonts w:ascii="Titillium" w:hAnsi="Titillium" w:cstheme="minorHAnsi"/>
                <w:b/>
                <w:sz w:val="18"/>
                <w:szCs w:val="18"/>
              </w:rPr>
              <w:t>Valore delle opere</w:t>
            </w:r>
          </w:p>
        </w:tc>
        <w:tc>
          <w:tcPr>
            <w:tcW w:w="2551" w:type="dxa"/>
            <w:tcBorders>
              <w:top w:val="single" w:sz="4" w:space="0" w:color="000000"/>
              <w:left w:val="single" w:sz="4" w:space="0" w:color="000000"/>
              <w:bottom w:val="single" w:sz="4" w:space="0" w:color="000000"/>
              <w:right w:val="single" w:sz="4" w:space="0" w:color="000000"/>
            </w:tcBorders>
          </w:tcPr>
          <w:p w14:paraId="106104F1" w14:textId="7E2BADD8" w:rsidR="006842EE" w:rsidRDefault="008F2625">
            <w:pPr>
              <w:widowControl w:val="0"/>
              <w:shd w:val="clear" w:color="auto" w:fill="FFFFFF"/>
              <w:tabs>
                <w:tab w:val="left" w:pos="1718"/>
              </w:tabs>
              <w:ind w:left="105"/>
              <w:rPr>
                <w:rFonts w:ascii="Titillium" w:hAnsi="Titillium" w:cstheme="minorHAnsi"/>
                <w:b/>
                <w:sz w:val="18"/>
                <w:szCs w:val="18"/>
              </w:rPr>
            </w:pPr>
            <w:r>
              <w:rPr>
                <w:rFonts w:ascii="Titillium" w:hAnsi="Titillium" w:cstheme="minorHAnsi"/>
                <w:b/>
                <w:sz w:val="18"/>
                <w:szCs w:val="18"/>
              </w:rPr>
              <w:t>Importo complessivo minimo per l’elenco dei servizi</w:t>
            </w:r>
          </w:p>
        </w:tc>
      </w:tr>
      <w:tr w:rsidR="006842EE" w14:paraId="79EC3E31" w14:textId="77777777" w:rsidTr="00D262AD">
        <w:trPr>
          <w:trHeight w:val="891"/>
        </w:trPr>
        <w:tc>
          <w:tcPr>
            <w:tcW w:w="2304" w:type="dxa"/>
            <w:tcBorders>
              <w:top w:val="single" w:sz="4" w:space="0" w:color="000000"/>
              <w:left w:val="single" w:sz="4" w:space="0" w:color="000000"/>
              <w:bottom w:val="single" w:sz="4" w:space="0" w:color="000000"/>
              <w:right w:val="single" w:sz="4" w:space="0" w:color="000000"/>
            </w:tcBorders>
          </w:tcPr>
          <w:p w14:paraId="315D8152" w14:textId="110F3CBC" w:rsidR="006842EE" w:rsidRDefault="008F2625">
            <w:pPr>
              <w:widowControl w:val="0"/>
              <w:shd w:val="clear" w:color="auto" w:fill="FFFFFF"/>
              <w:ind w:left="107"/>
              <w:rPr>
                <w:rFonts w:ascii="Titillium" w:hAnsi="Titillium" w:cstheme="minorHAnsi"/>
                <w:i/>
                <w:sz w:val="18"/>
                <w:szCs w:val="18"/>
              </w:rPr>
            </w:pPr>
            <w:r>
              <w:rPr>
                <w:rFonts w:ascii="Titillium" w:hAnsi="Titillium" w:cstheme="minorHAnsi"/>
                <w:i/>
                <w:sz w:val="18"/>
                <w:szCs w:val="18"/>
              </w:rPr>
              <w:t>[ad es. STRUTTURE:</w:t>
            </w:r>
            <w:r w:rsidR="00721E36">
              <w:rPr>
                <w:rFonts w:ascii="Titillium" w:hAnsi="Titillium" w:cstheme="minorHAnsi"/>
                <w:i/>
                <w:sz w:val="18"/>
                <w:szCs w:val="18"/>
              </w:rPr>
              <w:t xml:space="preserve"> </w:t>
            </w:r>
            <w:r>
              <w:rPr>
                <w:rFonts w:ascii="Titillium" w:hAnsi="Titillium" w:cstheme="minorHAnsi"/>
                <w:i/>
                <w:sz w:val="18"/>
                <w:szCs w:val="18"/>
              </w:rPr>
              <w:t>S.04</w:t>
            </w:r>
          </w:p>
          <w:p w14:paraId="6B3701D3" w14:textId="77777777" w:rsidR="006842EE" w:rsidRDefault="008F2625">
            <w:pPr>
              <w:widowControl w:val="0"/>
              <w:shd w:val="clear" w:color="auto" w:fill="FFFFFF"/>
              <w:tabs>
                <w:tab w:val="left" w:pos="2269"/>
              </w:tabs>
              <w:ind w:left="107"/>
              <w:rPr>
                <w:rFonts w:ascii="Titillium" w:hAnsi="Titillium" w:cstheme="minorHAnsi"/>
                <w:i/>
                <w:sz w:val="18"/>
                <w:szCs w:val="18"/>
              </w:rPr>
            </w:pPr>
            <w:r>
              <w:rPr>
                <w:rFonts w:ascii="Titillium" w:hAnsi="Titillium" w:cstheme="minorHAnsi"/>
                <w:i/>
                <w:sz w:val="18"/>
                <w:szCs w:val="18"/>
              </w:rPr>
              <w:t xml:space="preserve">Strutture, </w:t>
            </w:r>
          </w:p>
          <w:p w14:paraId="384DF017" w14:textId="77777777" w:rsidR="006842EE" w:rsidRDefault="008F2625">
            <w:pPr>
              <w:widowControl w:val="0"/>
              <w:shd w:val="clear" w:color="auto" w:fill="FFFFFF"/>
              <w:tabs>
                <w:tab w:val="left" w:pos="2269"/>
              </w:tabs>
              <w:ind w:left="107"/>
              <w:rPr>
                <w:rFonts w:ascii="Titillium" w:hAnsi="Titillium" w:cstheme="minorHAnsi"/>
                <w:i/>
                <w:sz w:val="18"/>
                <w:szCs w:val="18"/>
              </w:rPr>
            </w:pPr>
            <w:r>
              <w:rPr>
                <w:rFonts w:ascii="Titillium" w:hAnsi="Titillium" w:cstheme="minorHAnsi"/>
                <w:i/>
                <w:sz w:val="18"/>
                <w:szCs w:val="18"/>
              </w:rPr>
              <w:t>Opere    infrastrutturali puntuali]</w:t>
            </w:r>
          </w:p>
        </w:tc>
        <w:tc>
          <w:tcPr>
            <w:tcW w:w="1984" w:type="dxa"/>
            <w:tcBorders>
              <w:top w:val="single" w:sz="4" w:space="0" w:color="000000"/>
              <w:left w:val="single" w:sz="4" w:space="0" w:color="000000"/>
              <w:bottom w:val="single" w:sz="4" w:space="0" w:color="000000"/>
              <w:right w:val="single" w:sz="4" w:space="0" w:color="000000"/>
            </w:tcBorders>
          </w:tcPr>
          <w:p w14:paraId="210086B0" w14:textId="77777777" w:rsidR="006842EE" w:rsidRDefault="008F2625">
            <w:pPr>
              <w:widowControl w:val="0"/>
              <w:shd w:val="clear" w:color="auto" w:fill="FFFFFF"/>
              <w:ind w:left="107"/>
              <w:rPr>
                <w:rFonts w:ascii="Titillium" w:hAnsi="Titillium" w:cstheme="minorHAnsi"/>
                <w:i/>
                <w:sz w:val="18"/>
                <w:szCs w:val="18"/>
              </w:rPr>
            </w:pPr>
            <w:r>
              <w:rPr>
                <w:rFonts w:ascii="Titillium" w:hAnsi="Titillium" w:cstheme="minorHAnsi"/>
                <w:i/>
                <w:sz w:val="18"/>
                <w:szCs w:val="18"/>
              </w:rPr>
              <w:t>[ad. es. IX/b]</w:t>
            </w:r>
          </w:p>
        </w:tc>
        <w:tc>
          <w:tcPr>
            <w:tcW w:w="2127" w:type="dxa"/>
            <w:tcBorders>
              <w:top w:val="single" w:sz="4" w:space="0" w:color="000000"/>
              <w:left w:val="single" w:sz="4" w:space="0" w:color="000000"/>
              <w:bottom w:val="single" w:sz="4" w:space="0" w:color="000000"/>
              <w:right w:val="single" w:sz="4" w:space="0" w:color="000000"/>
            </w:tcBorders>
          </w:tcPr>
          <w:p w14:paraId="2C3BC9BB" w14:textId="77777777" w:rsidR="006842EE" w:rsidRDefault="008F2625">
            <w:pPr>
              <w:widowControl w:val="0"/>
              <w:shd w:val="clear" w:color="auto" w:fill="FFFFFF"/>
              <w:ind w:left="107"/>
              <w:rPr>
                <w:rFonts w:ascii="Titillium" w:hAnsi="Titillium" w:cstheme="minorHAnsi"/>
                <w:i/>
                <w:sz w:val="18"/>
                <w:szCs w:val="18"/>
              </w:rPr>
            </w:pPr>
            <w:r>
              <w:rPr>
                <w:rFonts w:ascii="Titillium" w:hAnsi="Titillium" w:cstheme="minorHAnsi"/>
                <w:i/>
                <w:sz w:val="18"/>
                <w:szCs w:val="18"/>
              </w:rPr>
              <w:t>[ad es.</w:t>
            </w:r>
          </w:p>
          <w:p w14:paraId="0CB6E2D4" w14:textId="77777777" w:rsidR="006842EE" w:rsidRDefault="008F2625">
            <w:pPr>
              <w:widowControl w:val="0"/>
              <w:shd w:val="clear" w:color="auto" w:fill="FFFFFF"/>
              <w:ind w:left="106"/>
              <w:rPr>
                <w:rFonts w:ascii="Titillium" w:hAnsi="Titillium" w:cstheme="minorHAnsi"/>
                <w:i/>
                <w:sz w:val="18"/>
                <w:szCs w:val="18"/>
              </w:rPr>
            </w:pPr>
            <w:r>
              <w:rPr>
                <w:rFonts w:ascii="Titillium" w:hAnsi="Titillium" w:cstheme="minorHAnsi"/>
                <w:i/>
                <w:sz w:val="18"/>
                <w:szCs w:val="18"/>
              </w:rPr>
              <w:t>€ 575.000,00]</w:t>
            </w:r>
          </w:p>
        </w:tc>
        <w:tc>
          <w:tcPr>
            <w:tcW w:w="2551" w:type="dxa"/>
            <w:tcBorders>
              <w:top w:val="single" w:sz="4" w:space="0" w:color="000000"/>
              <w:left w:val="single" w:sz="4" w:space="0" w:color="000000"/>
              <w:bottom w:val="single" w:sz="4" w:space="0" w:color="000000"/>
              <w:right w:val="single" w:sz="4" w:space="0" w:color="000000"/>
            </w:tcBorders>
          </w:tcPr>
          <w:p w14:paraId="5F2894F6" w14:textId="77777777" w:rsidR="006842EE" w:rsidRDefault="008F2625">
            <w:pPr>
              <w:widowControl w:val="0"/>
              <w:shd w:val="clear" w:color="auto" w:fill="FFFFFF"/>
              <w:ind w:left="105"/>
              <w:rPr>
                <w:rFonts w:ascii="Titillium" w:hAnsi="Titillium" w:cstheme="minorHAnsi"/>
                <w:i/>
                <w:sz w:val="18"/>
                <w:szCs w:val="18"/>
              </w:rPr>
            </w:pPr>
            <w:r>
              <w:rPr>
                <w:rFonts w:ascii="Titillium" w:hAnsi="Titillium" w:cstheme="minorHAnsi"/>
                <w:i/>
                <w:sz w:val="18"/>
                <w:szCs w:val="18"/>
              </w:rPr>
              <w:t>[ad es.</w:t>
            </w:r>
          </w:p>
          <w:p w14:paraId="32E7992E" w14:textId="77777777" w:rsidR="006842EE" w:rsidRDefault="008F2625">
            <w:pPr>
              <w:widowControl w:val="0"/>
              <w:shd w:val="clear" w:color="auto" w:fill="FFFFFF"/>
              <w:ind w:left="105"/>
              <w:rPr>
                <w:rFonts w:ascii="Titillium" w:hAnsi="Titillium" w:cstheme="minorHAnsi"/>
                <w:i/>
                <w:sz w:val="18"/>
                <w:szCs w:val="18"/>
              </w:rPr>
            </w:pPr>
            <w:r>
              <w:rPr>
                <w:rFonts w:ascii="Titillium" w:hAnsi="Titillium" w:cstheme="minorHAnsi"/>
                <w:i/>
                <w:sz w:val="18"/>
                <w:szCs w:val="18"/>
              </w:rPr>
              <w:t>€ 862.500,00]</w:t>
            </w:r>
          </w:p>
        </w:tc>
      </w:tr>
      <w:tr w:rsidR="006842EE" w14:paraId="5FDDFC91" w14:textId="77777777" w:rsidTr="00D262AD">
        <w:trPr>
          <w:trHeight w:val="834"/>
        </w:trPr>
        <w:tc>
          <w:tcPr>
            <w:tcW w:w="2304" w:type="dxa"/>
            <w:tcBorders>
              <w:top w:val="single" w:sz="4" w:space="0" w:color="000000"/>
              <w:left w:val="single" w:sz="4" w:space="0" w:color="000000"/>
              <w:bottom w:val="single" w:sz="4" w:space="0" w:color="000000"/>
              <w:right w:val="single" w:sz="4" w:space="0" w:color="000000"/>
            </w:tcBorders>
          </w:tcPr>
          <w:p w14:paraId="771ADEC0" w14:textId="77777777" w:rsidR="006842EE" w:rsidRDefault="006842EE">
            <w:pPr>
              <w:widowControl w:val="0"/>
              <w:shd w:val="clear" w:color="auto" w:fill="FFFFFF"/>
              <w:ind w:left="107"/>
              <w:rPr>
                <w:rFonts w:ascii="Titillium" w:hAnsi="Titillium" w:cstheme="minorHAnsi"/>
                <w:i/>
                <w:sz w:val="18"/>
                <w:szCs w:val="18"/>
              </w:rPr>
            </w:pPr>
          </w:p>
          <w:p w14:paraId="5CE05CD1" w14:textId="77777777" w:rsidR="006842EE" w:rsidRDefault="006842EE">
            <w:pPr>
              <w:widowControl w:val="0"/>
              <w:shd w:val="clear" w:color="auto" w:fill="FFFFFF"/>
              <w:ind w:left="107"/>
              <w:rPr>
                <w:rFonts w:ascii="Titillium" w:hAnsi="Titillium" w:cstheme="minorHAnsi"/>
                <w:i/>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26559B83" w14:textId="77777777" w:rsidR="006842EE" w:rsidRDefault="006842EE">
            <w:pPr>
              <w:widowControl w:val="0"/>
              <w:shd w:val="clear" w:color="auto" w:fill="FFFFFF"/>
              <w:ind w:left="107"/>
              <w:rPr>
                <w:rFonts w:ascii="Titillium" w:hAnsi="Titillium" w:cstheme="minorHAnsi"/>
                <w:i/>
                <w:sz w:val="18"/>
                <w:szCs w:val="18"/>
              </w:rPr>
            </w:pPr>
          </w:p>
        </w:tc>
        <w:tc>
          <w:tcPr>
            <w:tcW w:w="2127" w:type="dxa"/>
            <w:tcBorders>
              <w:top w:val="single" w:sz="4" w:space="0" w:color="000000"/>
              <w:left w:val="single" w:sz="4" w:space="0" w:color="000000"/>
              <w:bottom w:val="single" w:sz="4" w:space="0" w:color="000000"/>
              <w:right w:val="single" w:sz="4" w:space="0" w:color="000000"/>
            </w:tcBorders>
          </w:tcPr>
          <w:p w14:paraId="3D3BC569" w14:textId="77777777" w:rsidR="006842EE" w:rsidRDefault="006842EE">
            <w:pPr>
              <w:widowControl w:val="0"/>
              <w:shd w:val="clear" w:color="auto" w:fill="FFFFFF"/>
              <w:ind w:left="107"/>
              <w:rPr>
                <w:rFonts w:ascii="Titillium" w:hAnsi="Titillium" w:cstheme="minorHAnsi"/>
                <w:i/>
                <w:sz w:val="18"/>
                <w:szCs w:val="18"/>
              </w:rPr>
            </w:pPr>
          </w:p>
        </w:tc>
        <w:tc>
          <w:tcPr>
            <w:tcW w:w="2551" w:type="dxa"/>
            <w:tcBorders>
              <w:top w:val="single" w:sz="4" w:space="0" w:color="000000"/>
              <w:left w:val="single" w:sz="4" w:space="0" w:color="000000"/>
              <w:bottom w:val="single" w:sz="4" w:space="0" w:color="000000"/>
              <w:right w:val="single" w:sz="4" w:space="0" w:color="000000"/>
            </w:tcBorders>
          </w:tcPr>
          <w:p w14:paraId="3911184C" w14:textId="77777777" w:rsidR="006842EE" w:rsidRDefault="006842EE">
            <w:pPr>
              <w:widowControl w:val="0"/>
              <w:shd w:val="clear" w:color="auto" w:fill="FFFFFF"/>
              <w:ind w:left="105"/>
              <w:rPr>
                <w:rFonts w:ascii="Titillium" w:hAnsi="Titillium" w:cstheme="minorHAnsi"/>
                <w:i/>
                <w:sz w:val="18"/>
                <w:szCs w:val="18"/>
              </w:rPr>
            </w:pPr>
          </w:p>
        </w:tc>
      </w:tr>
    </w:tbl>
    <w:p w14:paraId="453E76C8" w14:textId="77777777" w:rsidR="006842EE" w:rsidRDefault="006842EE">
      <w:pPr>
        <w:spacing w:before="60" w:after="60"/>
        <w:rPr>
          <w:rFonts w:ascii="Titillium" w:hAnsi="Titillium" w:cs="Arial"/>
          <w:sz w:val="18"/>
          <w:szCs w:val="18"/>
        </w:rPr>
      </w:pPr>
    </w:p>
    <w:p w14:paraId="03357896" w14:textId="0CA86219" w:rsidR="006842EE" w:rsidRPr="006E5719" w:rsidRDefault="008F2625" w:rsidP="00D26F03">
      <w:pPr>
        <w:pStyle w:val="Paragrafoelenco"/>
        <w:numPr>
          <w:ilvl w:val="0"/>
          <w:numId w:val="41"/>
        </w:numPr>
        <w:spacing w:before="60" w:after="60"/>
        <w:ind w:left="426"/>
        <w:rPr>
          <w:rFonts w:ascii="Titillium" w:hAnsi="Titillium" w:cs="Arial"/>
          <w:bCs/>
          <w:sz w:val="18"/>
          <w:szCs w:val="18"/>
        </w:rPr>
      </w:pPr>
      <w:r w:rsidRPr="00072B95">
        <w:rPr>
          <w:rFonts w:ascii="Titillium" w:hAnsi="Titillium" w:cs="Arial"/>
          <w:b/>
          <w:i/>
          <w:iCs/>
          <w:sz w:val="18"/>
          <w:szCs w:val="18"/>
        </w:rPr>
        <w:t>[</w:t>
      </w:r>
      <w:r w:rsidR="00B03D2F" w:rsidRPr="00072B95">
        <w:rPr>
          <w:rFonts w:ascii="Titillium" w:hAnsi="Titillium" w:cs="Arial"/>
          <w:b/>
          <w:i/>
          <w:iCs/>
          <w:sz w:val="18"/>
          <w:szCs w:val="18"/>
        </w:rPr>
        <w:t>F</w:t>
      </w:r>
      <w:r w:rsidRPr="00072B95">
        <w:rPr>
          <w:rFonts w:ascii="Titillium" w:hAnsi="Titillium" w:cs="Arial"/>
          <w:b/>
          <w:i/>
          <w:iCs/>
          <w:sz w:val="18"/>
          <w:szCs w:val="18"/>
        </w:rPr>
        <w:t>acoltativo]</w:t>
      </w:r>
      <w:r w:rsidRPr="006E5719">
        <w:rPr>
          <w:rFonts w:ascii="Titillium" w:hAnsi="Titillium" w:cs="Arial"/>
          <w:b/>
          <w:sz w:val="18"/>
          <w:szCs w:val="18"/>
        </w:rPr>
        <w:t xml:space="preserve"> </w:t>
      </w:r>
      <w:r w:rsidR="00072B95">
        <w:rPr>
          <w:rFonts w:ascii="Titillium" w:hAnsi="Titillium" w:cs="Arial"/>
          <w:b/>
          <w:sz w:val="18"/>
          <w:szCs w:val="18"/>
        </w:rPr>
        <w:t>S</w:t>
      </w:r>
      <w:r w:rsidRPr="006E5719">
        <w:rPr>
          <w:rFonts w:ascii="Titillium" w:hAnsi="Titillium" w:cs="Arial"/>
          <w:b/>
          <w:sz w:val="18"/>
          <w:szCs w:val="18"/>
        </w:rPr>
        <w:t xml:space="preserve">ervizi “di punta” di ingegneria e architettura espletati negli ultimi dieci anni antecedenti la data di pubblicazione del bando, con le seguenti caratteristiche: </w:t>
      </w:r>
      <w:r w:rsidRPr="006E5719">
        <w:rPr>
          <w:rFonts w:ascii="Titillium" w:hAnsi="Titillium" w:cs="Arial"/>
          <w:bCs/>
          <w:sz w:val="18"/>
          <w:szCs w:val="18"/>
        </w:rPr>
        <w:t>l’operatore economico deve aver eseguito, per ciascuna delle categorie e ID della successiva tabella, due servizi per lavori analoghi, per dimensione e caratteristiche tecniche, a quelli oggetto dell’affidamento, di importo complessivo, per ogni categoria e ID, almeno pari a…</w:t>
      </w:r>
      <w:r w:rsidR="00F57951">
        <w:rPr>
          <w:rFonts w:ascii="Titillium" w:hAnsi="Titillium" w:cs="Arial"/>
          <w:bCs/>
          <w:sz w:val="18"/>
          <w:szCs w:val="18"/>
        </w:rPr>
        <w:t xml:space="preserve"> </w:t>
      </w:r>
      <w:r w:rsidRPr="006E5719">
        <w:rPr>
          <w:rFonts w:ascii="Titillium" w:hAnsi="Titillium" w:cs="Arial"/>
          <w:bCs/>
          <w:i/>
          <w:iCs/>
          <w:sz w:val="18"/>
          <w:szCs w:val="18"/>
        </w:rPr>
        <w:t>[inserire un valore compreso fra 0,40 e 0,80 volte l’importo stimato dei lavori cui si riferisce la prestazione]</w:t>
      </w:r>
      <w:r w:rsidRPr="006E5719">
        <w:rPr>
          <w:rFonts w:ascii="Titillium" w:hAnsi="Titillium" w:cs="Arial"/>
          <w:bCs/>
          <w:sz w:val="18"/>
          <w:szCs w:val="18"/>
        </w:rPr>
        <w:t xml:space="preserve"> volte il valore della medesima</w:t>
      </w:r>
      <w:r w:rsidR="006E5719">
        <w:rPr>
          <w:rFonts w:ascii="Titillium" w:hAnsi="Titillium" w:cs="Arial"/>
          <w:bCs/>
          <w:sz w:val="18"/>
          <w:szCs w:val="18"/>
        </w:rPr>
        <w:t>.</w:t>
      </w:r>
    </w:p>
    <w:p w14:paraId="3534F88A" w14:textId="318D7075" w:rsidR="006842EE" w:rsidRPr="006E5719" w:rsidRDefault="008F2625" w:rsidP="006E5719">
      <w:pPr>
        <w:spacing w:before="60" w:after="60"/>
        <w:ind w:left="426"/>
        <w:rPr>
          <w:rFonts w:ascii="Titillium" w:hAnsi="Titillium" w:cs="Arial"/>
          <w:b/>
          <w:sz w:val="18"/>
          <w:szCs w:val="18"/>
        </w:rPr>
      </w:pPr>
      <w:r w:rsidRPr="00072B95">
        <w:rPr>
          <w:rFonts w:ascii="Titillium" w:hAnsi="Titillium" w:cs="Arial"/>
          <w:b/>
          <w:i/>
          <w:iCs/>
          <w:sz w:val="18"/>
          <w:szCs w:val="18"/>
        </w:rPr>
        <w:t>[</w:t>
      </w:r>
      <w:r w:rsidR="00B03D2F" w:rsidRPr="00072B95">
        <w:rPr>
          <w:rFonts w:ascii="Titillium" w:hAnsi="Titillium" w:cs="Arial"/>
          <w:b/>
          <w:i/>
          <w:iCs/>
          <w:sz w:val="18"/>
          <w:szCs w:val="18"/>
        </w:rPr>
        <w:t>F</w:t>
      </w:r>
      <w:r w:rsidRPr="00072B95">
        <w:rPr>
          <w:rFonts w:ascii="Titillium" w:hAnsi="Titillium" w:cs="Arial"/>
          <w:b/>
          <w:i/>
          <w:iCs/>
          <w:sz w:val="18"/>
          <w:szCs w:val="18"/>
        </w:rPr>
        <w:t>acoltativo]</w:t>
      </w:r>
      <w:r w:rsidRPr="006E5719">
        <w:rPr>
          <w:rFonts w:ascii="Titillium" w:hAnsi="Titillium" w:cs="Arial"/>
          <w:b/>
          <w:sz w:val="18"/>
          <w:szCs w:val="18"/>
        </w:rPr>
        <w:t xml:space="preserve"> </w:t>
      </w:r>
      <w:r w:rsidRPr="006E5719">
        <w:rPr>
          <w:rFonts w:ascii="Titillium" w:hAnsi="Titillium" w:cs="Arial"/>
          <w:bCs/>
          <w:sz w:val="18"/>
          <w:szCs w:val="18"/>
        </w:rPr>
        <w:t>In luogo dei due servizi, è possibile dimostrare il possesso del requisito anche mediante un unico servizio purché di importo almeno pari al minimo richiesto nella relativa categoria e ID.</w:t>
      </w:r>
    </w:p>
    <w:p w14:paraId="5C5B7C74" w14:textId="77777777" w:rsidR="004325D1" w:rsidRDefault="004325D1" w:rsidP="006E5719">
      <w:pPr>
        <w:pStyle w:val="Paragrafoelenco"/>
        <w:spacing w:before="60" w:after="60"/>
        <w:ind w:left="0"/>
        <w:rPr>
          <w:rFonts w:ascii="Titillium" w:hAnsi="Titillium" w:cs="Arial"/>
          <w:sz w:val="18"/>
          <w:szCs w:val="18"/>
        </w:rPr>
      </w:pPr>
    </w:p>
    <w:p w14:paraId="566FCF4A" w14:textId="70F2C9DC" w:rsidR="006842EE" w:rsidRPr="004325D1" w:rsidRDefault="008F2625" w:rsidP="004325D1">
      <w:pPr>
        <w:pStyle w:val="Paragrafoelenco"/>
        <w:spacing w:before="60" w:after="60"/>
        <w:ind w:left="0"/>
        <w:rPr>
          <w:rFonts w:ascii="Titillium" w:hAnsi="Titillium" w:cs="Arial"/>
          <w:sz w:val="18"/>
          <w:szCs w:val="18"/>
        </w:rPr>
      </w:pPr>
      <w:r>
        <w:rPr>
          <w:rFonts w:ascii="Titillium" w:hAnsi="Titillium" w:cs="Arial"/>
          <w:sz w:val="18"/>
          <w:szCs w:val="18"/>
        </w:rPr>
        <w:t>Gli importi minimi dei lavori, per categoria e ID, sono riportati nella seguente tabella:</w:t>
      </w:r>
    </w:p>
    <w:p w14:paraId="1A702406" w14:textId="77777777" w:rsidR="006842EE" w:rsidRPr="00072B95" w:rsidRDefault="008F2625">
      <w:pPr>
        <w:shd w:val="clear" w:color="auto" w:fill="FFFFFF"/>
        <w:ind w:left="233"/>
        <w:rPr>
          <w:rFonts w:ascii="Titillium" w:hAnsi="Titillium" w:cstheme="minorHAnsi"/>
          <w:b/>
          <w:sz w:val="18"/>
          <w:szCs w:val="18"/>
        </w:rPr>
      </w:pPr>
      <w:r w:rsidRPr="00072B95">
        <w:rPr>
          <w:rFonts w:ascii="Titillium" w:hAnsi="Titillium" w:cstheme="minorHAnsi"/>
          <w:b/>
          <w:sz w:val="18"/>
          <w:szCs w:val="18"/>
        </w:rPr>
        <w:t>Tabella n. 6 - Categorie, ID e importi minimi dei lavori per i servizi di punta</w:t>
      </w:r>
    </w:p>
    <w:p w14:paraId="5B22C15C" w14:textId="77777777" w:rsidR="006842EE" w:rsidRDefault="006842EE">
      <w:pPr>
        <w:shd w:val="clear" w:color="auto" w:fill="FFFFFF"/>
        <w:rPr>
          <w:rFonts w:ascii="Titillium" w:hAnsi="Titillium" w:cstheme="minorHAnsi"/>
          <w:sz w:val="18"/>
          <w:szCs w:val="18"/>
          <w:highlight w:val="yellow"/>
        </w:rPr>
      </w:pPr>
    </w:p>
    <w:tbl>
      <w:tblPr>
        <w:tblW w:w="8966" w:type="dxa"/>
        <w:tblInd w:w="243" w:type="dxa"/>
        <w:tblLayout w:type="fixed"/>
        <w:tblLook w:val="0000" w:firstRow="0" w:lastRow="0" w:firstColumn="0" w:lastColumn="0" w:noHBand="0" w:noVBand="0"/>
      </w:tblPr>
      <w:tblGrid>
        <w:gridCol w:w="2304"/>
        <w:gridCol w:w="1984"/>
        <w:gridCol w:w="2127"/>
        <w:gridCol w:w="2551"/>
      </w:tblGrid>
      <w:tr w:rsidR="006842EE" w14:paraId="453CD5EE" w14:textId="77777777" w:rsidTr="00D262AD">
        <w:trPr>
          <w:trHeight w:val="579"/>
        </w:trPr>
        <w:tc>
          <w:tcPr>
            <w:tcW w:w="2304" w:type="dxa"/>
            <w:tcBorders>
              <w:top w:val="single" w:sz="4" w:space="0" w:color="000000"/>
              <w:left w:val="single" w:sz="4" w:space="0" w:color="000000"/>
              <w:bottom w:val="single" w:sz="4" w:space="0" w:color="000000"/>
              <w:right w:val="single" w:sz="4" w:space="0" w:color="000000"/>
            </w:tcBorders>
          </w:tcPr>
          <w:p w14:paraId="5F60D5B0" w14:textId="77777777" w:rsidR="006842EE" w:rsidRDefault="008F2625">
            <w:pPr>
              <w:widowControl w:val="0"/>
              <w:shd w:val="clear" w:color="auto" w:fill="FFFFFF"/>
              <w:ind w:left="107"/>
              <w:rPr>
                <w:rFonts w:ascii="Titillium" w:hAnsi="Titillium" w:cstheme="minorHAnsi"/>
                <w:b/>
                <w:sz w:val="18"/>
                <w:szCs w:val="18"/>
              </w:rPr>
            </w:pPr>
            <w:r>
              <w:rPr>
                <w:rFonts w:ascii="Titillium" w:hAnsi="Titillium" w:cstheme="minorHAnsi"/>
                <w:b/>
                <w:sz w:val="18"/>
                <w:szCs w:val="18"/>
              </w:rPr>
              <w:t>Categoria e ID delle opere</w:t>
            </w:r>
          </w:p>
        </w:tc>
        <w:tc>
          <w:tcPr>
            <w:tcW w:w="1984" w:type="dxa"/>
            <w:tcBorders>
              <w:top w:val="single" w:sz="4" w:space="0" w:color="000000"/>
              <w:left w:val="single" w:sz="4" w:space="0" w:color="000000"/>
              <w:bottom w:val="single" w:sz="4" w:space="0" w:color="000000"/>
              <w:right w:val="single" w:sz="4" w:space="0" w:color="000000"/>
            </w:tcBorders>
          </w:tcPr>
          <w:p w14:paraId="21BEDA6D" w14:textId="77777777" w:rsidR="00D262AD" w:rsidRDefault="008F2625">
            <w:pPr>
              <w:widowControl w:val="0"/>
              <w:shd w:val="clear" w:color="auto" w:fill="FFFFFF"/>
              <w:tabs>
                <w:tab w:val="left" w:pos="2089"/>
              </w:tabs>
              <w:ind w:left="108"/>
              <w:rPr>
                <w:rFonts w:ascii="Titillium" w:hAnsi="Titillium" w:cstheme="minorHAnsi"/>
                <w:b/>
                <w:sz w:val="18"/>
                <w:szCs w:val="18"/>
              </w:rPr>
            </w:pPr>
            <w:r>
              <w:rPr>
                <w:rFonts w:ascii="Titillium" w:hAnsi="Titillium" w:cstheme="minorHAnsi"/>
                <w:b/>
                <w:sz w:val="18"/>
                <w:szCs w:val="18"/>
              </w:rPr>
              <w:t>Corrispondenza</w:t>
            </w:r>
            <w:r w:rsidR="00D262AD">
              <w:rPr>
                <w:rFonts w:ascii="Titillium" w:hAnsi="Titillium" w:cstheme="minorHAnsi"/>
                <w:b/>
                <w:sz w:val="18"/>
                <w:szCs w:val="18"/>
              </w:rPr>
              <w:t xml:space="preserve"> </w:t>
            </w:r>
          </w:p>
          <w:p w14:paraId="20F2B707" w14:textId="6B972DA4" w:rsidR="006842EE" w:rsidRDefault="008F2625">
            <w:pPr>
              <w:widowControl w:val="0"/>
              <w:shd w:val="clear" w:color="auto" w:fill="FFFFFF"/>
              <w:tabs>
                <w:tab w:val="left" w:pos="2089"/>
              </w:tabs>
              <w:ind w:left="108"/>
              <w:rPr>
                <w:rFonts w:ascii="Titillium" w:hAnsi="Titillium" w:cstheme="minorHAnsi"/>
                <w:b/>
                <w:sz w:val="18"/>
                <w:szCs w:val="18"/>
              </w:rPr>
            </w:pPr>
            <w:r>
              <w:rPr>
                <w:rFonts w:ascii="Titillium" w:hAnsi="Titillium" w:cstheme="minorHAnsi"/>
                <w:b/>
                <w:sz w:val="18"/>
                <w:szCs w:val="18"/>
              </w:rPr>
              <w:t>l. 143/49</w:t>
            </w:r>
          </w:p>
        </w:tc>
        <w:tc>
          <w:tcPr>
            <w:tcW w:w="2127" w:type="dxa"/>
            <w:tcBorders>
              <w:top w:val="single" w:sz="4" w:space="0" w:color="000000"/>
              <w:left w:val="single" w:sz="4" w:space="0" w:color="000000"/>
              <w:bottom w:val="single" w:sz="4" w:space="0" w:color="000000"/>
              <w:right w:val="single" w:sz="4" w:space="0" w:color="000000"/>
            </w:tcBorders>
          </w:tcPr>
          <w:p w14:paraId="1A644536" w14:textId="63D3D92F" w:rsidR="006842EE" w:rsidRDefault="008F2625">
            <w:pPr>
              <w:widowControl w:val="0"/>
              <w:shd w:val="clear" w:color="auto" w:fill="FFFFFF"/>
              <w:tabs>
                <w:tab w:val="left" w:pos="1281"/>
              </w:tabs>
              <w:ind w:left="107"/>
              <w:rPr>
                <w:rFonts w:ascii="Titillium" w:hAnsi="Titillium" w:cstheme="minorHAnsi"/>
                <w:b/>
                <w:sz w:val="18"/>
                <w:szCs w:val="18"/>
              </w:rPr>
            </w:pPr>
            <w:r>
              <w:rPr>
                <w:rFonts w:ascii="Titillium" w:hAnsi="Titillium" w:cstheme="minorHAnsi"/>
                <w:b/>
                <w:sz w:val="18"/>
                <w:szCs w:val="18"/>
              </w:rPr>
              <w:t>Valore</w:t>
            </w:r>
            <w:r w:rsidR="00D262AD">
              <w:rPr>
                <w:rFonts w:ascii="Titillium" w:hAnsi="Titillium" w:cstheme="minorHAnsi"/>
                <w:b/>
                <w:sz w:val="18"/>
                <w:szCs w:val="18"/>
              </w:rPr>
              <w:t xml:space="preserve"> </w:t>
            </w:r>
            <w:r>
              <w:rPr>
                <w:rFonts w:ascii="Titillium" w:hAnsi="Titillium" w:cstheme="minorHAnsi"/>
                <w:b/>
                <w:sz w:val="18"/>
                <w:szCs w:val="18"/>
              </w:rPr>
              <w:t>delle opere</w:t>
            </w:r>
          </w:p>
        </w:tc>
        <w:tc>
          <w:tcPr>
            <w:tcW w:w="2551" w:type="dxa"/>
            <w:tcBorders>
              <w:top w:val="single" w:sz="4" w:space="0" w:color="000000"/>
              <w:left w:val="single" w:sz="4" w:space="0" w:color="000000"/>
              <w:bottom w:val="single" w:sz="4" w:space="0" w:color="000000"/>
              <w:right w:val="single" w:sz="4" w:space="0" w:color="000000"/>
            </w:tcBorders>
          </w:tcPr>
          <w:p w14:paraId="13BFEEE7" w14:textId="77777777" w:rsidR="006842EE" w:rsidRDefault="008F2625">
            <w:pPr>
              <w:widowControl w:val="0"/>
              <w:shd w:val="clear" w:color="auto" w:fill="FFFFFF"/>
              <w:ind w:left="109"/>
              <w:rPr>
                <w:rFonts w:ascii="Titillium" w:hAnsi="Titillium" w:cstheme="minorHAnsi"/>
                <w:b/>
                <w:sz w:val="18"/>
                <w:szCs w:val="18"/>
              </w:rPr>
            </w:pPr>
            <w:r>
              <w:rPr>
                <w:rFonts w:ascii="Titillium" w:hAnsi="Titillium" w:cstheme="minorHAnsi"/>
                <w:b/>
                <w:sz w:val="18"/>
                <w:szCs w:val="18"/>
              </w:rPr>
              <w:t>Importo complessivo minimo per i servizi di punta</w:t>
            </w:r>
          </w:p>
        </w:tc>
      </w:tr>
      <w:tr w:rsidR="006842EE" w14:paraId="450487B9" w14:textId="77777777" w:rsidTr="00D262AD">
        <w:trPr>
          <w:trHeight w:val="1190"/>
        </w:trPr>
        <w:tc>
          <w:tcPr>
            <w:tcW w:w="2304" w:type="dxa"/>
            <w:tcBorders>
              <w:top w:val="single" w:sz="4" w:space="0" w:color="000000"/>
              <w:left w:val="single" w:sz="4" w:space="0" w:color="000000"/>
              <w:bottom w:val="single" w:sz="4" w:space="0" w:color="000000"/>
              <w:right w:val="single" w:sz="4" w:space="0" w:color="000000"/>
            </w:tcBorders>
          </w:tcPr>
          <w:p w14:paraId="49E7E646" w14:textId="77777777" w:rsidR="006842EE" w:rsidRDefault="008F2625">
            <w:pPr>
              <w:widowControl w:val="0"/>
              <w:shd w:val="clear" w:color="auto" w:fill="FFFFFF"/>
              <w:ind w:left="107"/>
              <w:rPr>
                <w:rFonts w:ascii="Titillium" w:hAnsi="Titillium" w:cstheme="minorHAnsi"/>
                <w:i/>
                <w:sz w:val="18"/>
                <w:szCs w:val="18"/>
              </w:rPr>
            </w:pPr>
            <w:r>
              <w:rPr>
                <w:rFonts w:ascii="Titillium" w:hAnsi="Titillium" w:cstheme="minorHAnsi"/>
                <w:i/>
                <w:sz w:val="18"/>
                <w:szCs w:val="18"/>
              </w:rPr>
              <w:t>[ad es. STRUTTURE: S.04</w:t>
            </w:r>
          </w:p>
          <w:p w14:paraId="6079EAF6" w14:textId="571DE862" w:rsidR="006842EE" w:rsidRDefault="008F2625">
            <w:pPr>
              <w:widowControl w:val="0"/>
              <w:shd w:val="clear" w:color="auto" w:fill="FFFFFF"/>
              <w:tabs>
                <w:tab w:val="left" w:pos="2329"/>
              </w:tabs>
              <w:ind w:left="107"/>
              <w:rPr>
                <w:rFonts w:ascii="Titillium" w:hAnsi="Titillium" w:cstheme="minorHAnsi"/>
                <w:i/>
                <w:sz w:val="18"/>
                <w:szCs w:val="18"/>
              </w:rPr>
            </w:pPr>
            <w:r>
              <w:rPr>
                <w:rFonts w:ascii="Titillium" w:hAnsi="Titillium" w:cstheme="minorHAnsi"/>
                <w:i/>
                <w:sz w:val="18"/>
                <w:szCs w:val="18"/>
              </w:rPr>
              <w:t>Strutture,</w:t>
            </w:r>
            <w:r w:rsidR="00D262AD">
              <w:rPr>
                <w:rFonts w:ascii="Titillium" w:hAnsi="Titillium" w:cstheme="minorHAnsi"/>
                <w:i/>
                <w:sz w:val="18"/>
                <w:szCs w:val="18"/>
              </w:rPr>
              <w:t xml:space="preserve"> </w:t>
            </w:r>
            <w:r>
              <w:rPr>
                <w:rFonts w:ascii="Titillium" w:hAnsi="Titillium" w:cstheme="minorHAnsi"/>
                <w:i/>
                <w:sz w:val="18"/>
                <w:szCs w:val="18"/>
              </w:rPr>
              <w:t>Opere infrastrutturali puntuali]</w:t>
            </w:r>
          </w:p>
        </w:tc>
        <w:tc>
          <w:tcPr>
            <w:tcW w:w="1984" w:type="dxa"/>
            <w:tcBorders>
              <w:top w:val="single" w:sz="4" w:space="0" w:color="000000"/>
              <w:left w:val="single" w:sz="4" w:space="0" w:color="000000"/>
              <w:bottom w:val="single" w:sz="4" w:space="0" w:color="000000"/>
              <w:right w:val="single" w:sz="4" w:space="0" w:color="000000"/>
            </w:tcBorders>
          </w:tcPr>
          <w:p w14:paraId="4037CFE9" w14:textId="77777777" w:rsidR="006842EE" w:rsidRDefault="008F2625">
            <w:pPr>
              <w:widowControl w:val="0"/>
              <w:shd w:val="clear" w:color="auto" w:fill="FFFFFF"/>
              <w:ind w:left="108"/>
              <w:rPr>
                <w:rFonts w:ascii="Titillium" w:hAnsi="Titillium" w:cstheme="minorHAnsi"/>
                <w:i/>
                <w:sz w:val="18"/>
                <w:szCs w:val="18"/>
              </w:rPr>
            </w:pPr>
            <w:r>
              <w:rPr>
                <w:rFonts w:ascii="Titillium" w:hAnsi="Titillium" w:cstheme="minorHAnsi"/>
                <w:i/>
                <w:sz w:val="18"/>
                <w:szCs w:val="18"/>
              </w:rPr>
              <w:t>[ad. es. IX/b]</w:t>
            </w:r>
          </w:p>
        </w:tc>
        <w:tc>
          <w:tcPr>
            <w:tcW w:w="2127" w:type="dxa"/>
            <w:tcBorders>
              <w:top w:val="single" w:sz="4" w:space="0" w:color="000000"/>
              <w:left w:val="single" w:sz="4" w:space="0" w:color="000000"/>
              <w:bottom w:val="single" w:sz="4" w:space="0" w:color="000000"/>
              <w:right w:val="single" w:sz="4" w:space="0" w:color="000000"/>
            </w:tcBorders>
          </w:tcPr>
          <w:p w14:paraId="382FF0BE" w14:textId="77777777" w:rsidR="006842EE" w:rsidRDefault="008F2625">
            <w:pPr>
              <w:widowControl w:val="0"/>
              <w:shd w:val="clear" w:color="auto" w:fill="FFFFFF"/>
              <w:ind w:left="108"/>
              <w:rPr>
                <w:rFonts w:ascii="Titillium" w:hAnsi="Titillium" w:cstheme="minorHAnsi"/>
                <w:i/>
                <w:sz w:val="18"/>
                <w:szCs w:val="18"/>
              </w:rPr>
            </w:pPr>
            <w:r>
              <w:rPr>
                <w:rFonts w:ascii="Titillium" w:hAnsi="Titillium" w:cstheme="minorHAnsi"/>
                <w:i/>
                <w:sz w:val="18"/>
                <w:szCs w:val="18"/>
              </w:rPr>
              <w:t>[ad es.</w:t>
            </w:r>
          </w:p>
          <w:p w14:paraId="22336D5C" w14:textId="77777777" w:rsidR="006842EE" w:rsidRDefault="008F2625">
            <w:pPr>
              <w:widowControl w:val="0"/>
              <w:shd w:val="clear" w:color="auto" w:fill="FFFFFF"/>
              <w:ind w:left="107"/>
              <w:rPr>
                <w:rFonts w:ascii="Titillium" w:hAnsi="Titillium" w:cstheme="minorHAnsi"/>
                <w:i/>
                <w:sz w:val="18"/>
                <w:szCs w:val="18"/>
              </w:rPr>
            </w:pPr>
            <w:r>
              <w:rPr>
                <w:rFonts w:ascii="Titillium" w:hAnsi="Titillium" w:cstheme="minorHAnsi"/>
                <w:i/>
                <w:sz w:val="18"/>
                <w:szCs w:val="18"/>
              </w:rPr>
              <w:t>€ 575.000,00]</w:t>
            </w:r>
          </w:p>
        </w:tc>
        <w:tc>
          <w:tcPr>
            <w:tcW w:w="2551" w:type="dxa"/>
            <w:tcBorders>
              <w:top w:val="single" w:sz="4" w:space="0" w:color="000000"/>
              <w:left w:val="single" w:sz="4" w:space="0" w:color="000000"/>
              <w:bottom w:val="single" w:sz="4" w:space="0" w:color="000000"/>
              <w:right w:val="single" w:sz="4" w:space="0" w:color="000000"/>
            </w:tcBorders>
          </w:tcPr>
          <w:p w14:paraId="29F72F13" w14:textId="77777777" w:rsidR="006842EE" w:rsidRDefault="008F2625">
            <w:pPr>
              <w:widowControl w:val="0"/>
              <w:shd w:val="clear" w:color="auto" w:fill="FFFFFF"/>
              <w:ind w:left="109"/>
              <w:rPr>
                <w:rFonts w:ascii="Titillium" w:hAnsi="Titillium" w:cstheme="minorHAnsi"/>
                <w:i/>
                <w:sz w:val="18"/>
                <w:szCs w:val="18"/>
              </w:rPr>
            </w:pPr>
            <w:r>
              <w:rPr>
                <w:rFonts w:ascii="Titillium" w:hAnsi="Titillium" w:cstheme="minorHAnsi"/>
                <w:i/>
                <w:sz w:val="18"/>
                <w:szCs w:val="18"/>
              </w:rPr>
              <w:t>[ad es.</w:t>
            </w:r>
          </w:p>
          <w:p w14:paraId="0AD5BEC7" w14:textId="77777777" w:rsidR="006842EE" w:rsidRDefault="008F2625">
            <w:pPr>
              <w:widowControl w:val="0"/>
              <w:shd w:val="clear" w:color="auto" w:fill="FFFFFF"/>
              <w:ind w:left="109"/>
              <w:rPr>
                <w:rFonts w:ascii="Titillium" w:hAnsi="Titillium" w:cstheme="minorHAnsi"/>
                <w:i/>
                <w:sz w:val="18"/>
                <w:szCs w:val="18"/>
              </w:rPr>
            </w:pPr>
            <w:r>
              <w:rPr>
                <w:rFonts w:ascii="Titillium" w:hAnsi="Titillium" w:cstheme="minorHAnsi"/>
                <w:i/>
                <w:sz w:val="18"/>
                <w:szCs w:val="18"/>
              </w:rPr>
              <w:t>€ 230.000,00]</w:t>
            </w:r>
          </w:p>
        </w:tc>
      </w:tr>
      <w:tr w:rsidR="006842EE" w14:paraId="5889E982" w14:textId="77777777" w:rsidTr="00D262AD">
        <w:trPr>
          <w:trHeight w:val="456"/>
        </w:trPr>
        <w:tc>
          <w:tcPr>
            <w:tcW w:w="2304" w:type="dxa"/>
            <w:tcBorders>
              <w:top w:val="single" w:sz="4" w:space="0" w:color="000000"/>
              <w:left w:val="single" w:sz="4" w:space="0" w:color="000000"/>
              <w:bottom w:val="single" w:sz="4" w:space="0" w:color="000000"/>
              <w:right w:val="single" w:sz="4" w:space="0" w:color="000000"/>
            </w:tcBorders>
          </w:tcPr>
          <w:p w14:paraId="59D79D38" w14:textId="77777777" w:rsidR="006842EE" w:rsidRDefault="006842EE">
            <w:pPr>
              <w:widowControl w:val="0"/>
              <w:shd w:val="clear" w:color="auto" w:fill="FFFFFF"/>
              <w:rPr>
                <w:rFonts w:ascii="Titillium" w:hAnsi="Titillium" w:cstheme="minorHAnsi"/>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3FB76574" w14:textId="77777777" w:rsidR="006842EE" w:rsidRDefault="006842EE">
            <w:pPr>
              <w:widowControl w:val="0"/>
              <w:shd w:val="clear" w:color="auto" w:fill="FFFFFF"/>
              <w:rPr>
                <w:rFonts w:ascii="Titillium" w:hAnsi="Titillium" w:cstheme="minorHAnsi"/>
                <w:sz w:val="18"/>
                <w:szCs w:val="18"/>
              </w:rPr>
            </w:pPr>
          </w:p>
        </w:tc>
        <w:tc>
          <w:tcPr>
            <w:tcW w:w="2127" w:type="dxa"/>
            <w:tcBorders>
              <w:top w:val="single" w:sz="4" w:space="0" w:color="000000"/>
              <w:left w:val="single" w:sz="4" w:space="0" w:color="000000"/>
              <w:bottom w:val="single" w:sz="4" w:space="0" w:color="000000"/>
              <w:right w:val="single" w:sz="4" w:space="0" w:color="000000"/>
            </w:tcBorders>
          </w:tcPr>
          <w:p w14:paraId="79BBF37F" w14:textId="77777777" w:rsidR="006842EE" w:rsidRDefault="006842EE">
            <w:pPr>
              <w:widowControl w:val="0"/>
              <w:shd w:val="clear" w:color="auto" w:fill="FFFFFF"/>
              <w:rPr>
                <w:rFonts w:ascii="Titillium" w:hAnsi="Titillium" w:cstheme="minorHAnsi"/>
                <w:sz w:val="18"/>
                <w:szCs w:val="18"/>
              </w:rPr>
            </w:pPr>
          </w:p>
        </w:tc>
        <w:tc>
          <w:tcPr>
            <w:tcW w:w="2551" w:type="dxa"/>
            <w:tcBorders>
              <w:top w:val="single" w:sz="4" w:space="0" w:color="000000"/>
              <w:left w:val="single" w:sz="4" w:space="0" w:color="000000"/>
              <w:bottom w:val="single" w:sz="4" w:space="0" w:color="000000"/>
              <w:right w:val="single" w:sz="4" w:space="0" w:color="000000"/>
            </w:tcBorders>
          </w:tcPr>
          <w:p w14:paraId="3A793F9B" w14:textId="77777777" w:rsidR="006842EE" w:rsidRDefault="006842EE">
            <w:pPr>
              <w:widowControl w:val="0"/>
              <w:shd w:val="clear" w:color="auto" w:fill="FFFFFF"/>
              <w:rPr>
                <w:rFonts w:ascii="Titillium" w:hAnsi="Titillium" w:cstheme="minorHAnsi"/>
                <w:sz w:val="18"/>
                <w:szCs w:val="18"/>
              </w:rPr>
            </w:pPr>
          </w:p>
        </w:tc>
      </w:tr>
    </w:tbl>
    <w:p w14:paraId="2A987E3B" w14:textId="77777777" w:rsidR="00D002C8" w:rsidRDefault="00D002C8">
      <w:pPr>
        <w:shd w:val="clear" w:color="auto" w:fill="FFFFFF"/>
        <w:rPr>
          <w:rFonts w:ascii="Titillium" w:hAnsi="Titillium" w:cs="Arial"/>
          <w:b/>
          <w:i/>
          <w:sz w:val="18"/>
          <w:szCs w:val="18"/>
        </w:rPr>
      </w:pPr>
    </w:p>
    <w:p w14:paraId="4A0FE322" w14:textId="223E0909" w:rsidR="006842EE" w:rsidRDefault="00E84077" w:rsidP="00E84077">
      <w:pPr>
        <w:pStyle w:val="Paragrafoelenco"/>
        <w:spacing w:before="60" w:after="60"/>
        <w:ind w:left="0"/>
        <w:rPr>
          <w:rFonts w:ascii="Titillium" w:hAnsi="Titillium" w:cs="Arial"/>
          <w:sz w:val="18"/>
          <w:szCs w:val="18"/>
        </w:rPr>
      </w:pPr>
      <w:r>
        <w:rPr>
          <w:rFonts w:ascii="Titillium" w:hAnsi="Titillium" w:cs="Arial"/>
          <w:sz w:val="18"/>
          <w:szCs w:val="18"/>
        </w:rPr>
        <w:t>Per le categorie ……</w:t>
      </w:r>
      <w:r w:rsidR="008F2625">
        <w:rPr>
          <w:rFonts w:ascii="Titillium" w:hAnsi="Titillium" w:cs="Arial"/>
          <w:sz w:val="18"/>
          <w:szCs w:val="18"/>
        </w:rPr>
        <w:t>. [</w:t>
      </w:r>
      <w:r w:rsidR="008F2625" w:rsidRPr="00B03D2F">
        <w:rPr>
          <w:rFonts w:ascii="Titillium" w:hAnsi="Titillium" w:cs="Arial"/>
          <w:i/>
          <w:iCs/>
          <w:sz w:val="18"/>
          <w:szCs w:val="18"/>
        </w:rPr>
        <w:t xml:space="preserve">indicare, ove presenti, una o più delle attuali categorie </w:t>
      </w:r>
      <w:r w:rsidR="008F2625" w:rsidRPr="00B03D2F">
        <w:rPr>
          <w:rFonts w:ascii="Titillium" w:hAnsi="Titillium" w:cs="Arial"/>
          <w:b/>
          <w:bCs/>
          <w:i/>
          <w:iCs/>
          <w:sz w:val="18"/>
          <w:szCs w:val="18"/>
        </w:rPr>
        <w:t>Edilizia/Strutture/Infrastrutture per la mobilità</w:t>
      </w:r>
      <w:r w:rsidR="008F2625">
        <w:rPr>
          <w:rFonts w:ascii="Titillium" w:hAnsi="Titillium" w:cs="Arial"/>
          <w:sz w:val="18"/>
          <w:szCs w:val="18"/>
        </w:rPr>
        <w:t>] ai fini della qualificazione nell’ambito della stessa categoria, le attività svolte per opere analoghe a quelle oggetto dei servizi da affidare sono da ritenersi idonee a comprovare i requisiti quando il grado di complessità sia almeno pari a quello dei servizi da affidare.</w:t>
      </w:r>
    </w:p>
    <w:p w14:paraId="5E8970D5" w14:textId="1E92A9F6" w:rsidR="006842EE" w:rsidRPr="00B03D2F" w:rsidRDefault="008F2625" w:rsidP="00E84077">
      <w:pPr>
        <w:pStyle w:val="Paragrafoelenco"/>
        <w:spacing w:before="60" w:after="60"/>
        <w:ind w:left="0"/>
        <w:rPr>
          <w:rFonts w:ascii="Titillium" w:hAnsi="Titillium" w:cs="Arial"/>
          <w:i/>
          <w:iCs/>
          <w:sz w:val="18"/>
          <w:szCs w:val="18"/>
        </w:rPr>
      </w:pPr>
      <w:r>
        <w:rPr>
          <w:rFonts w:ascii="Titillium" w:hAnsi="Titillium" w:cs="Arial"/>
          <w:sz w:val="18"/>
          <w:szCs w:val="18"/>
        </w:rPr>
        <w:t>Per la categoria …. ID …. [</w:t>
      </w:r>
      <w:r w:rsidRPr="00B03D2F">
        <w:rPr>
          <w:rFonts w:ascii="Titillium" w:hAnsi="Titillium" w:cs="Arial"/>
          <w:i/>
          <w:iCs/>
          <w:sz w:val="18"/>
          <w:szCs w:val="18"/>
        </w:rPr>
        <w:t>indicare, ove presenti</w:t>
      </w:r>
      <w:r w:rsidRPr="00B03D2F">
        <w:rPr>
          <w:rFonts w:ascii="Titillium" w:hAnsi="Titillium" w:cs="Arial"/>
          <w:b/>
          <w:bCs/>
          <w:i/>
          <w:iCs/>
          <w:sz w:val="18"/>
          <w:szCs w:val="18"/>
        </w:rPr>
        <w:t>, la categoria diverse da Edilizia/Strutture/Infrastrutture per la mobilità e la relativa ID</w:t>
      </w:r>
      <w:r>
        <w:rPr>
          <w:rFonts w:ascii="Titillium" w:hAnsi="Titillium" w:cs="Arial"/>
          <w:sz w:val="18"/>
          <w:szCs w:val="18"/>
        </w:rPr>
        <w:t>] ai fini della qualificazione, le attività svolte per opere analoghe a quelle oggetto dei servizi da affidare sono da ritenersi idonee a comprovare i requisiti quando relative alle seguenti ID. …… [</w:t>
      </w:r>
      <w:r w:rsidRPr="00B03D2F">
        <w:rPr>
          <w:rFonts w:ascii="Titillium" w:hAnsi="Titillium" w:cs="Arial"/>
          <w:i/>
          <w:iCs/>
          <w:sz w:val="18"/>
          <w:szCs w:val="18"/>
        </w:rPr>
        <w:t>la stazione appaltante indica le ID che ritiene idonee a comprovare il requisito</w:t>
      </w:r>
      <w:r w:rsidR="00B03D2F" w:rsidRPr="00841093">
        <w:rPr>
          <w:rFonts w:ascii="Titillium" w:hAnsi="Titillium" w:cs="Arial"/>
          <w:sz w:val="18"/>
          <w:szCs w:val="18"/>
        </w:rPr>
        <w:t>]</w:t>
      </w:r>
      <w:r w:rsidRPr="00B03D2F">
        <w:rPr>
          <w:rFonts w:ascii="Titillium" w:hAnsi="Titillium" w:cs="Arial"/>
          <w:i/>
          <w:iCs/>
          <w:sz w:val="18"/>
          <w:szCs w:val="18"/>
        </w:rPr>
        <w:t xml:space="preserve">. </w:t>
      </w:r>
    </w:p>
    <w:p w14:paraId="32F053F9" w14:textId="77777777" w:rsidR="00E03AED" w:rsidRDefault="00E03AED" w:rsidP="00E84077">
      <w:pPr>
        <w:pStyle w:val="Paragrafoelenco"/>
        <w:spacing w:before="60" w:after="60"/>
        <w:ind w:left="0"/>
        <w:rPr>
          <w:rFonts w:ascii="Titillium" w:hAnsi="Titillium" w:cs="Arial"/>
          <w:sz w:val="18"/>
          <w:szCs w:val="18"/>
        </w:rPr>
      </w:pPr>
    </w:p>
    <w:p w14:paraId="54FCBCC0" w14:textId="77777777" w:rsidR="00423C99" w:rsidRDefault="008F2625" w:rsidP="00E84077">
      <w:pPr>
        <w:pStyle w:val="Paragrafoelenco"/>
        <w:spacing w:before="60" w:after="60"/>
        <w:ind w:left="0"/>
        <w:rPr>
          <w:rFonts w:ascii="Titillium" w:hAnsi="Titillium" w:cs="Arial"/>
          <w:sz w:val="18"/>
          <w:szCs w:val="18"/>
        </w:rPr>
      </w:pPr>
      <w:r>
        <w:rPr>
          <w:rFonts w:ascii="Titillium" w:hAnsi="Titillium" w:cs="Arial"/>
          <w:sz w:val="18"/>
          <w:szCs w:val="18"/>
        </w:rPr>
        <w:t>La comprova del requisito è fornita mediante</w:t>
      </w:r>
      <w:r w:rsidR="00E03AED">
        <w:rPr>
          <w:rFonts w:ascii="Titillium" w:hAnsi="Titillium" w:cs="Arial"/>
          <w:sz w:val="18"/>
          <w:szCs w:val="18"/>
        </w:rPr>
        <w:t xml:space="preserve"> uno o più sei seguenti documenti:</w:t>
      </w:r>
    </w:p>
    <w:p w14:paraId="2B95BBE9" w14:textId="77777777" w:rsidR="00543114" w:rsidRDefault="008F2625" w:rsidP="00543114">
      <w:pPr>
        <w:pStyle w:val="Paragrafoelenco"/>
        <w:numPr>
          <w:ilvl w:val="0"/>
          <w:numId w:val="6"/>
        </w:numPr>
        <w:spacing w:before="60" w:after="60"/>
        <w:rPr>
          <w:rFonts w:ascii="Titillium" w:hAnsi="Titillium" w:cs="Arial"/>
          <w:sz w:val="18"/>
          <w:szCs w:val="18"/>
        </w:rPr>
      </w:pPr>
      <w:r w:rsidRPr="00765419">
        <w:rPr>
          <w:rFonts w:ascii="Titillium" w:hAnsi="Titillium" w:cs="Arial"/>
          <w:sz w:val="18"/>
          <w:szCs w:val="18"/>
        </w:rPr>
        <w:t>certificati rilasciati dall’amministrazione/ente contraente, con l’indicazione dell’oggetto, dell’importo e del periodo di esecuzione</w:t>
      </w:r>
    </w:p>
    <w:p w14:paraId="7743F649" w14:textId="32C80D29" w:rsidR="00543114" w:rsidRDefault="00423C99" w:rsidP="00423C99">
      <w:pPr>
        <w:pStyle w:val="Paragrafoelenco"/>
        <w:numPr>
          <w:ilvl w:val="0"/>
          <w:numId w:val="6"/>
        </w:numPr>
        <w:spacing w:before="60" w:after="60"/>
        <w:rPr>
          <w:rFonts w:ascii="Titillium" w:hAnsi="Titillium" w:cs="Arial"/>
          <w:sz w:val="18"/>
          <w:szCs w:val="18"/>
        </w:rPr>
      </w:pPr>
      <w:r w:rsidRPr="00543114">
        <w:rPr>
          <w:rFonts w:ascii="Titillium" w:hAnsi="Titillium" w:cs="Arial"/>
          <w:sz w:val="18"/>
          <w:szCs w:val="18"/>
        </w:rPr>
        <w:t>contratti stipulati con le amministrazioni pubbliche, completi di copia delle fatture quietanzate ovvero dei documenti bancari attestanti il pagamento delle stesse;</w:t>
      </w:r>
    </w:p>
    <w:p w14:paraId="6B422F86" w14:textId="77777777" w:rsidR="00543114" w:rsidRDefault="00423C99" w:rsidP="00423C99">
      <w:pPr>
        <w:pStyle w:val="Paragrafoelenco"/>
        <w:numPr>
          <w:ilvl w:val="0"/>
          <w:numId w:val="6"/>
        </w:numPr>
        <w:spacing w:before="60" w:after="60"/>
        <w:rPr>
          <w:rFonts w:ascii="Titillium" w:hAnsi="Titillium" w:cs="Arial"/>
          <w:sz w:val="18"/>
          <w:szCs w:val="18"/>
        </w:rPr>
      </w:pPr>
      <w:r w:rsidRPr="00543114">
        <w:rPr>
          <w:rFonts w:ascii="Titillium" w:hAnsi="Titillium" w:cs="Arial"/>
          <w:sz w:val="18"/>
          <w:szCs w:val="18"/>
        </w:rPr>
        <w:t>attestazioni rilasciate dal committente privato, con l’indicazione dell’oggetto, dell’importo e del periodo di esecuzione;</w:t>
      </w:r>
    </w:p>
    <w:p w14:paraId="37FFF0BA" w14:textId="04D7F0EC" w:rsidR="00423C99" w:rsidRPr="00543114" w:rsidRDefault="00423C99" w:rsidP="00423C99">
      <w:pPr>
        <w:pStyle w:val="Paragrafoelenco"/>
        <w:numPr>
          <w:ilvl w:val="0"/>
          <w:numId w:val="6"/>
        </w:numPr>
        <w:spacing w:before="60" w:after="60"/>
        <w:rPr>
          <w:rFonts w:ascii="Titillium" w:hAnsi="Titillium" w:cs="Arial"/>
          <w:sz w:val="18"/>
          <w:szCs w:val="18"/>
        </w:rPr>
      </w:pPr>
      <w:r w:rsidRPr="00543114">
        <w:rPr>
          <w:rFonts w:ascii="Titillium" w:hAnsi="Titillium" w:cs="Arial"/>
          <w:sz w:val="18"/>
          <w:szCs w:val="18"/>
        </w:rPr>
        <w:t>contratti stipulati con privati, completi di copia delle fatture quietanzate ovvero dei documenti bancari attestanti il pagamento delle stesse.</w:t>
      </w:r>
    </w:p>
    <w:p w14:paraId="0B7E4A44" w14:textId="77777777" w:rsidR="00423C99" w:rsidRPr="00423C99" w:rsidRDefault="00423C99" w:rsidP="00423C99">
      <w:pPr>
        <w:spacing w:before="60" w:after="60"/>
        <w:rPr>
          <w:rFonts w:ascii="Titillium" w:hAnsi="Titillium" w:cs="Arial"/>
          <w:sz w:val="18"/>
          <w:szCs w:val="18"/>
        </w:rPr>
      </w:pPr>
    </w:p>
    <w:p w14:paraId="58D5863D" w14:textId="63A3A68D" w:rsidR="006842EE" w:rsidRPr="007C2225" w:rsidRDefault="008F2625" w:rsidP="00E84077">
      <w:pPr>
        <w:pStyle w:val="Paragrafoelenco"/>
        <w:spacing w:before="60" w:after="60"/>
        <w:ind w:left="0"/>
        <w:rPr>
          <w:rFonts w:ascii="Titillium" w:hAnsi="Titillium" w:cs="Arial"/>
          <w:sz w:val="18"/>
          <w:szCs w:val="18"/>
        </w:rPr>
      </w:pPr>
      <w:r>
        <w:rPr>
          <w:rFonts w:ascii="Titillium" w:hAnsi="Titillium" w:cs="Arial"/>
          <w:sz w:val="18"/>
          <w:szCs w:val="18"/>
        </w:rPr>
        <w:t xml:space="preserve">Tra i servizi valutabili sono </w:t>
      </w:r>
      <w:r w:rsidRPr="007C2225">
        <w:rPr>
          <w:rFonts w:ascii="Titillium" w:hAnsi="Titillium" w:cs="Arial"/>
          <w:sz w:val="18"/>
          <w:szCs w:val="18"/>
        </w:rPr>
        <w:t>ricompresi</w:t>
      </w:r>
      <w:r w:rsidR="00017374" w:rsidRPr="007C2225">
        <w:rPr>
          <w:rFonts w:ascii="Titillium" w:hAnsi="Titillium" w:cs="Arial"/>
          <w:sz w:val="18"/>
          <w:szCs w:val="18"/>
        </w:rPr>
        <w:t xml:space="preserve"> anche</w:t>
      </w:r>
      <w:r w:rsidRPr="007C2225">
        <w:rPr>
          <w:rFonts w:ascii="Titillium" w:hAnsi="Titillium" w:cs="Arial"/>
          <w:sz w:val="18"/>
          <w:szCs w:val="18"/>
        </w:rPr>
        <w:t>:</w:t>
      </w:r>
    </w:p>
    <w:p w14:paraId="128BB658" w14:textId="22B45933" w:rsidR="006842EE" w:rsidRPr="007C2225" w:rsidRDefault="008F2625" w:rsidP="00D26F03">
      <w:pPr>
        <w:pStyle w:val="Paragrafoelenco"/>
        <w:numPr>
          <w:ilvl w:val="0"/>
          <w:numId w:val="28"/>
        </w:numPr>
        <w:spacing w:before="60" w:after="60"/>
        <w:ind w:left="426" w:hanging="284"/>
        <w:rPr>
          <w:rFonts w:ascii="Titillium" w:hAnsi="Titillium" w:cs="Arial"/>
          <w:sz w:val="18"/>
          <w:szCs w:val="18"/>
        </w:rPr>
      </w:pPr>
      <w:r w:rsidRPr="007C2225">
        <w:rPr>
          <w:rFonts w:ascii="Titillium" w:hAnsi="Titillium" w:cs="Arial"/>
          <w:sz w:val="18"/>
          <w:szCs w:val="18"/>
        </w:rPr>
        <w:t>i servizi di ingegneria aventi ad oggetto le sole verifiche strutturali e sismiche sulle opere esistenti, in assenza di progettazione;</w:t>
      </w:r>
    </w:p>
    <w:p w14:paraId="02DE786D" w14:textId="77777777" w:rsidR="00543114" w:rsidRDefault="008F2625" w:rsidP="00D26F03">
      <w:pPr>
        <w:pStyle w:val="Paragrafoelenco"/>
        <w:numPr>
          <w:ilvl w:val="0"/>
          <w:numId w:val="28"/>
        </w:numPr>
        <w:spacing w:before="60" w:after="60"/>
        <w:ind w:left="426" w:hanging="284"/>
        <w:rPr>
          <w:rFonts w:ascii="Titillium" w:hAnsi="Titillium" w:cs="Arial"/>
          <w:sz w:val="18"/>
          <w:szCs w:val="18"/>
        </w:rPr>
      </w:pPr>
      <w:r>
        <w:rPr>
          <w:rFonts w:ascii="Titillium" w:hAnsi="Titillium" w:cs="Arial"/>
          <w:sz w:val="18"/>
          <w:szCs w:val="18"/>
        </w:rPr>
        <w:t>i servizi di progettazione consistenti nella redazione di varianti, sia in fase di gara sia nel corso dell’esecuzione, purché formalizzati in un elaborato sottoscritto dal progettista. La stazione appaltante attesta che la variante, redatta nel rispetto dell’articolo 120 del codice, sia stata formalmente verificata, validata ed approvata, indicando il relativo importo in misura necessariamente corrispondente alla somma degli importi incrementali, riferiti alle categorie di lavori aggiuntivi rispetto al progetto posto a base di gara;</w:t>
      </w:r>
    </w:p>
    <w:p w14:paraId="14847811" w14:textId="77777777" w:rsidR="00543114" w:rsidRDefault="008F2625" w:rsidP="00D26F03">
      <w:pPr>
        <w:pStyle w:val="Paragrafoelenco"/>
        <w:numPr>
          <w:ilvl w:val="0"/>
          <w:numId w:val="28"/>
        </w:numPr>
        <w:spacing w:before="60" w:after="60"/>
        <w:ind w:left="426" w:hanging="284"/>
        <w:rPr>
          <w:rFonts w:ascii="Titillium" w:hAnsi="Titillium" w:cs="Arial"/>
          <w:sz w:val="18"/>
          <w:szCs w:val="18"/>
        </w:rPr>
      </w:pPr>
      <w:r w:rsidRPr="00E43E07">
        <w:rPr>
          <w:rFonts w:ascii="Titillium" w:hAnsi="Titillium" w:cs="Arial"/>
          <w:sz w:val="18"/>
          <w:szCs w:val="18"/>
        </w:rPr>
        <w:t xml:space="preserve">i progetti vincitori in concorsi di progettazione, </w:t>
      </w:r>
      <w:r w:rsidR="00A35AB3" w:rsidRPr="00E43E07">
        <w:rPr>
          <w:rFonts w:ascii="Titillium" w:hAnsi="Titillium" w:cs="Arial"/>
          <w:sz w:val="18"/>
          <w:szCs w:val="18"/>
        </w:rPr>
        <w:t xml:space="preserve">in quanto assimilabili </w:t>
      </w:r>
      <w:r w:rsidRPr="00E43E07">
        <w:rPr>
          <w:rFonts w:ascii="Titillium" w:hAnsi="Titillium" w:cs="Arial"/>
          <w:sz w:val="18"/>
          <w:szCs w:val="18"/>
        </w:rPr>
        <w:t>al progetto di fattibilità tecnica ed economica</w:t>
      </w:r>
      <w:r w:rsidR="00543114" w:rsidRPr="00E43E07">
        <w:rPr>
          <w:rFonts w:ascii="Titillium" w:hAnsi="Titillium" w:cs="Arial"/>
          <w:sz w:val="18"/>
          <w:szCs w:val="18"/>
        </w:rPr>
        <w:t>;</w:t>
      </w:r>
    </w:p>
    <w:p w14:paraId="55E708A9" w14:textId="77777777" w:rsidR="00543114" w:rsidRDefault="00765419" w:rsidP="00D26F03">
      <w:pPr>
        <w:pStyle w:val="Paragrafoelenco"/>
        <w:numPr>
          <w:ilvl w:val="0"/>
          <w:numId w:val="28"/>
        </w:numPr>
        <w:spacing w:before="60" w:after="60"/>
        <w:ind w:left="426" w:hanging="284"/>
        <w:rPr>
          <w:rFonts w:ascii="Titillium" w:hAnsi="Titillium" w:cs="Arial"/>
          <w:sz w:val="18"/>
          <w:szCs w:val="18"/>
        </w:rPr>
      </w:pPr>
      <w:r w:rsidRPr="00543114">
        <w:rPr>
          <w:rFonts w:ascii="Titillium" w:hAnsi="Titillium" w:cs="Arial"/>
          <w:sz w:val="18"/>
          <w:szCs w:val="18"/>
        </w:rPr>
        <w:t>i</w:t>
      </w:r>
      <w:r w:rsidR="00953D6C" w:rsidRPr="00543114">
        <w:rPr>
          <w:rFonts w:ascii="Titillium" w:hAnsi="Titillium" w:cs="Arial"/>
          <w:sz w:val="18"/>
          <w:szCs w:val="18"/>
        </w:rPr>
        <w:t xml:space="preserve"> progetti premiati a seguito di concorso a due fasi e per i quali sia stata certificata la regolare esecuzione</w:t>
      </w:r>
      <w:r w:rsidR="00543114">
        <w:rPr>
          <w:rFonts w:ascii="Titillium" w:hAnsi="Titillium" w:cs="Arial"/>
          <w:sz w:val="18"/>
          <w:szCs w:val="18"/>
        </w:rPr>
        <w:t>;</w:t>
      </w:r>
      <w:r w:rsidR="00953D6C" w:rsidRPr="00543114">
        <w:rPr>
          <w:rFonts w:ascii="Titillium" w:hAnsi="Titillium" w:cs="Arial"/>
          <w:sz w:val="18"/>
          <w:szCs w:val="18"/>
        </w:rPr>
        <w:t xml:space="preserve">  </w:t>
      </w:r>
    </w:p>
    <w:p w14:paraId="4BE7907A" w14:textId="036EDEC4" w:rsidR="002D5733" w:rsidRPr="000B0E59" w:rsidRDefault="00710984" w:rsidP="00D26F03">
      <w:pPr>
        <w:pStyle w:val="Paragrafoelenco"/>
        <w:numPr>
          <w:ilvl w:val="0"/>
          <w:numId w:val="28"/>
        </w:numPr>
        <w:spacing w:before="60" w:after="60"/>
        <w:ind w:left="426" w:hanging="284"/>
        <w:rPr>
          <w:rFonts w:ascii="Titillium" w:hAnsi="Titillium" w:cs="Arial"/>
          <w:sz w:val="18"/>
          <w:szCs w:val="18"/>
        </w:rPr>
      </w:pPr>
      <w:r w:rsidRPr="000B0E59">
        <w:rPr>
          <w:rFonts w:ascii="Titillium" w:hAnsi="Titillium" w:cs="Arial"/>
          <w:sz w:val="18"/>
          <w:szCs w:val="18"/>
        </w:rPr>
        <w:t xml:space="preserve">gli studi di fattibilità effettuati, anche per opere </w:t>
      </w:r>
      <w:r w:rsidR="00543114" w:rsidRPr="000B0E59">
        <w:rPr>
          <w:rFonts w:ascii="Titillium" w:hAnsi="Titillium" w:cs="Arial"/>
          <w:sz w:val="18"/>
          <w:szCs w:val="18"/>
        </w:rPr>
        <w:t>pubbliche posti</w:t>
      </w:r>
      <w:r w:rsidR="00953D6C" w:rsidRPr="000B0E59">
        <w:rPr>
          <w:rFonts w:ascii="Titillium" w:hAnsi="Titillium" w:cs="Arial"/>
          <w:sz w:val="18"/>
          <w:szCs w:val="18"/>
        </w:rPr>
        <w:t xml:space="preserve"> a base di gara per la finanza di progetto</w:t>
      </w:r>
      <w:r w:rsidR="005B4DF5" w:rsidRPr="00841093">
        <w:rPr>
          <w:rFonts w:ascii="Titillium" w:hAnsi="Titillium" w:cs="Arial"/>
          <w:sz w:val="18"/>
          <w:szCs w:val="18"/>
        </w:rPr>
        <w:t>;</w:t>
      </w:r>
    </w:p>
    <w:p w14:paraId="3BDD5ECC" w14:textId="3383C05E" w:rsidR="0004140A" w:rsidRPr="000B0E59" w:rsidRDefault="007C2225" w:rsidP="00D26F03">
      <w:pPr>
        <w:pStyle w:val="Paragrafoelenco"/>
        <w:numPr>
          <w:ilvl w:val="0"/>
          <w:numId w:val="28"/>
        </w:numPr>
        <w:spacing w:before="60" w:after="60"/>
        <w:ind w:left="426" w:hanging="284"/>
        <w:rPr>
          <w:rFonts w:ascii="Titillium" w:hAnsi="Titillium" w:cs="Arial"/>
          <w:sz w:val="18"/>
          <w:szCs w:val="18"/>
        </w:rPr>
      </w:pPr>
      <w:r w:rsidRPr="000B0E59">
        <w:rPr>
          <w:rFonts w:ascii="Titillium" w:hAnsi="Titillium" w:cs="Arial"/>
          <w:b/>
          <w:bCs/>
          <w:sz w:val="18"/>
          <w:szCs w:val="18"/>
        </w:rPr>
        <w:t>[Nel caso in cui l’affidamento abbia ad oggetto la sola Progettazione di fattibilità tecnico-economica]</w:t>
      </w:r>
      <w:r w:rsidRPr="000B0E59">
        <w:rPr>
          <w:rFonts w:ascii="Titillium" w:hAnsi="Titillium" w:cs="Arial"/>
          <w:sz w:val="18"/>
          <w:szCs w:val="18"/>
        </w:rPr>
        <w:t xml:space="preserve"> </w:t>
      </w:r>
      <w:r w:rsidR="0004140A" w:rsidRPr="000B0E59">
        <w:rPr>
          <w:rFonts w:ascii="Titillium" w:hAnsi="Titillium" w:cs="Arial"/>
          <w:sz w:val="18"/>
          <w:szCs w:val="18"/>
        </w:rPr>
        <w:t>il DOCFAP di cui all’articolo 2 dell’Allegato 1.7</w:t>
      </w:r>
      <w:r w:rsidR="00841093">
        <w:rPr>
          <w:rFonts w:ascii="Titillium" w:hAnsi="Titillium" w:cs="Arial"/>
          <w:sz w:val="18"/>
          <w:szCs w:val="18"/>
        </w:rPr>
        <w:t xml:space="preserve"> al Codice</w:t>
      </w:r>
      <w:r w:rsidRPr="000B0E59">
        <w:rPr>
          <w:rFonts w:ascii="Titillium" w:hAnsi="Titillium" w:cs="Arial"/>
          <w:sz w:val="18"/>
          <w:szCs w:val="18"/>
        </w:rPr>
        <w:t xml:space="preserve">.   </w:t>
      </w:r>
    </w:p>
    <w:p w14:paraId="7CAEE868" w14:textId="77777777" w:rsidR="00A70CC1" w:rsidRPr="00A70CC1" w:rsidRDefault="00A70CC1" w:rsidP="00A70CC1">
      <w:pPr>
        <w:spacing w:before="60" w:after="60"/>
        <w:rPr>
          <w:rFonts w:ascii="Titillium" w:hAnsi="Titillium" w:cs="Arial"/>
          <w:color w:val="5B9BD5" w:themeColor="accent1"/>
          <w:sz w:val="18"/>
          <w:szCs w:val="18"/>
        </w:rPr>
      </w:pPr>
    </w:p>
    <w:p w14:paraId="0943D39F" w14:textId="50AF3F0B" w:rsidR="006842EE" w:rsidRPr="00072B95" w:rsidRDefault="008F2625" w:rsidP="00D26F03">
      <w:pPr>
        <w:pStyle w:val="Paragrafoelenco"/>
        <w:numPr>
          <w:ilvl w:val="0"/>
          <w:numId w:val="41"/>
        </w:numPr>
        <w:spacing w:before="60" w:after="60"/>
        <w:ind w:left="426"/>
        <w:rPr>
          <w:rFonts w:ascii="Titillium" w:hAnsi="Titillium" w:cs="Arial"/>
          <w:b/>
          <w:sz w:val="18"/>
          <w:szCs w:val="18"/>
        </w:rPr>
      </w:pPr>
      <w:r w:rsidRPr="00072B95">
        <w:rPr>
          <w:rFonts w:ascii="Titillium" w:hAnsi="Titillium" w:cs="Arial"/>
          <w:b/>
          <w:i/>
          <w:iCs/>
          <w:sz w:val="18"/>
          <w:szCs w:val="18"/>
        </w:rPr>
        <w:t>[Facoltativo]</w:t>
      </w:r>
      <w:r w:rsidRPr="00D262AD">
        <w:rPr>
          <w:rFonts w:ascii="Titillium" w:hAnsi="Titillium" w:cs="Arial"/>
          <w:b/>
          <w:sz w:val="18"/>
          <w:szCs w:val="18"/>
        </w:rPr>
        <w:t xml:space="preserve"> </w:t>
      </w:r>
      <w:r w:rsidRPr="00072B95">
        <w:rPr>
          <w:rFonts w:ascii="Titillium" w:hAnsi="Titillium" w:cs="Arial"/>
          <w:b/>
          <w:sz w:val="18"/>
          <w:szCs w:val="18"/>
        </w:rPr>
        <w:t>Possesso dei seguenti titoli di studio e/o professionali</w:t>
      </w:r>
      <w:r w:rsidRPr="00D262AD">
        <w:rPr>
          <w:rFonts w:ascii="Titillium" w:hAnsi="Titillium" w:cs="Arial"/>
          <w:bCs/>
          <w:sz w:val="18"/>
          <w:szCs w:val="18"/>
        </w:rPr>
        <w:t xml:space="preserve"> </w:t>
      </w:r>
      <w:r w:rsidRPr="00072B95">
        <w:rPr>
          <w:rFonts w:ascii="Titillium" w:hAnsi="Titillium" w:cs="Arial"/>
          <w:b/>
          <w:sz w:val="18"/>
          <w:szCs w:val="18"/>
        </w:rPr>
        <w:t>da parte del prestatore di servizio e/o dei componenti del gruppo di lavoro:</w:t>
      </w:r>
    </w:p>
    <w:p w14:paraId="0A1A4219" w14:textId="77777777" w:rsidR="006842EE" w:rsidRPr="00543114" w:rsidRDefault="008F2625" w:rsidP="00543114">
      <w:pPr>
        <w:spacing w:before="60" w:after="60"/>
        <w:rPr>
          <w:rFonts w:ascii="Titillium" w:hAnsi="Titillium" w:cs="Arial"/>
          <w:color w:val="000000" w:themeColor="text1"/>
          <w:sz w:val="18"/>
          <w:szCs w:val="18"/>
        </w:rPr>
      </w:pPr>
      <w:r w:rsidRPr="00543114">
        <w:rPr>
          <w:rFonts w:ascii="Titillium" w:hAnsi="Titillium" w:cs="Arial"/>
          <w:color w:val="000000" w:themeColor="text1"/>
          <w:sz w:val="18"/>
          <w:szCs w:val="18"/>
        </w:rPr>
        <w:t>[</w:t>
      </w:r>
      <w:r w:rsidRPr="00543114">
        <w:rPr>
          <w:rFonts w:ascii="Titillium" w:hAnsi="Titillium" w:cs="Arial"/>
          <w:i/>
          <w:iCs/>
          <w:color w:val="000000" w:themeColor="text1"/>
          <w:sz w:val="18"/>
          <w:szCs w:val="18"/>
        </w:rPr>
        <w:t>indicare con precisione le ulteriori qualifiche/titolo di studio del gruppo di lavoro che la stazione appaltante richiede rispetto alle professionalità già richieste, tenendo conto di assicurare l’equipollenza di quelli esteri anche in ossequio al principio di reciprocità, nonché le esperienze professionali pertinenti eventualmente richieste].</w:t>
      </w:r>
    </w:p>
    <w:p w14:paraId="2C666990" w14:textId="3687B4EB" w:rsidR="006842EE" w:rsidRPr="00543114" w:rsidRDefault="008F2625" w:rsidP="00543114">
      <w:pPr>
        <w:spacing w:before="60" w:after="60"/>
        <w:rPr>
          <w:rFonts w:ascii="Titillium" w:hAnsi="Titillium" w:cs="Arial"/>
          <w:color w:val="000000" w:themeColor="text1"/>
          <w:sz w:val="18"/>
          <w:szCs w:val="18"/>
        </w:rPr>
      </w:pPr>
      <w:r w:rsidRPr="00543114">
        <w:rPr>
          <w:rFonts w:ascii="Titillium" w:hAnsi="Titillium" w:cs="Arial"/>
          <w:color w:val="000000" w:themeColor="text1"/>
          <w:sz w:val="18"/>
          <w:szCs w:val="18"/>
        </w:rPr>
        <w:t>La comprova del requisito è fornita mediante</w:t>
      </w:r>
      <w:r w:rsidR="00E561C3" w:rsidRPr="00543114">
        <w:rPr>
          <w:rFonts w:ascii="Titillium" w:hAnsi="Titillium" w:cs="Arial"/>
          <w:color w:val="000000" w:themeColor="text1"/>
          <w:sz w:val="18"/>
          <w:szCs w:val="18"/>
        </w:rPr>
        <w:t xml:space="preserve"> … </w:t>
      </w:r>
      <w:r w:rsidRPr="00543114">
        <w:rPr>
          <w:rFonts w:ascii="Titillium" w:hAnsi="Titillium" w:cs="Arial"/>
          <w:color w:val="000000" w:themeColor="text1"/>
          <w:sz w:val="18"/>
          <w:szCs w:val="18"/>
        </w:rPr>
        <w:t>[</w:t>
      </w:r>
      <w:r w:rsidRPr="00543114">
        <w:rPr>
          <w:rFonts w:ascii="Titillium" w:hAnsi="Titillium" w:cs="Arial"/>
          <w:i/>
          <w:iCs/>
          <w:color w:val="000000" w:themeColor="text1"/>
          <w:sz w:val="18"/>
          <w:szCs w:val="18"/>
        </w:rPr>
        <w:t>la stazione appaltante specifica i documenti richiesti</w:t>
      </w:r>
      <w:r w:rsidRPr="00543114">
        <w:rPr>
          <w:rFonts w:ascii="Titillium" w:hAnsi="Titillium" w:cs="Arial"/>
          <w:color w:val="000000" w:themeColor="text1"/>
          <w:sz w:val="18"/>
          <w:szCs w:val="18"/>
        </w:rPr>
        <w:t>].</w:t>
      </w:r>
    </w:p>
    <w:p w14:paraId="14850896" w14:textId="77777777" w:rsidR="006842EE" w:rsidRDefault="006842EE">
      <w:pPr>
        <w:pStyle w:val="Paragrafoelenco"/>
        <w:spacing w:before="60" w:after="60"/>
        <w:rPr>
          <w:rFonts w:ascii="Titillium" w:hAnsi="Titillium" w:cs="Arial"/>
          <w:sz w:val="18"/>
          <w:szCs w:val="18"/>
        </w:rPr>
      </w:pPr>
    </w:p>
    <w:p w14:paraId="4EA70D5A" w14:textId="330DAA80" w:rsidR="006842EE" w:rsidRPr="00D262AD" w:rsidRDefault="008F2625" w:rsidP="00D26F03">
      <w:pPr>
        <w:pStyle w:val="Paragrafoelenco"/>
        <w:numPr>
          <w:ilvl w:val="0"/>
          <w:numId w:val="41"/>
        </w:numPr>
        <w:spacing w:before="60" w:after="60"/>
        <w:ind w:left="426"/>
        <w:rPr>
          <w:rFonts w:ascii="Titillium" w:hAnsi="Titillium" w:cs="Arial"/>
          <w:b/>
          <w:sz w:val="18"/>
          <w:szCs w:val="18"/>
        </w:rPr>
      </w:pPr>
      <w:r w:rsidRPr="000500CF">
        <w:rPr>
          <w:rFonts w:ascii="Titillium" w:hAnsi="Titillium" w:cs="Arial"/>
          <w:b/>
          <w:sz w:val="18"/>
          <w:szCs w:val="18"/>
        </w:rPr>
        <w:t>[</w:t>
      </w:r>
      <w:r w:rsidRPr="00FD3C63">
        <w:rPr>
          <w:rFonts w:ascii="Titillium" w:hAnsi="Titillium" w:cs="Arial"/>
          <w:b/>
          <w:i/>
          <w:iCs/>
          <w:sz w:val="18"/>
          <w:szCs w:val="18"/>
        </w:rPr>
        <w:t>Facoltativo]</w:t>
      </w:r>
      <w:r w:rsidRPr="00D262AD">
        <w:rPr>
          <w:rFonts w:ascii="Titillium" w:hAnsi="Titillium" w:cs="Arial"/>
          <w:b/>
          <w:sz w:val="18"/>
          <w:szCs w:val="18"/>
        </w:rPr>
        <w:t xml:space="preserve"> </w:t>
      </w:r>
      <w:r w:rsidRPr="00072B95">
        <w:rPr>
          <w:rFonts w:ascii="Titillium" w:hAnsi="Titillium" w:cs="Arial"/>
          <w:b/>
          <w:sz w:val="18"/>
          <w:szCs w:val="18"/>
        </w:rPr>
        <w:t>Personale</w:t>
      </w:r>
    </w:p>
    <w:p w14:paraId="79B80BA3" w14:textId="188E9B0A" w:rsidR="006842EE" w:rsidRPr="00543114" w:rsidRDefault="008F2625" w:rsidP="00543114">
      <w:pPr>
        <w:spacing w:before="60" w:after="60"/>
        <w:rPr>
          <w:rFonts w:ascii="Titillium" w:hAnsi="Titillium" w:cs="Arial"/>
          <w:sz w:val="18"/>
          <w:szCs w:val="18"/>
        </w:rPr>
      </w:pPr>
      <w:r w:rsidRPr="00543114">
        <w:rPr>
          <w:rFonts w:ascii="Titillium" w:hAnsi="Titillium" w:cs="Arial"/>
          <w:sz w:val="18"/>
          <w:szCs w:val="18"/>
        </w:rPr>
        <w:t>Per i soggetti organizzati in forma societaria o consortile o per i raggruppamenti temporanei misti (società/consorzi/professionisti): numero medio annuo di personale tecnico, utilizzato negli ultimi tre anni, non inferiore a n. .</w:t>
      </w:r>
      <w:r w:rsidR="00E2334B" w:rsidRPr="00543114">
        <w:rPr>
          <w:rFonts w:ascii="Titillium" w:hAnsi="Titillium" w:cs="Arial"/>
          <w:sz w:val="18"/>
          <w:szCs w:val="18"/>
        </w:rPr>
        <w:t>.</w:t>
      </w:r>
      <w:r w:rsidRPr="00543114">
        <w:rPr>
          <w:rFonts w:ascii="Titillium" w:hAnsi="Titillium" w:cs="Arial"/>
          <w:sz w:val="18"/>
          <w:szCs w:val="18"/>
        </w:rPr>
        <w:t>. unità che corrisponde a</w:t>
      </w:r>
      <w:r w:rsidR="00072B95">
        <w:rPr>
          <w:rFonts w:ascii="Titillium" w:hAnsi="Titillium" w:cs="Arial"/>
          <w:sz w:val="18"/>
          <w:szCs w:val="18"/>
        </w:rPr>
        <w:t xml:space="preserve"> n.</w:t>
      </w:r>
      <w:r w:rsidRPr="00543114">
        <w:rPr>
          <w:rFonts w:ascii="Titillium" w:hAnsi="Titillium" w:cs="Arial"/>
          <w:sz w:val="18"/>
          <w:szCs w:val="18"/>
        </w:rPr>
        <w:t xml:space="preserve"> …. volte le unità di personale stimate </w:t>
      </w:r>
      <w:r w:rsidRPr="00D262AD">
        <w:rPr>
          <w:rFonts w:ascii="Titillium" w:hAnsi="Titillium" w:cs="Arial"/>
          <w:i/>
          <w:iCs/>
          <w:sz w:val="18"/>
          <w:szCs w:val="18"/>
        </w:rPr>
        <w:t>[</w:t>
      </w:r>
      <w:r w:rsidR="00072B95">
        <w:rPr>
          <w:rFonts w:ascii="Titillium" w:hAnsi="Titillium" w:cs="Arial"/>
          <w:i/>
          <w:iCs/>
          <w:sz w:val="18"/>
          <w:szCs w:val="18"/>
        </w:rPr>
        <w:t xml:space="preserve">indicare </w:t>
      </w:r>
      <w:r w:rsidRPr="00D262AD">
        <w:rPr>
          <w:rFonts w:ascii="Titillium" w:hAnsi="Titillium" w:cs="Arial"/>
          <w:i/>
          <w:iCs/>
          <w:sz w:val="18"/>
          <w:szCs w:val="18"/>
        </w:rPr>
        <w:t>il numero minimo di personale richiesto che deve essere proporzionato al</w:t>
      </w:r>
      <w:r w:rsidR="00072B95">
        <w:rPr>
          <w:rFonts w:ascii="Titillium" w:hAnsi="Titillium" w:cs="Arial"/>
          <w:i/>
          <w:iCs/>
          <w:sz w:val="18"/>
          <w:szCs w:val="18"/>
        </w:rPr>
        <w:t xml:space="preserve">le </w:t>
      </w:r>
      <w:r w:rsidRPr="00D262AD">
        <w:rPr>
          <w:rFonts w:ascii="Titillium" w:hAnsi="Titillium" w:cs="Arial"/>
          <w:i/>
          <w:iCs/>
          <w:sz w:val="18"/>
          <w:szCs w:val="18"/>
        </w:rPr>
        <w:t>unità stimate per lo svolgimento dell’incarico e comunque non superiore al doppio]</w:t>
      </w:r>
      <w:r w:rsidRPr="00543114">
        <w:rPr>
          <w:rFonts w:ascii="Titillium" w:hAnsi="Titillium" w:cs="Arial"/>
          <w:sz w:val="18"/>
          <w:szCs w:val="18"/>
        </w:rPr>
        <w:t>.</w:t>
      </w:r>
    </w:p>
    <w:p w14:paraId="24A3532B" w14:textId="431FC0D5" w:rsidR="006842EE" w:rsidRPr="00543114" w:rsidRDefault="008F2625" w:rsidP="00543114">
      <w:pPr>
        <w:spacing w:before="60" w:after="60"/>
        <w:rPr>
          <w:rFonts w:ascii="Titillium" w:hAnsi="Titillium" w:cs="Arial"/>
          <w:sz w:val="18"/>
          <w:szCs w:val="18"/>
        </w:rPr>
      </w:pPr>
      <w:r w:rsidRPr="00543114">
        <w:rPr>
          <w:rFonts w:ascii="Titillium" w:hAnsi="Titillium" w:cs="Arial"/>
          <w:sz w:val="18"/>
          <w:szCs w:val="18"/>
        </w:rPr>
        <w:t>Per il professionista singolo o l’associazione di professionisti: numero di unità di personale tecnico non inferiore a n</w:t>
      </w:r>
      <w:r w:rsidR="00E2334B" w:rsidRPr="00543114">
        <w:rPr>
          <w:rFonts w:ascii="Titillium" w:hAnsi="Titillium" w:cs="Arial"/>
          <w:sz w:val="18"/>
          <w:szCs w:val="18"/>
        </w:rPr>
        <w:t xml:space="preserve">. </w:t>
      </w:r>
      <w:r w:rsidRPr="00543114">
        <w:rPr>
          <w:rFonts w:ascii="Titillium" w:hAnsi="Titillium" w:cs="Arial"/>
          <w:sz w:val="18"/>
          <w:szCs w:val="18"/>
        </w:rPr>
        <w:t>...</w:t>
      </w:r>
      <w:r w:rsidR="00E2334B" w:rsidRPr="00543114">
        <w:rPr>
          <w:rFonts w:ascii="Titillium" w:hAnsi="Titillium" w:cs="Arial"/>
          <w:sz w:val="18"/>
          <w:szCs w:val="18"/>
        </w:rPr>
        <w:t xml:space="preserve"> </w:t>
      </w:r>
      <w:r w:rsidRPr="00543114">
        <w:rPr>
          <w:rFonts w:ascii="Titillium" w:hAnsi="Titillium" w:cs="Arial"/>
          <w:sz w:val="18"/>
          <w:szCs w:val="18"/>
        </w:rPr>
        <w:t xml:space="preserve">unità che corrisponde a …. volte le unità di personale stimate </w:t>
      </w:r>
      <w:r w:rsidRPr="00D262AD">
        <w:rPr>
          <w:rFonts w:ascii="Titillium" w:hAnsi="Titillium" w:cs="Arial"/>
          <w:i/>
          <w:iCs/>
          <w:sz w:val="18"/>
          <w:szCs w:val="18"/>
        </w:rPr>
        <w:t>[indica</w:t>
      </w:r>
      <w:r w:rsidR="00072B95">
        <w:rPr>
          <w:rFonts w:ascii="Titillium" w:hAnsi="Titillium" w:cs="Arial"/>
          <w:i/>
          <w:iCs/>
          <w:sz w:val="18"/>
          <w:szCs w:val="18"/>
        </w:rPr>
        <w:t>re</w:t>
      </w:r>
      <w:r w:rsidRPr="00D262AD">
        <w:rPr>
          <w:rFonts w:ascii="Titillium" w:hAnsi="Titillium" w:cs="Arial"/>
          <w:i/>
          <w:iCs/>
          <w:sz w:val="18"/>
          <w:szCs w:val="18"/>
        </w:rPr>
        <w:t xml:space="preserve"> il numero minimo di personale richiesto che deve essere proporzionato alle unità stimate per lo svolgimento dell’incarico e comunque non superiore al doppio]</w:t>
      </w:r>
      <w:r w:rsidRPr="00543114">
        <w:rPr>
          <w:rFonts w:ascii="Titillium" w:hAnsi="Titillium" w:cs="Arial"/>
          <w:sz w:val="18"/>
          <w:szCs w:val="18"/>
        </w:rPr>
        <w:t>.</w:t>
      </w:r>
    </w:p>
    <w:p w14:paraId="28BA6247" w14:textId="77777777" w:rsidR="006842EE" w:rsidRPr="00543114" w:rsidRDefault="008F2625" w:rsidP="00543114">
      <w:pPr>
        <w:spacing w:before="60" w:after="60"/>
        <w:rPr>
          <w:rFonts w:ascii="Titillium" w:hAnsi="Titillium" w:cs="Arial"/>
          <w:sz w:val="18"/>
          <w:szCs w:val="18"/>
        </w:rPr>
      </w:pPr>
      <w:r w:rsidRPr="00543114">
        <w:rPr>
          <w:rFonts w:ascii="Titillium" w:hAnsi="Titillium" w:cs="Arial"/>
          <w:sz w:val="18"/>
          <w:szCs w:val="18"/>
        </w:rPr>
        <w:t>Si precisa che il personale tecnico comprende i seguenti soggetti:</w:t>
      </w:r>
    </w:p>
    <w:p w14:paraId="1159067A" w14:textId="695BC2A3" w:rsidR="006842EE" w:rsidRDefault="008F2625" w:rsidP="00D26F03">
      <w:pPr>
        <w:pStyle w:val="Paragrafoelenco"/>
        <w:numPr>
          <w:ilvl w:val="0"/>
          <w:numId w:val="42"/>
        </w:numPr>
        <w:spacing w:before="60" w:after="60"/>
        <w:ind w:left="426"/>
        <w:rPr>
          <w:rFonts w:ascii="Titillium" w:hAnsi="Titillium" w:cs="Arial"/>
          <w:sz w:val="18"/>
          <w:szCs w:val="18"/>
        </w:rPr>
      </w:pPr>
      <w:r>
        <w:rPr>
          <w:rFonts w:ascii="Titillium" w:hAnsi="Titillium" w:cs="Arial"/>
          <w:sz w:val="18"/>
          <w:szCs w:val="18"/>
        </w:rPr>
        <w:t>i soci attivi;</w:t>
      </w:r>
    </w:p>
    <w:p w14:paraId="1F5A3124" w14:textId="384EA664" w:rsidR="006842EE" w:rsidRDefault="008F2625" w:rsidP="00D26F03">
      <w:pPr>
        <w:pStyle w:val="Paragrafoelenco"/>
        <w:numPr>
          <w:ilvl w:val="0"/>
          <w:numId w:val="42"/>
        </w:numPr>
        <w:spacing w:before="60" w:after="60"/>
        <w:ind w:left="426"/>
        <w:rPr>
          <w:rFonts w:ascii="Titillium" w:hAnsi="Titillium" w:cs="Arial"/>
          <w:sz w:val="18"/>
          <w:szCs w:val="18"/>
        </w:rPr>
      </w:pPr>
      <w:r>
        <w:rPr>
          <w:rFonts w:ascii="Titillium" w:hAnsi="Titillium" w:cs="Arial"/>
          <w:sz w:val="18"/>
          <w:szCs w:val="18"/>
        </w:rPr>
        <w:t>i dipendenti;</w:t>
      </w:r>
    </w:p>
    <w:p w14:paraId="621BFC1B" w14:textId="6FBA4E6C" w:rsidR="006842EE" w:rsidRDefault="008F2625" w:rsidP="00D26F03">
      <w:pPr>
        <w:pStyle w:val="Paragrafoelenco"/>
        <w:numPr>
          <w:ilvl w:val="0"/>
          <w:numId w:val="42"/>
        </w:numPr>
        <w:spacing w:before="60" w:after="60"/>
        <w:ind w:left="426"/>
        <w:rPr>
          <w:rFonts w:ascii="Titillium" w:hAnsi="Titillium" w:cs="Arial"/>
          <w:sz w:val="18"/>
          <w:szCs w:val="18"/>
        </w:rPr>
      </w:pPr>
      <w:r>
        <w:rPr>
          <w:rFonts w:ascii="Titillium" w:hAnsi="Titillium" w:cs="Arial"/>
          <w:sz w:val="18"/>
          <w:szCs w:val="18"/>
        </w:rPr>
        <w:t>i collaboratori con contratto di collaborazione coordinata e continuativa su base annua;</w:t>
      </w:r>
    </w:p>
    <w:p w14:paraId="66A38354" w14:textId="3E0B0867" w:rsidR="006842EE" w:rsidRDefault="008F2625" w:rsidP="00D26F03">
      <w:pPr>
        <w:pStyle w:val="Paragrafoelenco"/>
        <w:numPr>
          <w:ilvl w:val="0"/>
          <w:numId w:val="42"/>
        </w:numPr>
        <w:spacing w:before="60" w:after="60"/>
        <w:ind w:left="426"/>
        <w:rPr>
          <w:rFonts w:ascii="Titillium" w:hAnsi="Titillium" w:cs="Arial"/>
          <w:sz w:val="18"/>
          <w:szCs w:val="18"/>
        </w:rPr>
      </w:pPr>
      <w:r>
        <w:rPr>
          <w:rFonts w:ascii="Titillium" w:hAnsi="Titillium" w:cs="Arial"/>
          <w:sz w:val="18"/>
          <w:szCs w:val="18"/>
        </w:rPr>
        <w:t>i consulenti iscritti ai relativi albi professionali ove esistenti, muniti di partita IVA e che firmino il progetto, ovvero firmino i rapporti di verifica del progetto ovvero facciano parte dell’Ufficio direzione lavori e che abbiano fatturato nei confronti del concorrente una quota superiore al cinquanta per cento del proprio fatturato annuo risultante dalla dichiarazione IVA.</w:t>
      </w:r>
    </w:p>
    <w:p w14:paraId="48D3F468" w14:textId="77777777" w:rsidR="006842EE" w:rsidRDefault="008F2625">
      <w:pPr>
        <w:spacing w:before="60" w:after="60"/>
        <w:rPr>
          <w:rFonts w:ascii="Titillium" w:hAnsi="Titillium" w:cs="Arial"/>
          <w:sz w:val="18"/>
          <w:szCs w:val="18"/>
        </w:rPr>
      </w:pPr>
      <w:r>
        <w:rPr>
          <w:rFonts w:ascii="Titillium" w:hAnsi="Titillium" w:cs="Arial"/>
          <w:sz w:val="18"/>
          <w:szCs w:val="18"/>
        </w:rPr>
        <w:t>Il personale richiesto è espresso in termini di risorse a tempo pieno (Full Time Equivalent, FTE). Tale valore si ottiene sommando le ore contrattuali del personale e dividendo poi il risultato ottenuto per il numero delle ore di lavoro di un dipendente a tempo pieno.</w:t>
      </w:r>
    </w:p>
    <w:p w14:paraId="065413B3" w14:textId="37E7CB6F" w:rsidR="006842EE" w:rsidRDefault="008F2625">
      <w:pPr>
        <w:pStyle w:val="Paragrafoelenco"/>
        <w:spacing w:before="60" w:after="60"/>
        <w:ind w:left="0"/>
        <w:rPr>
          <w:rFonts w:ascii="Titillium" w:hAnsi="Titillium" w:cs="Arial"/>
          <w:i/>
          <w:iCs/>
          <w:sz w:val="18"/>
          <w:szCs w:val="18"/>
        </w:rPr>
      </w:pPr>
      <w:r>
        <w:rPr>
          <w:rFonts w:ascii="Titillium" w:hAnsi="Titillium" w:cs="Arial"/>
          <w:sz w:val="18"/>
          <w:szCs w:val="18"/>
        </w:rPr>
        <w:t xml:space="preserve">La comprova del requisito è fornita mediante … </w:t>
      </w:r>
      <w:r w:rsidRPr="00072B95">
        <w:rPr>
          <w:rFonts w:ascii="Titillium" w:hAnsi="Titillium" w:cs="Arial"/>
          <w:i/>
          <w:iCs/>
          <w:sz w:val="18"/>
          <w:szCs w:val="18"/>
        </w:rPr>
        <w:t>[</w:t>
      </w:r>
      <w:r w:rsidR="00072B95" w:rsidRPr="00072B95">
        <w:rPr>
          <w:rFonts w:ascii="Titillium" w:hAnsi="Titillium" w:cs="Arial"/>
          <w:i/>
          <w:iCs/>
          <w:sz w:val="18"/>
          <w:szCs w:val="18"/>
        </w:rPr>
        <w:t>specificare</w:t>
      </w:r>
      <w:r w:rsidR="00072B95">
        <w:rPr>
          <w:rFonts w:ascii="Titillium" w:hAnsi="Titillium" w:cs="Arial"/>
          <w:sz w:val="18"/>
          <w:szCs w:val="18"/>
        </w:rPr>
        <w:t xml:space="preserve"> </w:t>
      </w:r>
      <w:r w:rsidRPr="00F9533E">
        <w:rPr>
          <w:rFonts w:ascii="Titillium" w:hAnsi="Titillium" w:cs="Arial"/>
          <w:i/>
          <w:iCs/>
          <w:sz w:val="18"/>
          <w:szCs w:val="18"/>
        </w:rPr>
        <w:t>i documenti richiesti, ad esempio: per i soci attivi estratto del libro soci; per i direttori tecnici verbale di nomina; per i dipendenti dichiarazione di un dottore commercialista o un consulente del lavoro iscritto all’albo o libro unico del lavoro; per i collaboratori coordinati e continuativi, contratto e una busta paga oppure libro unico del lavoro; per i consulenti, dichiarazione IVA annuale e fatture oppure documentazione contabile attestante il pagamento</w:t>
      </w:r>
      <w:r w:rsidR="00072B95">
        <w:rPr>
          <w:rFonts w:ascii="Titillium" w:hAnsi="Titillium" w:cs="Arial"/>
          <w:i/>
          <w:iCs/>
          <w:sz w:val="18"/>
          <w:szCs w:val="18"/>
        </w:rPr>
        <w:t>]</w:t>
      </w:r>
    </w:p>
    <w:p w14:paraId="0D3BC19C" w14:textId="3E409E15" w:rsidR="006842EE" w:rsidRDefault="006842EE" w:rsidP="00E84077">
      <w:pPr>
        <w:rPr>
          <w:rFonts w:ascii="Titillium" w:hAnsi="Titillium" w:cstheme="minorHAnsi"/>
          <w:sz w:val="18"/>
          <w:szCs w:val="18"/>
        </w:rPr>
      </w:pPr>
    </w:p>
    <w:p w14:paraId="6D2F5115" w14:textId="44C31B49" w:rsidR="006842EE" w:rsidRPr="009B6720" w:rsidRDefault="008F2625" w:rsidP="00D26F03">
      <w:pPr>
        <w:pStyle w:val="Titolo3"/>
        <w:numPr>
          <w:ilvl w:val="1"/>
          <w:numId w:val="54"/>
        </w:numPr>
        <w:spacing w:before="120"/>
        <w:ind w:left="426" w:hanging="426"/>
        <w:rPr>
          <w:rFonts w:ascii="Titillium" w:hAnsi="Titillium"/>
          <w:sz w:val="18"/>
          <w:szCs w:val="18"/>
          <w:lang w:val="it-IT"/>
        </w:rPr>
      </w:pPr>
      <w:bookmarkStart w:id="1391" w:name="_Toc497728149"/>
      <w:bookmarkStart w:id="1392" w:name="_Toc497484951"/>
      <w:bookmarkStart w:id="1393" w:name="_Toc485218285"/>
      <w:bookmarkStart w:id="1394" w:name="_Toc484688849"/>
      <w:bookmarkStart w:id="1395" w:name="_Toc484688294"/>
      <w:bookmarkStart w:id="1396" w:name="_Toc484605425"/>
      <w:bookmarkStart w:id="1397" w:name="_Toc484605301"/>
      <w:bookmarkStart w:id="1398" w:name="_Toc484526581"/>
      <w:bookmarkStart w:id="1399" w:name="_Toc484449086"/>
      <w:bookmarkStart w:id="1400" w:name="_Toc484448962"/>
      <w:bookmarkStart w:id="1401" w:name="_Toc484448838"/>
      <w:bookmarkStart w:id="1402" w:name="_Toc484448715"/>
      <w:bookmarkStart w:id="1403" w:name="_Toc484448591"/>
      <w:bookmarkStart w:id="1404" w:name="_Toc484448467"/>
      <w:bookmarkStart w:id="1405" w:name="_Toc484448343"/>
      <w:bookmarkStart w:id="1406" w:name="_Toc484448219"/>
      <w:bookmarkStart w:id="1407" w:name="_Toc484448094"/>
      <w:bookmarkStart w:id="1408" w:name="_Toc484440435"/>
      <w:bookmarkStart w:id="1409" w:name="_Toc484440075"/>
      <w:bookmarkStart w:id="1410" w:name="_Toc484439951"/>
      <w:bookmarkStart w:id="1411" w:name="_Toc484439828"/>
      <w:bookmarkStart w:id="1412" w:name="_Toc484438908"/>
      <w:bookmarkStart w:id="1413" w:name="_Toc484438784"/>
      <w:bookmarkStart w:id="1414" w:name="_Toc484438660"/>
      <w:bookmarkStart w:id="1415" w:name="_Toc484429085"/>
      <w:bookmarkStart w:id="1416" w:name="_Toc484428915"/>
      <w:bookmarkStart w:id="1417" w:name="_Toc484097743"/>
      <w:bookmarkStart w:id="1418" w:name="_Toc484011669"/>
      <w:bookmarkStart w:id="1419" w:name="_Toc484011194"/>
      <w:bookmarkStart w:id="1420" w:name="_Toc484011072"/>
      <w:bookmarkStart w:id="1421" w:name="_Toc484010950"/>
      <w:bookmarkStart w:id="1422" w:name="_Toc484010826"/>
      <w:bookmarkStart w:id="1423" w:name="_Toc484010704"/>
      <w:bookmarkStart w:id="1424" w:name="_Toc483906954"/>
      <w:bookmarkStart w:id="1425" w:name="_Toc483571577"/>
      <w:bookmarkStart w:id="1426" w:name="_Toc483571456"/>
      <w:bookmarkStart w:id="1427" w:name="_Toc483474027"/>
      <w:bookmarkStart w:id="1428" w:name="_Toc483401230"/>
      <w:bookmarkStart w:id="1429" w:name="_Toc483325751"/>
      <w:bookmarkStart w:id="1430" w:name="_Toc483316448"/>
      <w:bookmarkStart w:id="1431" w:name="_Toc483316317"/>
      <w:bookmarkStart w:id="1432" w:name="_Toc483316114"/>
      <w:bookmarkStart w:id="1433" w:name="_Toc483315909"/>
      <w:bookmarkStart w:id="1434" w:name="_Toc483302359"/>
      <w:bookmarkStart w:id="1435" w:name="_Toc485218284"/>
      <w:bookmarkStart w:id="1436" w:name="_Toc484688848"/>
      <w:bookmarkStart w:id="1437" w:name="_Toc484688293"/>
      <w:bookmarkStart w:id="1438" w:name="_Toc484605424"/>
      <w:bookmarkStart w:id="1439" w:name="_Toc484605300"/>
      <w:bookmarkStart w:id="1440" w:name="_Toc484526580"/>
      <w:bookmarkStart w:id="1441" w:name="_Toc484449085"/>
      <w:bookmarkStart w:id="1442" w:name="_Toc484448961"/>
      <w:bookmarkStart w:id="1443" w:name="_Toc484448837"/>
      <w:bookmarkStart w:id="1444" w:name="_Toc484448714"/>
      <w:bookmarkStart w:id="1445" w:name="_Toc484448590"/>
      <w:bookmarkStart w:id="1446" w:name="_Toc484448466"/>
      <w:bookmarkStart w:id="1447" w:name="_Toc484448342"/>
      <w:bookmarkStart w:id="1448" w:name="_Toc484448218"/>
      <w:bookmarkStart w:id="1449" w:name="_Toc484448093"/>
      <w:bookmarkStart w:id="1450" w:name="_Toc484440434"/>
      <w:bookmarkStart w:id="1451" w:name="_Toc484440074"/>
      <w:bookmarkStart w:id="1452" w:name="_Toc484439950"/>
      <w:bookmarkStart w:id="1453" w:name="_Toc484439827"/>
      <w:bookmarkStart w:id="1454" w:name="_Toc484438907"/>
      <w:bookmarkStart w:id="1455" w:name="_Toc484438783"/>
      <w:bookmarkStart w:id="1456" w:name="_Toc484438659"/>
      <w:bookmarkStart w:id="1457" w:name="_Toc484429084"/>
      <w:bookmarkStart w:id="1458" w:name="_Toc484428914"/>
      <w:bookmarkStart w:id="1459" w:name="_Toc484097742"/>
      <w:bookmarkStart w:id="1460" w:name="_Toc484011668"/>
      <w:bookmarkStart w:id="1461" w:name="_Toc484011193"/>
      <w:bookmarkStart w:id="1462" w:name="_Toc484011071"/>
      <w:bookmarkStart w:id="1463" w:name="_Toc484010949"/>
      <w:bookmarkStart w:id="1464" w:name="_Toc484010825"/>
      <w:bookmarkStart w:id="1465" w:name="_Toc484010703"/>
      <w:bookmarkStart w:id="1466" w:name="_Toc483906953"/>
      <w:bookmarkStart w:id="1467" w:name="_Toc483571576"/>
      <w:bookmarkStart w:id="1468" w:name="_Toc483571455"/>
      <w:bookmarkStart w:id="1469" w:name="_Toc483474026"/>
      <w:bookmarkStart w:id="1470" w:name="_Toc483401229"/>
      <w:bookmarkStart w:id="1471" w:name="_Toc483325750"/>
      <w:bookmarkStart w:id="1472" w:name="_Toc483316447"/>
      <w:bookmarkStart w:id="1473" w:name="_Toc483316316"/>
      <w:bookmarkStart w:id="1474" w:name="_Toc483316113"/>
      <w:bookmarkStart w:id="1475" w:name="_Toc483315908"/>
      <w:bookmarkStart w:id="1476" w:name="_Toc483302358"/>
      <w:bookmarkStart w:id="1477" w:name="_Toc485218283"/>
      <w:bookmarkStart w:id="1478" w:name="_Toc484688847"/>
      <w:bookmarkStart w:id="1479" w:name="_Toc484688292"/>
      <w:bookmarkStart w:id="1480" w:name="_Toc484605423"/>
      <w:bookmarkStart w:id="1481" w:name="_Toc484605299"/>
      <w:bookmarkStart w:id="1482" w:name="_Toc484526579"/>
      <w:bookmarkStart w:id="1483" w:name="_Toc484449084"/>
      <w:bookmarkStart w:id="1484" w:name="_Toc484448960"/>
      <w:bookmarkStart w:id="1485" w:name="_Toc484448836"/>
      <w:bookmarkStart w:id="1486" w:name="_Toc484448713"/>
      <w:bookmarkStart w:id="1487" w:name="_Toc484448589"/>
      <w:bookmarkStart w:id="1488" w:name="_Toc484448465"/>
      <w:bookmarkStart w:id="1489" w:name="_Toc484448341"/>
      <w:bookmarkStart w:id="1490" w:name="_Toc484448217"/>
      <w:bookmarkStart w:id="1491" w:name="_Toc484448092"/>
      <w:bookmarkStart w:id="1492" w:name="_Toc484440433"/>
      <w:bookmarkStart w:id="1493" w:name="_Toc484440073"/>
      <w:bookmarkStart w:id="1494" w:name="_Toc484439949"/>
      <w:bookmarkStart w:id="1495" w:name="_Toc484439826"/>
      <w:bookmarkStart w:id="1496" w:name="_Toc484438906"/>
      <w:bookmarkStart w:id="1497" w:name="_Toc484438782"/>
      <w:bookmarkStart w:id="1498" w:name="_Toc484438658"/>
      <w:bookmarkStart w:id="1499" w:name="_Toc484429083"/>
      <w:bookmarkStart w:id="1500" w:name="_Toc484428913"/>
      <w:bookmarkStart w:id="1501" w:name="_Toc484097741"/>
      <w:bookmarkStart w:id="1502" w:name="_Toc484011667"/>
      <w:bookmarkStart w:id="1503" w:name="_Toc484011192"/>
      <w:bookmarkStart w:id="1504" w:name="_Toc484011070"/>
      <w:bookmarkStart w:id="1505" w:name="_Toc484010948"/>
      <w:bookmarkStart w:id="1506" w:name="_Toc484010824"/>
      <w:bookmarkStart w:id="1507" w:name="_Toc484010702"/>
      <w:bookmarkStart w:id="1508" w:name="_Toc483906952"/>
      <w:bookmarkStart w:id="1509" w:name="_Toc483571575"/>
      <w:bookmarkStart w:id="1510" w:name="_Toc483571454"/>
      <w:bookmarkStart w:id="1511" w:name="_Toc483474025"/>
      <w:bookmarkStart w:id="1512" w:name="_Toc483401228"/>
      <w:bookmarkStart w:id="1513" w:name="_Toc483325749"/>
      <w:bookmarkStart w:id="1514" w:name="_Toc483316446"/>
      <w:bookmarkStart w:id="1515" w:name="_Toc483316315"/>
      <w:bookmarkStart w:id="1516" w:name="_Toc483316112"/>
      <w:bookmarkStart w:id="1517" w:name="_Toc483315907"/>
      <w:bookmarkStart w:id="1518" w:name="_Toc483302357"/>
      <w:bookmarkStart w:id="1519" w:name="_Toc485218282"/>
      <w:bookmarkStart w:id="1520" w:name="_Toc484688846"/>
      <w:bookmarkStart w:id="1521" w:name="_Toc484688291"/>
      <w:bookmarkStart w:id="1522" w:name="_Toc484605422"/>
      <w:bookmarkStart w:id="1523" w:name="_Toc484605298"/>
      <w:bookmarkStart w:id="1524" w:name="_Toc484526578"/>
      <w:bookmarkStart w:id="1525" w:name="_Toc484449083"/>
      <w:bookmarkStart w:id="1526" w:name="_Toc484448959"/>
      <w:bookmarkStart w:id="1527" w:name="_Toc484448835"/>
      <w:bookmarkStart w:id="1528" w:name="_Toc484448712"/>
      <w:bookmarkStart w:id="1529" w:name="_Toc484448588"/>
      <w:bookmarkStart w:id="1530" w:name="_Toc484448464"/>
      <w:bookmarkStart w:id="1531" w:name="_Toc484448340"/>
      <w:bookmarkStart w:id="1532" w:name="_Toc484448216"/>
      <w:bookmarkStart w:id="1533" w:name="_Toc484448091"/>
      <w:bookmarkStart w:id="1534" w:name="_Toc484440432"/>
      <w:bookmarkStart w:id="1535" w:name="_Toc484440072"/>
      <w:bookmarkStart w:id="1536" w:name="_Toc484439948"/>
      <w:bookmarkStart w:id="1537" w:name="_Toc484439825"/>
      <w:bookmarkStart w:id="1538" w:name="_Toc484438905"/>
      <w:bookmarkStart w:id="1539" w:name="_Toc484438781"/>
      <w:bookmarkStart w:id="1540" w:name="_Toc484438657"/>
      <w:bookmarkStart w:id="1541" w:name="_Toc484429082"/>
      <w:bookmarkStart w:id="1542" w:name="_Toc484428912"/>
      <w:bookmarkStart w:id="1543" w:name="_Toc484097740"/>
      <w:bookmarkStart w:id="1544" w:name="_Toc484011666"/>
      <w:bookmarkStart w:id="1545" w:name="_Toc484011191"/>
      <w:bookmarkStart w:id="1546" w:name="_Toc484011069"/>
      <w:bookmarkStart w:id="1547" w:name="_Toc484010947"/>
      <w:bookmarkStart w:id="1548" w:name="_Toc484010823"/>
      <w:bookmarkStart w:id="1549" w:name="_Toc484010701"/>
      <w:bookmarkStart w:id="1550" w:name="_Toc483906951"/>
      <w:bookmarkStart w:id="1551" w:name="_Toc483571574"/>
      <w:bookmarkStart w:id="1552" w:name="_Toc483571453"/>
      <w:bookmarkStart w:id="1553" w:name="_Toc483474024"/>
      <w:bookmarkStart w:id="1554" w:name="_Toc483401227"/>
      <w:bookmarkStart w:id="1555" w:name="_Toc483325748"/>
      <w:bookmarkStart w:id="1556" w:name="_Toc483316445"/>
      <w:bookmarkStart w:id="1557" w:name="_Toc483316314"/>
      <w:bookmarkStart w:id="1558" w:name="_Toc483316111"/>
      <w:bookmarkStart w:id="1559" w:name="_Toc483315906"/>
      <w:bookmarkStart w:id="1560" w:name="_Toc483302356"/>
      <w:bookmarkStart w:id="1561" w:name="_Toc485218281"/>
      <w:bookmarkStart w:id="1562" w:name="_Toc484688845"/>
      <w:bookmarkStart w:id="1563" w:name="_Toc484688290"/>
      <w:bookmarkStart w:id="1564" w:name="_Toc484605421"/>
      <w:bookmarkStart w:id="1565" w:name="_Toc484605297"/>
      <w:bookmarkStart w:id="1566" w:name="_Toc484526577"/>
      <w:bookmarkStart w:id="1567" w:name="_Toc484449082"/>
      <w:bookmarkStart w:id="1568" w:name="_Toc484448958"/>
      <w:bookmarkStart w:id="1569" w:name="_Toc484448834"/>
      <w:bookmarkStart w:id="1570" w:name="_Toc484448711"/>
      <w:bookmarkStart w:id="1571" w:name="_Toc484448587"/>
      <w:bookmarkStart w:id="1572" w:name="_Toc484448463"/>
      <w:bookmarkStart w:id="1573" w:name="_Toc484448339"/>
      <w:bookmarkStart w:id="1574" w:name="_Toc484448215"/>
      <w:bookmarkStart w:id="1575" w:name="_Toc484448090"/>
      <w:bookmarkStart w:id="1576" w:name="_Toc484440431"/>
      <w:bookmarkStart w:id="1577" w:name="_Toc484440071"/>
      <w:bookmarkStart w:id="1578" w:name="_Toc484439947"/>
      <w:bookmarkStart w:id="1579" w:name="_Toc484439824"/>
      <w:bookmarkStart w:id="1580" w:name="_Toc484438904"/>
      <w:bookmarkStart w:id="1581" w:name="_Toc484438780"/>
      <w:bookmarkStart w:id="1582" w:name="_Toc484438656"/>
      <w:bookmarkStart w:id="1583" w:name="_Toc484429081"/>
      <w:bookmarkStart w:id="1584" w:name="_Toc484428911"/>
      <w:bookmarkStart w:id="1585" w:name="_Toc484097739"/>
      <w:bookmarkStart w:id="1586" w:name="_Toc484011665"/>
      <w:bookmarkStart w:id="1587" w:name="_Toc484011190"/>
      <w:bookmarkStart w:id="1588" w:name="_Toc484011068"/>
      <w:bookmarkStart w:id="1589" w:name="_Toc484010946"/>
      <w:bookmarkStart w:id="1590" w:name="_Toc484010822"/>
      <w:bookmarkStart w:id="1591" w:name="_Toc484010700"/>
      <w:bookmarkStart w:id="1592" w:name="_Toc483906950"/>
      <w:bookmarkStart w:id="1593" w:name="_Toc483571573"/>
      <w:bookmarkStart w:id="1594" w:name="_Toc483571452"/>
      <w:bookmarkStart w:id="1595" w:name="_Toc483474023"/>
      <w:bookmarkStart w:id="1596" w:name="_Toc483401226"/>
      <w:bookmarkStart w:id="1597" w:name="_Toc483325747"/>
      <w:bookmarkStart w:id="1598" w:name="_Toc483316444"/>
      <w:bookmarkStart w:id="1599" w:name="_Toc483316313"/>
      <w:bookmarkStart w:id="1600" w:name="_Toc483316110"/>
      <w:bookmarkStart w:id="1601" w:name="_Toc483315905"/>
      <w:bookmarkStart w:id="1602" w:name="_Toc483302355"/>
      <w:bookmarkStart w:id="1603" w:name="_Toc498419741"/>
      <w:bookmarkStart w:id="1604" w:name="_Toc497831543"/>
      <w:bookmarkStart w:id="1605" w:name="_Toc497728148"/>
      <w:bookmarkStart w:id="1606" w:name="_Toc497484950"/>
      <w:bookmarkStart w:id="1607" w:name="_Toc498419740"/>
      <w:bookmarkStart w:id="1608" w:name="_Toc498419739"/>
      <w:bookmarkStart w:id="1609" w:name="_Toc498419738"/>
      <w:bookmarkStart w:id="1610" w:name="_Toc498419737"/>
      <w:bookmarkStart w:id="1611" w:name="_Toc498419736"/>
      <w:bookmarkStart w:id="1612" w:name="_Toc498419735"/>
      <w:bookmarkStart w:id="1613" w:name="_Toc498419742"/>
      <w:bookmarkStart w:id="1614" w:name="_Toc497831544"/>
      <w:bookmarkStart w:id="1615" w:name="_Toc227921628"/>
      <w:bookmarkEnd w:id="1381"/>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r w:rsidRPr="009B6720">
        <w:rPr>
          <w:rFonts w:ascii="Titillium" w:hAnsi="Titillium"/>
          <w:sz w:val="18"/>
          <w:szCs w:val="18"/>
          <w:lang w:val="it-IT"/>
        </w:rPr>
        <w:t>INDICAZIONI SUI REQUISITI SPECIALI NEI RAGGRUPPAMENTI TEMPORANEI, CONSORZI ORDINARI, AGGREGAZIONI DI RETE, GEIE</w:t>
      </w:r>
      <w:bookmarkEnd w:id="1615"/>
    </w:p>
    <w:p w14:paraId="4B467CCD" w14:textId="5793AF10" w:rsidR="006842EE" w:rsidRDefault="008F2625">
      <w:pPr>
        <w:spacing w:before="60" w:after="60"/>
        <w:rPr>
          <w:rFonts w:ascii="Titillium" w:hAnsi="Titillium" w:cs="Calibri"/>
          <w:sz w:val="18"/>
          <w:szCs w:val="18"/>
        </w:rPr>
      </w:pPr>
      <w:r>
        <w:rPr>
          <w:rFonts w:ascii="Titillium" w:hAnsi="Titillium" w:cs="Calibri"/>
          <w:sz w:val="18"/>
          <w:szCs w:val="18"/>
        </w:rPr>
        <w:t xml:space="preserve">I soggetti </w:t>
      </w:r>
      <w:r w:rsidRPr="00953D6C">
        <w:rPr>
          <w:rFonts w:ascii="Titillium" w:hAnsi="Titillium" w:cs="Calibri"/>
          <w:sz w:val="18"/>
          <w:szCs w:val="18"/>
        </w:rPr>
        <w:t>di cui all’articolo 66 comma 1 lettera f)</w:t>
      </w:r>
      <w:r w:rsidR="004D74B5" w:rsidRPr="00953D6C">
        <w:rPr>
          <w:rFonts w:ascii="Titillium" w:hAnsi="Titillium" w:cs="Calibri"/>
          <w:sz w:val="18"/>
          <w:szCs w:val="18"/>
        </w:rPr>
        <w:t xml:space="preserve"> </w:t>
      </w:r>
      <w:r w:rsidRPr="004D74B5">
        <w:rPr>
          <w:rFonts w:ascii="Titillium" w:hAnsi="Titillium" w:cs="Calibri"/>
          <w:sz w:val="18"/>
          <w:szCs w:val="18"/>
        </w:rPr>
        <w:t>devono possedere</w:t>
      </w:r>
      <w:r>
        <w:rPr>
          <w:rFonts w:ascii="Titillium" w:hAnsi="Titillium" w:cs="Calibri"/>
          <w:sz w:val="18"/>
          <w:szCs w:val="18"/>
        </w:rPr>
        <w:t xml:space="preserve"> i requisiti di ordine speciale nei termini di seguito indicati.</w:t>
      </w:r>
    </w:p>
    <w:p w14:paraId="6A2EAD25" w14:textId="25FA25B1" w:rsidR="006842EE" w:rsidRPr="004D74B5" w:rsidRDefault="008F2625">
      <w:pPr>
        <w:spacing w:before="60" w:after="60"/>
        <w:rPr>
          <w:rFonts w:ascii="Titillium" w:hAnsi="Titillium" w:cs="Calibri"/>
          <w:color w:val="0070C0"/>
          <w:sz w:val="18"/>
          <w:szCs w:val="18"/>
        </w:rPr>
      </w:pPr>
      <w:r>
        <w:rPr>
          <w:rFonts w:ascii="Titillium" w:hAnsi="Titillium" w:cs="Calibri"/>
          <w:sz w:val="18"/>
          <w:szCs w:val="18"/>
        </w:rPr>
        <w:t>Alle aggregazioni di retisti, ai consorzi ordinari ed ai GEIE si applica la disciplina prevista per i raggruppamenti temporanei</w:t>
      </w:r>
      <w:r w:rsidR="004D74B5">
        <w:rPr>
          <w:rFonts w:ascii="Titillium" w:hAnsi="Titillium" w:cs="Calibri"/>
          <w:sz w:val="18"/>
          <w:szCs w:val="18"/>
        </w:rPr>
        <w:t xml:space="preserve"> </w:t>
      </w:r>
      <w:r w:rsidR="004D74B5" w:rsidRPr="00953D6C">
        <w:rPr>
          <w:rFonts w:ascii="Titillium" w:hAnsi="Titillium" w:cs="Calibri"/>
          <w:sz w:val="18"/>
          <w:szCs w:val="18"/>
        </w:rPr>
        <w:t>previsti dal richiamato</w:t>
      </w:r>
      <w:r w:rsidR="00774A26">
        <w:rPr>
          <w:rFonts w:ascii="Titillium" w:hAnsi="Titillium" w:cs="Calibri"/>
          <w:sz w:val="18"/>
          <w:szCs w:val="18"/>
        </w:rPr>
        <w:t xml:space="preserve"> </w:t>
      </w:r>
      <w:r w:rsidR="00774A26" w:rsidRPr="00D00826">
        <w:rPr>
          <w:rFonts w:ascii="Titillium" w:hAnsi="Titillium" w:cs="Calibri"/>
          <w:sz w:val="18"/>
          <w:szCs w:val="18"/>
        </w:rPr>
        <w:t>art. 66</w:t>
      </w:r>
      <w:r w:rsidR="004D74B5" w:rsidRPr="00D00826">
        <w:rPr>
          <w:rFonts w:ascii="Titillium" w:hAnsi="Titillium" w:cs="Calibri"/>
          <w:sz w:val="18"/>
          <w:szCs w:val="18"/>
        </w:rPr>
        <w:t xml:space="preserve"> comma</w:t>
      </w:r>
      <w:r w:rsidR="00D00826">
        <w:rPr>
          <w:rFonts w:ascii="Titillium" w:hAnsi="Titillium" w:cs="Calibri"/>
          <w:sz w:val="18"/>
          <w:szCs w:val="18"/>
        </w:rPr>
        <w:t xml:space="preserve"> </w:t>
      </w:r>
      <w:r w:rsidR="004D74B5" w:rsidRPr="00953D6C">
        <w:rPr>
          <w:rFonts w:ascii="Titillium" w:hAnsi="Titillium" w:cs="Calibri"/>
          <w:sz w:val="18"/>
          <w:szCs w:val="18"/>
        </w:rPr>
        <w:t>1</w:t>
      </w:r>
      <w:r w:rsidR="00D262AD">
        <w:rPr>
          <w:rFonts w:ascii="Titillium" w:hAnsi="Titillium" w:cs="Calibri"/>
          <w:sz w:val="18"/>
          <w:szCs w:val="18"/>
        </w:rPr>
        <w:t>,</w:t>
      </w:r>
      <w:r w:rsidR="004D74B5" w:rsidRPr="00953D6C">
        <w:rPr>
          <w:rFonts w:ascii="Titillium" w:hAnsi="Titillium" w:cs="Calibri"/>
          <w:sz w:val="18"/>
          <w:szCs w:val="18"/>
        </w:rPr>
        <w:t xml:space="preserve"> </w:t>
      </w:r>
      <w:r w:rsidR="0088198B" w:rsidRPr="00953D6C">
        <w:rPr>
          <w:rFonts w:ascii="Titillium" w:hAnsi="Titillium" w:cs="Calibri"/>
          <w:sz w:val="18"/>
          <w:szCs w:val="18"/>
        </w:rPr>
        <w:t>lettera</w:t>
      </w:r>
      <w:r w:rsidR="004D74B5" w:rsidRPr="00953D6C">
        <w:rPr>
          <w:rFonts w:ascii="Titillium" w:hAnsi="Titillium" w:cs="Calibri"/>
          <w:sz w:val="18"/>
          <w:szCs w:val="18"/>
        </w:rPr>
        <w:t xml:space="preserve"> f), in quanto compatibile</w:t>
      </w:r>
      <w:r w:rsidRPr="004D74B5">
        <w:rPr>
          <w:rFonts w:ascii="Titillium" w:hAnsi="Titillium" w:cs="Calibri"/>
          <w:color w:val="0070C0"/>
          <w:sz w:val="18"/>
          <w:szCs w:val="18"/>
        </w:rPr>
        <w:t>.</w:t>
      </w:r>
    </w:p>
    <w:p w14:paraId="1775D00A" w14:textId="77777777" w:rsidR="006842EE" w:rsidRDefault="008F2625">
      <w:pPr>
        <w:spacing w:before="60" w:after="60"/>
        <w:rPr>
          <w:rFonts w:ascii="Titillium" w:hAnsi="Titillium" w:cs="Calibri"/>
          <w:sz w:val="18"/>
          <w:szCs w:val="18"/>
        </w:rPr>
      </w:pPr>
      <w:r>
        <w:rPr>
          <w:rFonts w:ascii="Titillium" w:hAnsi="Titillium" w:cs="Calibri"/>
          <w:sz w:val="18"/>
          <w:szCs w:val="18"/>
        </w:rPr>
        <w:t>Nel caso in cui la mandante/mandataria di un raggruppamento temporaneo sia una sub</w:t>
      </w:r>
      <w:r>
        <w:rPr>
          <w:rFonts w:ascii="Cambria Math" w:hAnsi="Cambria Math" w:cs="Cambria Math"/>
          <w:sz w:val="18"/>
          <w:szCs w:val="18"/>
        </w:rPr>
        <w:t>‐</w:t>
      </w:r>
      <w:r>
        <w:rPr>
          <w:rFonts w:ascii="Titillium" w:hAnsi="Titillium" w:cs="Calibri"/>
          <w:sz w:val="18"/>
          <w:szCs w:val="18"/>
        </w:rPr>
        <w:t>associazione, nelle forme di consorzio ordinario costituito oppure di un’aggregazione di retisti, i relativi requisiti di partecipazione sono soddisfatti secondo le medesime modalità indicate per i raggruppamenti.</w:t>
      </w:r>
    </w:p>
    <w:p w14:paraId="1DBADB50" w14:textId="786CEF0B" w:rsidR="006842EE" w:rsidRPr="00D00826" w:rsidRDefault="008F2625">
      <w:pPr>
        <w:spacing w:before="60" w:after="60"/>
        <w:rPr>
          <w:rFonts w:ascii="Titillium" w:hAnsi="Titillium" w:cs="Calibri"/>
          <w:sz w:val="18"/>
          <w:szCs w:val="18"/>
        </w:rPr>
      </w:pPr>
      <w:r w:rsidRPr="003E389C">
        <w:rPr>
          <w:rFonts w:ascii="Titillium" w:hAnsi="Titillium" w:cs="Calibri"/>
          <w:sz w:val="18"/>
          <w:szCs w:val="18"/>
        </w:rPr>
        <w:t xml:space="preserve">I requisiti indicati nell’allegato </w:t>
      </w:r>
      <w:r w:rsidRPr="00774A26">
        <w:rPr>
          <w:rFonts w:ascii="Titillium" w:hAnsi="Titillium" w:cs="Calibri"/>
          <w:b/>
          <w:bCs/>
          <w:sz w:val="18"/>
          <w:szCs w:val="18"/>
        </w:rPr>
        <w:t>II.12, parte V</w:t>
      </w:r>
      <w:r w:rsidRPr="003E389C">
        <w:rPr>
          <w:rFonts w:ascii="Titillium" w:hAnsi="Titillium" w:cs="Calibri"/>
          <w:sz w:val="18"/>
          <w:szCs w:val="18"/>
        </w:rPr>
        <w:t>, di cui al</w:t>
      </w:r>
      <w:r w:rsidR="00774A26">
        <w:rPr>
          <w:rFonts w:ascii="Titillium" w:hAnsi="Titillium" w:cs="Calibri"/>
          <w:sz w:val="18"/>
          <w:szCs w:val="18"/>
        </w:rPr>
        <w:t xml:space="preserve"> </w:t>
      </w:r>
      <w:r w:rsidR="00774A26" w:rsidRPr="00D00826">
        <w:rPr>
          <w:rFonts w:ascii="Titillium" w:hAnsi="Titillium" w:cs="Calibri"/>
          <w:sz w:val="18"/>
          <w:szCs w:val="18"/>
        </w:rPr>
        <w:t>paragrafo 6</w:t>
      </w:r>
      <w:r w:rsidR="00953D6C" w:rsidRPr="00D00826">
        <w:rPr>
          <w:rFonts w:ascii="Titillium" w:hAnsi="Titillium" w:cs="Calibri"/>
          <w:sz w:val="18"/>
          <w:szCs w:val="18"/>
        </w:rPr>
        <w:t>.1 l</w:t>
      </w:r>
      <w:r w:rsidRPr="00D00826">
        <w:rPr>
          <w:rFonts w:ascii="Titillium" w:hAnsi="Titillium" w:cs="Calibri"/>
          <w:sz w:val="18"/>
          <w:szCs w:val="18"/>
        </w:rPr>
        <w:t>ettera</w:t>
      </w:r>
      <w:r w:rsidR="003E389C" w:rsidRPr="00D00826">
        <w:rPr>
          <w:rFonts w:ascii="Titillium" w:hAnsi="Titillium" w:cs="Calibri"/>
          <w:sz w:val="18"/>
          <w:szCs w:val="18"/>
        </w:rPr>
        <w:t xml:space="preserve"> a</w:t>
      </w:r>
      <w:r w:rsidRPr="00D00826">
        <w:rPr>
          <w:rFonts w:ascii="Titillium" w:hAnsi="Titillium" w:cs="Calibri"/>
          <w:sz w:val="18"/>
          <w:szCs w:val="18"/>
        </w:rPr>
        <w:t>)</w:t>
      </w:r>
      <w:r w:rsidR="00953D6C" w:rsidRPr="00D00826">
        <w:rPr>
          <w:rFonts w:ascii="Titillium" w:hAnsi="Titillium" w:cs="Calibri"/>
          <w:sz w:val="18"/>
          <w:szCs w:val="18"/>
        </w:rPr>
        <w:t xml:space="preserve"> </w:t>
      </w:r>
      <w:r w:rsidRPr="00D00826">
        <w:rPr>
          <w:rFonts w:ascii="Titillium" w:hAnsi="Titillium" w:cs="Calibri"/>
          <w:sz w:val="18"/>
          <w:szCs w:val="18"/>
        </w:rPr>
        <w:t>devono essere posseduti da ciascun operatore economico associato, in base alla propria tipologia.</w:t>
      </w:r>
    </w:p>
    <w:p w14:paraId="503F048B" w14:textId="3C0C60F3" w:rsidR="006842EE" w:rsidRDefault="008F2625">
      <w:pPr>
        <w:spacing w:before="60" w:after="60"/>
        <w:rPr>
          <w:rFonts w:ascii="Titillium" w:hAnsi="Titillium" w:cs="Calibri"/>
          <w:sz w:val="18"/>
          <w:szCs w:val="18"/>
        </w:rPr>
      </w:pPr>
      <w:r w:rsidRPr="007C2225">
        <w:rPr>
          <w:rFonts w:ascii="Titillium" w:hAnsi="Titillium" w:cs="Calibri"/>
          <w:sz w:val="18"/>
          <w:szCs w:val="18"/>
        </w:rPr>
        <w:t>Per i raggruppamenti temporanei, è condizione di partecipazione la presenza, quale progettista, di almeno un giovane professionista ai sensi dell’articolo 39</w:t>
      </w:r>
      <w:r w:rsidR="00B20FC2" w:rsidRPr="007C2225">
        <w:rPr>
          <w:rFonts w:ascii="Titillium" w:hAnsi="Titillium" w:cs="Calibri"/>
          <w:sz w:val="18"/>
          <w:szCs w:val="18"/>
        </w:rPr>
        <w:t>,</w:t>
      </w:r>
      <w:r w:rsidRPr="007C2225">
        <w:rPr>
          <w:rFonts w:ascii="Titillium" w:hAnsi="Titillium" w:cs="Calibri"/>
          <w:sz w:val="18"/>
          <w:szCs w:val="18"/>
        </w:rPr>
        <w:t xml:space="preserve"> </w:t>
      </w:r>
      <w:r w:rsidR="009C18C0" w:rsidRPr="007C2225">
        <w:rPr>
          <w:rFonts w:ascii="Titillium" w:hAnsi="Titillium" w:cs="Calibri"/>
          <w:sz w:val="18"/>
          <w:szCs w:val="18"/>
        </w:rPr>
        <w:t>comma 1</w:t>
      </w:r>
      <w:r w:rsidR="00B20FC2" w:rsidRPr="007C2225">
        <w:rPr>
          <w:rFonts w:ascii="Titillium" w:hAnsi="Titillium" w:cs="Calibri"/>
          <w:sz w:val="18"/>
          <w:szCs w:val="18"/>
        </w:rPr>
        <w:t>,</w:t>
      </w:r>
      <w:r w:rsidR="009C18C0" w:rsidRPr="007C2225">
        <w:rPr>
          <w:rFonts w:ascii="Titillium" w:hAnsi="Titillium" w:cs="Calibri"/>
          <w:sz w:val="18"/>
          <w:szCs w:val="18"/>
        </w:rPr>
        <w:t xml:space="preserve"> de</w:t>
      </w:r>
      <w:r w:rsidRPr="007C2225">
        <w:rPr>
          <w:rFonts w:ascii="Titillium" w:hAnsi="Titillium" w:cs="Calibri"/>
          <w:sz w:val="18"/>
          <w:szCs w:val="18"/>
        </w:rPr>
        <w:t>ll’</w:t>
      </w:r>
      <w:r w:rsidR="009C18C0" w:rsidRPr="007C2225">
        <w:rPr>
          <w:rFonts w:ascii="Titillium" w:hAnsi="Titillium" w:cs="Calibri"/>
          <w:sz w:val="18"/>
          <w:szCs w:val="18"/>
        </w:rPr>
        <w:t>A</w:t>
      </w:r>
      <w:r w:rsidRPr="007C2225">
        <w:rPr>
          <w:rFonts w:ascii="Titillium" w:hAnsi="Titillium" w:cs="Calibri"/>
          <w:sz w:val="18"/>
          <w:szCs w:val="18"/>
        </w:rPr>
        <w:t>llegato II.12</w:t>
      </w:r>
      <w:r w:rsidR="00B20FC2" w:rsidRPr="007C2225">
        <w:rPr>
          <w:rFonts w:ascii="Titillium" w:hAnsi="Titillium" w:cs="Calibri"/>
          <w:sz w:val="18"/>
          <w:szCs w:val="18"/>
        </w:rPr>
        <w:t xml:space="preserve"> al Codice</w:t>
      </w:r>
      <w:r w:rsidR="009C18C0" w:rsidRPr="007C2225">
        <w:rPr>
          <w:rFonts w:ascii="Titillium" w:hAnsi="Titillium" w:cs="Calibri"/>
          <w:sz w:val="18"/>
          <w:szCs w:val="18"/>
        </w:rPr>
        <w:t xml:space="preserve">. </w:t>
      </w:r>
      <w:r w:rsidR="00812425" w:rsidRPr="007C2225">
        <w:rPr>
          <w:rFonts w:ascii="Titillium" w:hAnsi="Titillium" w:cs="Calibri"/>
          <w:sz w:val="18"/>
          <w:szCs w:val="18"/>
        </w:rPr>
        <w:t>I requisiti del giovane</w:t>
      </w:r>
      <w:r w:rsidR="003170E4" w:rsidRPr="007C2225">
        <w:rPr>
          <w:rFonts w:ascii="Titillium" w:hAnsi="Titillium" w:cs="Calibri"/>
          <w:sz w:val="18"/>
          <w:szCs w:val="18"/>
        </w:rPr>
        <w:t xml:space="preserve"> professionista</w:t>
      </w:r>
      <w:r w:rsidR="00812425" w:rsidRPr="007C2225">
        <w:rPr>
          <w:rFonts w:ascii="Titillium" w:hAnsi="Titillium" w:cs="Calibri"/>
          <w:sz w:val="18"/>
          <w:szCs w:val="18"/>
        </w:rPr>
        <w:t xml:space="preserve"> non concorrono alla formazione dei requisiti di partecipazione richiesti dai committenti.</w:t>
      </w:r>
      <w:r w:rsidR="00812425">
        <w:rPr>
          <w:rFonts w:ascii="Titillium" w:hAnsi="Titillium" w:cs="Calibri"/>
          <w:sz w:val="18"/>
          <w:szCs w:val="18"/>
        </w:rPr>
        <w:t xml:space="preserve"> </w:t>
      </w:r>
    </w:p>
    <w:p w14:paraId="1C9E1CA5" w14:textId="77777777" w:rsidR="006842EE" w:rsidRDefault="008F2625">
      <w:pPr>
        <w:spacing w:before="60" w:after="60"/>
        <w:rPr>
          <w:rFonts w:ascii="Titillium" w:hAnsi="Titillium" w:cs="Calibri"/>
          <w:b/>
          <w:sz w:val="18"/>
          <w:szCs w:val="18"/>
        </w:rPr>
      </w:pPr>
      <w:r>
        <w:rPr>
          <w:rFonts w:ascii="Titillium" w:hAnsi="Titillium" w:cs="Calibri"/>
          <w:b/>
          <w:sz w:val="18"/>
          <w:szCs w:val="18"/>
        </w:rPr>
        <w:t>Requisiti di idoneità professionale</w:t>
      </w:r>
    </w:p>
    <w:p w14:paraId="78BD98BD" w14:textId="60531601" w:rsidR="006842EE" w:rsidRDefault="008F2625">
      <w:pPr>
        <w:spacing w:before="60" w:after="60"/>
        <w:rPr>
          <w:rFonts w:ascii="Titillium" w:hAnsi="Titillium" w:cs="Calibri"/>
          <w:sz w:val="18"/>
          <w:szCs w:val="18"/>
        </w:rPr>
      </w:pPr>
      <w:r>
        <w:rPr>
          <w:rFonts w:ascii="Titillium" w:hAnsi="Titillium" w:cs="Calibri"/>
          <w:sz w:val="18"/>
          <w:szCs w:val="18"/>
        </w:rPr>
        <w:t xml:space="preserve">Il requisito relativo all’iscrizione nel Registro </w:t>
      </w:r>
      <w:r w:rsidRPr="003E389C">
        <w:rPr>
          <w:rFonts w:ascii="Titillium" w:hAnsi="Titillium" w:cs="Calibri"/>
          <w:sz w:val="18"/>
          <w:szCs w:val="18"/>
        </w:rPr>
        <w:t>delle Imprese di cui di cui al p</w:t>
      </w:r>
      <w:r w:rsidR="00F177EB">
        <w:rPr>
          <w:rFonts w:ascii="Titillium" w:hAnsi="Titillium" w:cs="Calibri"/>
          <w:sz w:val="18"/>
          <w:szCs w:val="18"/>
        </w:rPr>
        <w:t>aragrafo</w:t>
      </w:r>
      <w:r w:rsidRPr="003E389C">
        <w:rPr>
          <w:rFonts w:ascii="Titillium" w:hAnsi="Titillium" w:cs="Calibri"/>
          <w:sz w:val="18"/>
          <w:szCs w:val="18"/>
        </w:rPr>
        <w:t xml:space="preserve"> </w:t>
      </w:r>
      <w:r w:rsidR="00256541">
        <w:rPr>
          <w:rFonts w:ascii="Titillium" w:hAnsi="Titillium" w:cs="Calibri"/>
          <w:sz w:val="18"/>
          <w:szCs w:val="18"/>
        </w:rPr>
        <w:t>6</w:t>
      </w:r>
      <w:r w:rsidRPr="003E389C">
        <w:rPr>
          <w:rFonts w:ascii="Titillium" w:hAnsi="Titillium" w:cs="Calibri"/>
          <w:sz w:val="18"/>
          <w:szCs w:val="18"/>
        </w:rPr>
        <w:t>.</w:t>
      </w:r>
      <w:r w:rsidRPr="00953D6C">
        <w:rPr>
          <w:rFonts w:ascii="Titillium" w:hAnsi="Titillium" w:cs="Calibri"/>
          <w:sz w:val="18"/>
          <w:szCs w:val="18"/>
        </w:rPr>
        <w:t xml:space="preserve">1 </w:t>
      </w:r>
      <w:r w:rsidR="00F61CD8" w:rsidRPr="00953D6C">
        <w:rPr>
          <w:rFonts w:ascii="Titillium" w:hAnsi="Titillium" w:cs="Calibri"/>
          <w:sz w:val="18"/>
          <w:szCs w:val="18"/>
        </w:rPr>
        <w:t>lettera b)</w:t>
      </w:r>
      <w:r w:rsidRPr="00953D6C">
        <w:rPr>
          <w:rFonts w:ascii="Titillium" w:hAnsi="Titillium" w:cs="Calibri"/>
          <w:sz w:val="18"/>
          <w:szCs w:val="18"/>
        </w:rPr>
        <w:t xml:space="preserve"> </w:t>
      </w:r>
      <w:r>
        <w:rPr>
          <w:rFonts w:ascii="Titillium" w:hAnsi="Titillium" w:cs="Calibri"/>
          <w:sz w:val="18"/>
          <w:szCs w:val="18"/>
        </w:rPr>
        <w:t>deve essere posseduto:</w:t>
      </w:r>
    </w:p>
    <w:p w14:paraId="1C9990B6" w14:textId="33427EBE" w:rsidR="006842EE" w:rsidRPr="007C2225" w:rsidRDefault="008F2625" w:rsidP="00D26F03">
      <w:pPr>
        <w:pStyle w:val="Paragrafoelenco"/>
        <w:numPr>
          <w:ilvl w:val="0"/>
          <w:numId w:val="29"/>
        </w:numPr>
        <w:spacing w:before="60" w:after="60"/>
        <w:ind w:left="426"/>
        <w:rPr>
          <w:rFonts w:ascii="Titillium" w:hAnsi="Titillium" w:cs="Calibri"/>
          <w:sz w:val="18"/>
          <w:szCs w:val="18"/>
        </w:rPr>
      </w:pPr>
      <w:r w:rsidRPr="007C2225">
        <w:rPr>
          <w:rFonts w:ascii="Titillium" w:hAnsi="Titillium" w:cs="Calibri"/>
          <w:sz w:val="18"/>
          <w:szCs w:val="18"/>
        </w:rPr>
        <w:t>da ciascun</w:t>
      </w:r>
      <w:r w:rsidR="007C2225" w:rsidRPr="007C2225">
        <w:rPr>
          <w:rFonts w:ascii="Titillium" w:hAnsi="Titillium" w:cs="Calibri"/>
          <w:sz w:val="18"/>
          <w:szCs w:val="18"/>
        </w:rPr>
        <w:t xml:space="preserve">a impresa </w:t>
      </w:r>
      <w:r w:rsidRPr="007C2225">
        <w:rPr>
          <w:rFonts w:ascii="Titillium" w:hAnsi="Titillium" w:cs="Calibri"/>
          <w:sz w:val="18"/>
          <w:szCs w:val="18"/>
        </w:rPr>
        <w:t>del raggruppamento/consorzio/GEIE anche da costituire, nonché dal GEIE medesimo;</w:t>
      </w:r>
    </w:p>
    <w:p w14:paraId="4A5147F2" w14:textId="55AF88AA" w:rsidR="006842EE" w:rsidRPr="007C2225" w:rsidRDefault="008F2625" w:rsidP="00D26F03">
      <w:pPr>
        <w:pStyle w:val="Paragrafoelenco"/>
        <w:numPr>
          <w:ilvl w:val="0"/>
          <w:numId w:val="29"/>
        </w:numPr>
        <w:spacing w:before="60" w:after="60"/>
        <w:ind w:left="426"/>
        <w:rPr>
          <w:rFonts w:ascii="Titillium" w:hAnsi="Titillium" w:cs="Calibri"/>
          <w:sz w:val="18"/>
          <w:szCs w:val="18"/>
        </w:rPr>
      </w:pPr>
      <w:r w:rsidRPr="007C2225">
        <w:rPr>
          <w:rFonts w:ascii="Titillium" w:hAnsi="Titillium" w:cs="Calibri"/>
          <w:sz w:val="18"/>
          <w:szCs w:val="18"/>
        </w:rPr>
        <w:t>da ciascun</w:t>
      </w:r>
      <w:r w:rsidR="00256541" w:rsidRPr="007C2225">
        <w:rPr>
          <w:rFonts w:ascii="Titillium" w:hAnsi="Titillium" w:cs="Calibri"/>
          <w:sz w:val="18"/>
          <w:szCs w:val="18"/>
        </w:rPr>
        <w:t>a</w:t>
      </w:r>
      <w:r w:rsidRPr="007C2225">
        <w:rPr>
          <w:rFonts w:ascii="Titillium" w:hAnsi="Titillium" w:cs="Calibri"/>
          <w:sz w:val="18"/>
          <w:szCs w:val="18"/>
        </w:rPr>
        <w:t xml:space="preserve"> </w:t>
      </w:r>
      <w:r w:rsidR="00256541" w:rsidRPr="007C2225">
        <w:rPr>
          <w:rFonts w:ascii="Titillium" w:hAnsi="Titillium" w:cs="Calibri"/>
          <w:sz w:val="18"/>
          <w:szCs w:val="18"/>
        </w:rPr>
        <w:t xml:space="preserve">impresa </w:t>
      </w:r>
      <w:r w:rsidR="00D00826" w:rsidRPr="007C2225">
        <w:rPr>
          <w:rFonts w:ascii="Titillium" w:hAnsi="Titillium" w:cs="Calibri"/>
          <w:sz w:val="18"/>
          <w:szCs w:val="18"/>
        </w:rPr>
        <w:t>d</w:t>
      </w:r>
      <w:r w:rsidRPr="007C2225">
        <w:rPr>
          <w:rFonts w:ascii="Titillium" w:hAnsi="Titillium" w:cs="Calibri"/>
          <w:sz w:val="18"/>
          <w:szCs w:val="18"/>
        </w:rPr>
        <w:t>ell’aggregazione di rete nonché dall’organo comune nel caso in cui questi abbia soggettività giuridica.</w:t>
      </w:r>
      <w:r w:rsidR="00CB2FB9" w:rsidRPr="007C2225">
        <w:t xml:space="preserve"> </w:t>
      </w:r>
    </w:p>
    <w:p w14:paraId="2B41E0BD" w14:textId="7D72590B" w:rsidR="006842EE" w:rsidRPr="00945161" w:rsidRDefault="008F2625">
      <w:pPr>
        <w:spacing w:before="60" w:after="60"/>
      </w:pPr>
      <w:r w:rsidRPr="00945161">
        <w:rPr>
          <w:rFonts w:ascii="Titillium" w:hAnsi="Titillium" w:cs="Calibri"/>
          <w:sz w:val="18"/>
          <w:szCs w:val="18"/>
        </w:rPr>
        <w:t>Il requisito di cui al p</w:t>
      </w:r>
      <w:r w:rsidR="00F177EB">
        <w:rPr>
          <w:rFonts w:ascii="Titillium" w:hAnsi="Titillium" w:cs="Calibri"/>
          <w:sz w:val="18"/>
          <w:szCs w:val="18"/>
        </w:rPr>
        <w:t xml:space="preserve">aragrafo </w:t>
      </w:r>
      <w:r w:rsidR="00C91460">
        <w:rPr>
          <w:rFonts w:ascii="Titillium" w:hAnsi="Titillium" w:cs="Calibri"/>
          <w:sz w:val="18"/>
          <w:szCs w:val="18"/>
        </w:rPr>
        <w:t>6</w:t>
      </w:r>
      <w:r w:rsidRPr="00945161">
        <w:rPr>
          <w:rFonts w:ascii="Titillium" w:hAnsi="Titillium" w:cs="Calibri"/>
          <w:sz w:val="18"/>
          <w:szCs w:val="18"/>
        </w:rPr>
        <w:t>.1</w:t>
      </w:r>
      <w:r w:rsidR="00F61CD8">
        <w:rPr>
          <w:rFonts w:ascii="Titillium" w:hAnsi="Titillium" w:cs="Calibri"/>
          <w:sz w:val="18"/>
          <w:szCs w:val="18"/>
        </w:rPr>
        <w:t xml:space="preserve"> </w:t>
      </w:r>
      <w:r w:rsidR="00F61CD8" w:rsidRPr="00953D6C">
        <w:rPr>
          <w:rFonts w:ascii="Titillium" w:hAnsi="Titillium" w:cs="Calibri"/>
          <w:sz w:val="18"/>
          <w:szCs w:val="18"/>
        </w:rPr>
        <w:t>lettera c)</w:t>
      </w:r>
      <w:r w:rsidRPr="00945161">
        <w:rPr>
          <w:rFonts w:ascii="Titillium" w:hAnsi="Titillium" w:cs="Calibri"/>
          <w:sz w:val="18"/>
          <w:szCs w:val="18"/>
        </w:rPr>
        <w:t xml:space="preserve"> relativo all’iscrizione all’Albo è posseduto dai professionisti che nel gruppo di lavoro sono incaricati dell’esecuzione delle prestazioni oggetto dell’appalto, nel rispetto delle proprie competenze e professionalità.</w:t>
      </w:r>
    </w:p>
    <w:p w14:paraId="195773A0" w14:textId="77777777" w:rsidR="006842EE" w:rsidRPr="00945161" w:rsidRDefault="006842EE">
      <w:pPr>
        <w:spacing w:before="60" w:after="60"/>
        <w:rPr>
          <w:rFonts w:ascii="Titillium" w:hAnsi="Titillium" w:cs="Calibri"/>
          <w:sz w:val="18"/>
          <w:szCs w:val="18"/>
        </w:rPr>
      </w:pPr>
    </w:p>
    <w:p w14:paraId="4AFB871C" w14:textId="0EE6A474" w:rsidR="006842EE" w:rsidRDefault="008F2625">
      <w:pPr>
        <w:spacing w:before="60" w:after="60"/>
        <w:rPr>
          <w:rFonts w:ascii="Titillium" w:hAnsi="Titillium" w:cs="Calibri"/>
          <w:sz w:val="18"/>
          <w:szCs w:val="18"/>
        </w:rPr>
      </w:pPr>
      <w:r w:rsidRPr="000500CF">
        <w:rPr>
          <w:rFonts w:ascii="Titillium" w:hAnsi="Titillium" w:cs="Calibri"/>
          <w:b/>
          <w:iCs/>
          <w:sz w:val="18"/>
          <w:szCs w:val="18"/>
        </w:rPr>
        <w:t>[</w:t>
      </w:r>
      <w:r w:rsidRPr="004325D1">
        <w:rPr>
          <w:rFonts w:ascii="Titillium" w:hAnsi="Titillium" w:cs="Calibri"/>
          <w:b/>
          <w:i/>
          <w:sz w:val="18"/>
          <w:szCs w:val="18"/>
        </w:rPr>
        <w:t>In caso di affidamento di incarichi di coordinatore della sicurezza</w:t>
      </w:r>
      <w:r w:rsidRPr="000500CF">
        <w:rPr>
          <w:rFonts w:ascii="Titillium" w:hAnsi="Titillium" w:cs="Calibri"/>
          <w:b/>
          <w:iCs/>
          <w:sz w:val="18"/>
          <w:szCs w:val="18"/>
        </w:rPr>
        <w:t>]</w:t>
      </w:r>
      <w:r>
        <w:rPr>
          <w:rFonts w:ascii="Titillium" w:hAnsi="Titillium" w:cs="Calibri"/>
          <w:sz w:val="18"/>
          <w:szCs w:val="18"/>
        </w:rPr>
        <w:t xml:space="preserve"> Il requisito di cui al p</w:t>
      </w:r>
      <w:r w:rsidR="00F177EB">
        <w:rPr>
          <w:rFonts w:ascii="Titillium" w:hAnsi="Titillium" w:cs="Calibri"/>
          <w:sz w:val="18"/>
          <w:szCs w:val="18"/>
        </w:rPr>
        <w:t xml:space="preserve">aragrafo </w:t>
      </w:r>
      <w:r w:rsidR="00680564" w:rsidRPr="007C2225">
        <w:rPr>
          <w:rFonts w:ascii="Titillium" w:hAnsi="Titillium" w:cs="Calibri"/>
          <w:sz w:val="18"/>
          <w:szCs w:val="18"/>
        </w:rPr>
        <w:t>6</w:t>
      </w:r>
      <w:r w:rsidRPr="007C2225">
        <w:rPr>
          <w:rFonts w:ascii="Titillium" w:hAnsi="Titillium" w:cs="Calibri"/>
          <w:sz w:val="18"/>
          <w:szCs w:val="18"/>
        </w:rPr>
        <w:t xml:space="preserve">.1 </w:t>
      </w:r>
      <w:r w:rsidR="000B3AF5" w:rsidRPr="007C2225">
        <w:rPr>
          <w:rFonts w:ascii="Titillium" w:hAnsi="Titillium" w:cs="Calibri"/>
          <w:sz w:val="18"/>
          <w:szCs w:val="18"/>
        </w:rPr>
        <w:t>lettera</w:t>
      </w:r>
      <w:r w:rsidR="000B3AF5" w:rsidRPr="00953D6C">
        <w:rPr>
          <w:rFonts w:ascii="Titillium" w:hAnsi="Titillium" w:cs="Calibri"/>
          <w:sz w:val="18"/>
          <w:szCs w:val="18"/>
        </w:rPr>
        <w:t xml:space="preserve"> d)</w:t>
      </w:r>
      <w:r w:rsidRPr="000B3AF5">
        <w:rPr>
          <w:rFonts w:ascii="Titillium" w:hAnsi="Titillium" w:cs="Calibri"/>
          <w:color w:val="FF0000"/>
          <w:sz w:val="18"/>
          <w:szCs w:val="18"/>
        </w:rPr>
        <w:t xml:space="preserve"> </w:t>
      </w:r>
      <w:r>
        <w:rPr>
          <w:rFonts w:ascii="Titillium" w:hAnsi="Titillium" w:cs="Calibri"/>
          <w:sz w:val="18"/>
          <w:szCs w:val="18"/>
        </w:rPr>
        <w:t>relativo all’abilitazione di cui all’articolo 98 del decreto legislativo 81/2008 è posseduto dai professionisti che nel gruppo di lavoro sono indicati come incaricati della prestazione di coordinamento della sicurezza.</w:t>
      </w:r>
    </w:p>
    <w:p w14:paraId="2E7B09AD" w14:textId="406B1D2E" w:rsidR="006842EE" w:rsidRDefault="008F2625">
      <w:pPr>
        <w:spacing w:before="60" w:after="60"/>
        <w:rPr>
          <w:rFonts w:ascii="Titillium" w:hAnsi="Titillium" w:cs="Calibri"/>
          <w:color w:val="000000" w:themeColor="text1"/>
          <w:sz w:val="18"/>
          <w:szCs w:val="18"/>
        </w:rPr>
      </w:pPr>
      <w:r w:rsidRPr="00945161">
        <w:rPr>
          <w:rFonts w:ascii="Titillium" w:hAnsi="Titillium" w:cs="Calibri"/>
          <w:b/>
          <w:color w:val="000000" w:themeColor="text1"/>
          <w:sz w:val="18"/>
          <w:szCs w:val="18"/>
        </w:rPr>
        <w:t>[</w:t>
      </w:r>
      <w:r w:rsidRPr="004325D1">
        <w:rPr>
          <w:rFonts w:ascii="Titillium" w:hAnsi="Titillium" w:cs="Calibri"/>
          <w:b/>
          <w:i/>
          <w:iCs/>
          <w:color w:val="000000" w:themeColor="text1"/>
          <w:sz w:val="18"/>
          <w:szCs w:val="18"/>
        </w:rPr>
        <w:t>In caso sia richiesta la relazione geologica</w:t>
      </w:r>
      <w:r w:rsidRPr="00945161">
        <w:rPr>
          <w:rFonts w:ascii="Titillium" w:hAnsi="Titillium" w:cs="Calibri"/>
          <w:b/>
          <w:color w:val="000000" w:themeColor="text1"/>
          <w:sz w:val="18"/>
          <w:szCs w:val="18"/>
        </w:rPr>
        <w:t>]</w:t>
      </w:r>
      <w:r w:rsidRPr="00945161">
        <w:rPr>
          <w:rFonts w:ascii="Titillium" w:hAnsi="Titillium" w:cs="Calibri"/>
          <w:color w:val="000000" w:themeColor="text1"/>
          <w:sz w:val="18"/>
          <w:szCs w:val="18"/>
        </w:rPr>
        <w:t xml:space="preserve"> Il requisito di cui al p</w:t>
      </w:r>
      <w:r w:rsidR="00F177EB">
        <w:rPr>
          <w:rFonts w:ascii="Titillium" w:hAnsi="Titillium" w:cs="Calibri"/>
          <w:color w:val="000000" w:themeColor="text1"/>
          <w:sz w:val="18"/>
          <w:szCs w:val="18"/>
        </w:rPr>
        <w:t xml:space="preserve">aragrafo </w:t>
      </w:r>
      <w:r w:rsidR="000A09F0">
        <w:rPr>
          <w:rFonts w:ascii="Titillium" w:hAnsi="Titillium" w:cs="Calibri"/>
          <w:color w:val="000000" w:themeColor="text1"/>
          <w:sz w:val="18"/>
          <w:szCs w:val="18"/>
        </w:rPr>
        <w:t>6</w:t>
      </w:r>
      <w:r w:rsidRPr="00945161">
        <w:rPr>
          <w:rFonts w:ascii="Titillium" w:hAnsi="Titillium" w:cs="Calibri"/>
          <w:color w:val="000000" w:themeColor="text1"/>
          <w:sz w:val="18"/>
          <w:szCs w:val="18"/>
        </w:rPr>
        <w:t>.1 lettera f) relativo all’iscrizione all’albo dei geologi è posseduto da</w:t>
      </w:r>
      <w:r w:rsidR="000A09F0">
        <w:rPr>
          <w:rFonts w:ascii="Titillium" w:hAnsi="Titillium" w:cs="Calibri"/>
          <w:color w:val="000000" w:themeColor="text1"/>
          <w:sz w:val="18"/>
          <w:szCs w:val="18"/>
        </w:rPr>
        <w:t xml:space="preserve">i </w:t>
      </w:r>
      <w:r w:rsidRPr="00945161">
        <w:rPr>
          <w:rFonts w:ascii="Titillium" w:hAnsi="Titillium" w:cs="Calibri"/>
          <w:color w:val="000000" w:themeColor="text1"/>
          <w:sz w:val="18"/>
          <w:szCs w:val="18"/>
        </w:rPr>
        <w:t>professionist</w:t>
      </w:r>
      <w:r w:rsidR="000A09F0">
        <w:rPr>
          <w:rFonts w:ascii="Titillium" w:hAnsi="Titillium" w:cs="Calibri"/>
          <w:color w:val="000000" w:themeColor="text1"/>
          <w:sz w:val="18"/>
          <w:szCs w:val="18"/>
        </w:rPr>
        <w:t>i</w:t>
      </w:r>
      <w:r w:rsidRPr="00945161">
        <w:rPr>
          <w:rFonts w:ascii="Titillium" w:hAnsi="Titillium" w:cs="Calibri"/>
          <w:color w:val="000000" w:themeColor="text1"/>
          <w:sz w:val="18"/>
          <w:szCs w:val="18"/>
        </w:rPr>
        <w:t xml:space="preserve"> che nel gruppo di lavoro sono indicati come incaricati della relazione geologica.</w:t>
      </w:r>
    </w:p>
    <w:p w14:paraId="412EF6C8" w14:textId="562FD72E" w:rsidR="006842EE" w:rsidRDefault="008F2625">
      <w:pPr>
        <w:spacing w:before="60" w:after="60"/>
        <w:rPr>
          <w:rFonts w:ascii="Titillium" w:hAnsi="Titillium" w:cs="Calibri"/>
          <w:sz w:val="18"/>
          <w:szCs w:val="18"/>
        </w:rPr>
      </w:pPr>
      <w:r>
        <w:rPr>
          <w:rFonts w:ascii="Titillium" w:hAnsi="Titillium" w:cs="Calibri"/>
          <w:b/>
          <w:sz w:val="18"/>
          <w:szCs w:val="18"/>
        </w:rPr>
        <w:t>[</w:t>
      </w:r>
      <w:r w:rsidRPr="004325D1">
        <w:rPr>
          <w:rFonts w:ascii="Titillium" w:hAnsi="Titillium" w:cs="Calibri"/>
          <w:b/>
          <w:i/>
          <w:iCs/>
          <w:sz w:val="18"/>
          <w:szCs w:val="18"/>
        </w:rPr>
        <w:t>In caso sia richiesta l’abilitazione antincendio</w:t>
      </w:r>
      <w:r>
        <w:rPr>
          <w:rFonts w:ascii="Titillium" w:hAnsi="Titillium" w:cs="Calibri"/>
          <w:b/>
          <w:sz w:val="18"/>
          <w:szCs w:val="18"/>
        </w:rPr>
        <w:t>]</w:t>
      </w:r>
      <w:r>
        <w:rPr>
          <w:rFonts w:ascii="Titillium" w:hAnsi="Titillium" w:cs="Calibri"/>
          <w:sz w:val="18"/>
          <w:szCs w:val="18"/>
        </w:rPr>
        <w:t xml:space="preserve"> Il requisito di cui al p</w:t>
      </w:r>
      <w:r w:rsidR="00F177EB">
        <w:rPr>
          <w:rFonts w:ascii="Titillium" w:hAnsi="Titillium" w:cs="Calibri"/>
          <w:sz w:val="18"/>
          <w:szCs w:val="18"/>
        </w:rPr>
        <w:t xml:space="preserve">aragrafo </w:t>
      </w:r>
      <w:r w:rsidR="00C91460">
        <w:rPr>
          <w:rFonts w:ascii="Titillium" w:hAnsi="Titillium" w:cs="Calibri"/>
          <w:sz w:val="18"/>
          <w:szCs w:val="18"/>
        </w:rPr>
        <w:t>6</w:t>
      </w:r>
      <w:r>
        <w:rPr>
          <w:rFonts w:ascii="Titillium" w:hAnsi="Titillium" w:cs="Calibri"/>
          <w:sz w:val="18"/>
          <w:szCs w:val="18"/>
        </w:rPr>
        <w:t>.1</w:t>
      </w:r>
      <w:r w:rsidR="006133A0">
        <w:rPr>
          <w:rFonts w:ascii="Titillium" w:hAnsi="Titillium" w:cs="Calibri"/>
          <w:sz w:val="18"/>
          <w:szCs w:val="18"/>
        </w:rPr>
        <w:t xml:space="preserve"> </w:t>
      </w:r>
      <w:r w:rsidR="006133A0" w:rsidRPr="00953D6C">
        <w:rPr>
          <w:rFonts w:ascii="Titillium" w:hAnsi="Titillium" w:cs="Calibri"/>
          <w:sz w:val="18"/>
          <w:szCs w:val="18"/>
        </w:rPr>
        <w:t>lettera e)</w:t>
      </w:r>
      <w:r w:rsidRPr="006133A0">
        <w:rPr>
          <w:rFonts w:ascii="Titillium" w:hAnsi="Titillium" w:cs="Calibri"/>
          <w:color w:val="FF0000"/>
          <w:sz w:val="18"/>
          <w:szCs w:val="18"/>
        </w:rPr>
        <w:t xml:space="preserve"> </w:t>
      </w:r>
      <w:r>
        <w:rPr>
          <w:rFonts w:ascii="Titillium" w:hAnsi="Titillium" w:cs="Calibri"/>
          <w:sz w:val="18"/>
          <w:szCs w:val="18"/>
        </w:rPr>
        <w:t>relativo all’iscrizione nell’elenco del Ministero dell’interno ai sensi dell’articolo 16 del decreto legislativo 139 del 8 marzo 2006 come professionista antincendio è posseduto dai professionisti che nel gruppo di lavoro sono indicati come incaricati del relativo servizio.</w:t>
      </w:r>
    </w:p>
    <w:p w14:paraId="064E9B9D" w14:textId="69E222E1" w:rsidR="006C168E" w:rsidRPr="007C2225" w:rsidRDefault="006C168E">
      <w:pPr>
        <w:spacing w:before="60" w:after="60"/>
        <w:rPr>
          <w:rFonts w:ascii="Titillium" w:hAnsi="Titillium" w:cs="Calibri"/>
          <w:sz w:val="18"/>
          <w:szCs w:val="18"/>
        </w:rPr>
      </w:pPr>
      <w:r w:rsidRPr="007C2225">
        <w:rPr>
          <w:rFonts w:ascii="Titillium" w:hAnsi="Titillium" w:cs="Calibri"/>
          <w:b/>
          <w:bCs/>
          <w:sz w:val="18"/>
          <w:szCs w:val="18"/>
        </w:rPr>
        <w:t>[</w:t>
      </w:r>
      <w:r w:rsidRPr="004325D1">
        <w:rPr>
          <w:rFonts w:ascii="Titillium" w:hAnsi="Titillium" w:cs="Calibri"/>
          <w:b/>
          <w:bCs/>
          <w:i/>
          <w:iCs/>
          <w:sz w:val="18"/>
          <w:szCs w:val="18"/>
        </w:rPr>
        <w:t>In caso sia richiesta l’iscrizione nell’elenco dei tecnici competenti in acustica presso il Ministero dell'ambiente e della</w:t>
      </w:r>
      <w:r w:rsidR="00C91460" w:rsidRPr="004325D1">
        <w:rPr>
          <w:rFonts w:ascii="Titillium" w:hAnsi="Titillium" w:cs="Calibri"/>
          <w:b/>
          <w:bCs/>
          <w:i/>
          <w:iCs/>
          <w:sz w:val="18"/>
          <w:szCs w:val="18"/>
        </w:rPr>
        <w:t xml:space="preserve"> sicurezza energetica</w:t>
      </w:r>
      <w:r w:rsidRPr="007C2225">
        <w:rPr>
          <w:rFonts w:ascii="Titillium" w:hAnsi="Titillium" w:cs="Calibri"/>
          <w:b/>
          <w:bCs/>
          <w:sz w:val="18"/>
          <w:szCs w:val="18"/>
        </w:rPr>
        <w:t>]</w:t>
      </w:r>
      <w:r w:rsidRPr="007C2225">
        <w:rPr>
          <w:rFonts w:ascii="Titillium" w:hAnsi="Titillium" w:cs="Calibri"/>
          <w:sz w:val="18"/>
          <w:szCs w:val="18"/>
        </w:rPr>
        <w:t xml:space="preserve"> </w:t>
      </w:r>
      <w:r w:rsidR="008650CC" w:rsidRPr="007C2225">
        <w:rPr>
          <w:rFonts w:ascii="Titillium" w:hAnsi="Titillium" w:cs="Calibri"/>
          <w:sz w:val="18"/>
          <w:szCs w:val="18"/>
        </w:rPr>
        <w:t xml:space="preserve">Il </w:t>
      </w:r>
      <w:r w:rsidRPr="007C2225">
        <w:rPr>
          <w:rFonts w:ascii="Titillium" w:hAnsi="Titillium" w:cs="Calibri"/>
          <w:sz w:val="18"/>
          <w:szCs w:val="18"/>
        </w:rPr>
        <w:t>requisito di cui al p</w:t>
      </w:r>
      <w:r w:rsidR="00F177EB">
        <w:rPr>
          <w:rFonts w:ascii="Titillium" w:hAnsi="Titillium" w:cs="Calibri"/>
          <w:sz w:val="18"/>
          <w:szCs w:val="18"/>
        </w:rPr>
        <w:t xml:space="preserve">aragrafo </w:t>
      </w:r>
      <w:r w:rsidR="00C91460" w:rsidRPr="007C2225">
        <w:rPr>
          <w:rFonts w:ascii="Titillium" w:hAnsi="Titillium" w:cs="Calibri"/>
          <w:sz w:val="18"/>
          <w:szCs w:val="18"/>
        </w:rPr>
        <w:t>6</w:t>
      </w:r>
      <w:r w:rsidRPr="007C2225">
        <w:rPr>
          <w:rFonts w:ascii="Titillium" w:hAnsi="Titillium" w:cs="Calibri"/>
          <w:sz w:val="18"/>
          <w:szCs w:val="18"/>
        </w:rPr>
        <w:t xml:space="preserve">.1 </w:t>
      </w:r>
      <w:r w:rsidR="0088198B" w:rsidRPr="007C2225">
        <w:rPr>
          <w:rFonts w:ascii="Titillium" w:hAnsi="Titillium" w:cs="Calibri"/>
          <w:sz w:val="18"/>
          <w:szCs w:val="18"/>
        </w:rPr>
        <w:t>lettera</w:t>
      </w:r>
      <w:r w:rsidRPr="007C2225">
        <w:rPr>
          <w:rFonts w:ascii="Titillium" w:hAnsi="Titillium" w:cs="Calibri"/>
          <w:sz w:val="18"/>
          <w:szCs w:val="18"/>
        </w:rPr>
        <w:t xml:space="preserve"> g) è posseduto dai professionisti che nel gruppo di lavoro sono incaricati </w:t>
      </w:r>
      <w:r w:rsidR="00613278" w:rsidRPr="007C2225">
        <w:rPr>
          <w:rFonts w:ascii="Titillium" w:hAnsi="Titillium" w:cs="Calibri"/>
          <w:sz w:val="18"/>
          <w:szCs w:val="18"/>
        </w:rPr>
        <w:t>dell’attività di progettazione acustica</w:t>
      </w:r>
      <w:r w:rsidR="00C91460" w:rsidRPr="007C2225">
        <w:rPr>
          <w:rFonts w:ascii="Titillium" w:hAnsi="Titillium" w:cs="Calibri"/>
          <w:sz w:val="18"/>
          <w:szCs w:val="18"/>
        </w:rPr>
        <w:t>.</w:t>
      </w:r>
      <w:r w:rsidR="00613278" w:rsidRPr="007C2225">
        <w:rPr>
          <w:rFonts w:ascii="Titillium" w:hAnsi="Titillium" w:cs="Calibri"/>
          <w:sz w:val="18"/>
          <w:szCs w:val="18"/>
        </w:rPr>
        <w:t xml:space="preserve"> </w:t>
      </w:r>
      <w:r w:rsidRPr="007C2225">
        <w:rPr>
          <w:rFonts w:ascii="Titillium" w:hAnsi="Titillium" w:cs="Calibri"/>
          <w:sz w:val="18"/>
          <w:szCs w:val="18"/>
        </w:rPr>
        <w:t xml:space="preserve"> </w:t>
      </w:r>
    </w:p>
    <w:p w14:paraId="430BA843" w14:textId="053409F1" w:rsidR="006C168E" w:rsidRPr="007C2225" w:rsidRDefault="006C168E" w:rsidP="006C168E">
      <w:pPr>
        <w:spacing w:before="60" w:after="60"/>
        <w:rPr>
          <w:rFonts w:ascii="Titillium" w:hAnsi="Titillium" w:cs="Calibri"/>
          <w:sz w:val="18"/>
          <w:szCs w:val="18"/>
        </w:rPr>
      </w:pPr>
      <w:r w:rsidRPr="005D7CB3">
        <w:rPr>
          <w:rFonts w:ascii="Titillium" w:hAnsi="Titillium" w:cs="Calibri"/>
          <w:b/>
          <w:bCs/>
          <w:sz w:val="18"/>
          <w:szCs w:val="18"/>
        </w:rPr>
        <w:t>[</w:t>
      </w:r>
      <w:r w:rsidRPr="005D7CB3">
        <w:rPr>
          <w:rFonts w:ascii="Titillium" w:hAnsi="Titillium" w:cs="Calibri"/>
          <w:b/>
          <w:bCs/>
          <w:i/>
          <w:iCs/>
          <w:sz w:val="18"/>
          <w:szCs w:val="18"/>
        </w:rPr>
        <w:t>nel caso sia richiesta l’adozione della metodologia BIM</w:t>
      </w:r>
      <w:r w:rsidRPr="005D7CB3">
        <w:rPr>
          <w:rFonts w:ascii="Titillium" w:hAnsi="Titillium" w:cs="Calibri"/>
          <w:sz w:val="18"/>
          <w:szCs w:val="18"/>
        </w:rPr>
        <w:t xml:space="preserve">] </w:t>
      </w:r>
      <w:r w:rsidR="008650CC" w:rsidRPr="005D7CB3">
        <w:rPr>
          <w:rFonts w:ascii="Titillium" w:hAnsi="Titillium" w:cs="Calibri"/>
          <w:sz w:val="18"/>
          <w:szCs w:val="18"/>
        </w:rPr>
        <w:t xml:space="preserve">Il </w:t>
      </w:r>
      <w:r w:rsidRPr="005D7CB3">
        <w:rPr>
          <w:rFonts w:ascii="Titillium" w:hAnsi="Titillium" w:cs="Calibri"/>
          <w:sz w:val="18"/>
          <w:szCs w:val="18"/>
        </w:rPr>
        <w:t>requisito di cui al p</w:t>
      </w:r>
      <w:r w:rsidR="00F177EB">
        <w:rPr>
          <w:rFonts w:ascii="Titillium" w:hAnsi="Titillium" w:cs="Calibri"/>
          <w:sz w:val="18"/>
          <w:szCs w:val="18"/>
        </w:rPr>
        <w:t xml:space="preserve">aragrafo </w:t>
      </w:r>
      <w:r w:rsidR="00C91460" w:rsidRPr="005D7CB3">
        <w:rPr>
          <w:rFonts w:ascii="Titillium" w:hAnsi="Titillium" w:cs="Calibri"/>
          <w:sz w:val="18"/>
          <w:szCs w:val="18"/>
        </w:rPr>
        <w:t>6</w:t>
      </w:r>
      <w:r w:rsidRPr="005D7CB3">
        <w:rPr>
          <w:rFonts w:ascii="Titillium" w:hAnsi="Titillium" w:cs="Calibri"/>
          <w:sz w:val="18"/>
          <w:szCs w:val="18"/>
        </w:rPr>
        <w:t xml:space="preserve">.1 </w:t>
      </w:r>
      <w:r w:rsidR="0088198B" w:rsidRPr="005D7CB3">
        <w:rPr>
          <w:rFonts w:ascii="Titillium" w:hAnsi="Titillium" w:cs="Calibri"/>
          <w:sz w:val="18"/>
          <w:szCs w:val="18"/>
        </w:rPr>
        <w:t>lettera</w:t>
      </w:r>
      <w:r w:rsidR="00613278" w:rsidRPr="005D7CB3">
        <w:rPr>
          <w:rFonts w:ascii="Titillium" w:hAnsi="Titillium" w:cs="Calibri"/>
          <w:sz w:val="18"/>
          <w:szCs w:val="18"/>
        </w:rPr>
        <w:t xml:space="preserve"> h</w:t>
      </w:r>
      <w:r w:rsidR="00065A12" w:rsidRPr="005D7CB3">
        <w:rPr>
          <w:rFonts w:ascii="Titillium" w:hAnsi="Titillium" w:cs="Calibri"/>
          <w:sz w:val="18"/>
          <w:szCs w:val="18"/>
        </w:rPr>
        <w:t>)</w:t>
      </w:r>
      <w:r w:rsidR="00613278" w:rsidRPr="005D7CB3">
        <w:rPr>
          <w:rFonts w:ascii="Titillium" w:hAnsi="Titillium" w:cs="Calibri"/>
          <w:sz w:val="18"/>
          <w:szCs w:val="18"/>
        </w:rPr>
        <w:t xml:space="preserve"> </w:t>
      </w:r>
      <w:r w:rsidR="008650CC" w:rsidRPr="005D7CB3">
        <w:rPr>
          <w:rFonts w:ascii="Titillium" w:hAnsi="Titillium" w:cs="Calibri"/>
          <w:sz w:val="18"/>
          <w:szCs w:val="18"/>
        </w:rPr>
        <w:t>è posseduto</w:t>
      </w:r>
      <w:r w:rsidR="00613278" w:rsidRPr="005D7CB3">
        <w:rPr>
          <w:rFonts w:ascii="Titillium" w:hAnsi="Titillium" w:cs="Calibri"/>
          <w:sz w:val="18"/>
          <w:szCs w:val="18"/>
        </w:rPr>
        <w:t xml:space="preserve"> dal professionista che nel gruppo di lavoro svolg</w:t>
      </w:r>
      <w:r w:rsidR="00065A12" w:rsidRPr="005D7CB3">
        <w:rPr>
          <w:rFonts w:ascii="Titillium" w:hAnsi="Titillium" w:cs="Calibri"/>
          <w:sz w:val="18"/>
          <w:szCs w:val="18"/>
        </w:rPr>
        <w:t>e</w:t>
      </w:r>
      <w:r w:rsidR="00613278" w:rsidRPr="005D7CB3">
        <w:rPr>
          <w:rFonts w:ascii="Titillium" w:hAnsi="Titillium" w:cs="Calibri"/>
          <w:sz w:val="18"/>
          <w:szCs w:val="18"/>
        </w:rPr>
        <w:t xml:space="preserve"> l’incarico di BIM Manager, quello di cui al p</w:t>
      </w:r>
      <w:r w:rsidR="00F177EB">
        <w:rPr>
          <w:rFonts w:ascii="Titillium" w:hAnsi="Titillium" w:cs="Calibri"/>
          <w:sz w:val="18"/>
          <w:szCs w:val="18"/>
        </w:rPr>
        <w:t xml:space="preserve">aragrafo </w:t>
      </w:r>
      <w:r w:rsidR="00613278" w:rsidRPr="005D7CB3">
        <w:rPr>
          <w:rFonts w:ascii="Titillium" w:hAnsi="Titillium" w:cs="Calibri"/>
          <w:sz w:val="18"/>
          <w:szCs w:val="18"/>
        </w:rPr>
        <w:t xml:space="preserve">6.1 </w:t>
      </w:r>
      <w:r w:rsidR="0088198B" w:rsidRPr="005D7CB3">
        <w:rPr>
          <w:rFonts w:ascii="Titillium" w:hAnsi="Titillium" w:cs="Calibri"/>
          <w:sz w:val="18"/>
          <w:szCs w:val="18"/>
        </w:rPr>
        <w:t>lettera</w:t>
      </w:r>
      <w:r w:rsidR="00613278" w:rsidRPr="005D7CB3">
        <w:rPr>
          <w:rFonts w:ascii="Titillium" w:hAnsi="Titillium" w:cs="Calibri"/>
          <w:sz w:val="18"/>
          <w:szCs w:val="18"/>
        </w:rPr>
        <w:t xml:space="preserve"> i</w:t>
      </w:r>
      <w:r w:rsidR="009D0B6E" w:rsidRPr="005D7CB3">
        <w:rPr>
          <w:rFonts w:ascii="Titillium" w:hAnsi="Titillium" w:cs="Calibri"/>
          <w:sz w:val="18"/>
          <w:szCs w:val="18"/>
        </w:rPr>
        <w:t>)</w:t>
      </w:r>
      <w:r w:rsidR="00613278" w:rsidRPr="005D7CB3">
        <w:rPr>
          <w:rFonts w:ascii="Titillium" w:hAnsi="Titillium" w:cs="Calibri"/>
          <w:sz w:val="18"/>
          <w:szCs w:val="18"/>
        </w:rPr>
        <w:t xml:space="preserve"> dal professionista che nel gruppo svolge l’incarico di BIM Coordinator, </w:t>
      </w:r>
      <w:r w:rsidR="000E1F81" w:rsidRPr="005D7CB3">
        <w:rPr>
          <w:rFonts w:ascii="Titillium" w:hAnsi="Titillium" w:cs="Calibri"/>
          <w:sz w:val="18"/>
          <w:szCs w:val="18"/>
        </w:rPr>
        <w:t>quello di cui al p</w:t>
      </w:r>
      <w:r w:rsidR="00F177EB">
        <w:rPr>
          <w:rFonts w:ascii="Titillium" w:hAnsi="Titillium" w:cs="Calibri"/>
          <w:sz w:val="18"/>
          <w:szCs w:val="18"/>
        </w:rPr>
        <w:t xml:space="preserve">aragrafo </w:t>
      </w:r>
      <w:r w:rsidR="00C91460" w:rsidRPr="005D7CB3">
        <w:rPr>
          <w:rFonts w:ascii="Titillium" w:hAnsi="Titillium" w:cs="Calibri"/>
          <w:sz w:val="18"/>
          <w:szCs w:val="18"/>
        </w:rPr>
        <w:t>6</w:t>
      </w:r>
      <w:r w:rsidR="000E1F81" w:rsidRPr="005D7CB3">
        <w:rPr>
          <w:rFonts w:ascii="Titillium" w:hAnsi="Titillium" w:cs="Calibri"/>
          <w:sz w:val="18"/>
          <w:szCs w:val="18"/>
        </w:rPr>
        <w:t xml:space="preserve">.1 </w:t>
      </w:r>
      <w:r w:rsidR="0088198B" w:rsidRPr="005D7CB3">
        <w:rPr>
          <w:rFonts w:ascii="Titillium" w:hAnsi="Titillium" w:cs="Calibri"/>
          <w:sz w:val="18"/>
          <w:szCs w:val="18"/>
        </w:rPr>
        <w:t>lettera</w:t>
      </w:r>
      <w:r w:rsidR="000E1F81" w:rsidRPr="005D7CB3">
        <w:rPr>
          <w:rFonts w:ascii="Titillium" w:hAnsi="Titillium" w:cs="Calibri"/>
          <w:sz w:val="18"/>
          <w:szCs w:val="18"/>
        </w:rPr>
        <w:t xml:space="preserve"> </w:t>
      </w:r>
      <w:r w:rsidR="00065A12" w:rsidRPr="005D7CB3">
        <w:rPr>
          <w:rFonts w:ascii="Titillium" w:hAnsi="Titillium" w:cs="Calibri"/>
          <w:sz w:val="18"/>
          <w:szCs w:val="18"/>
        </w:rPr>
        <w:t>j)</w:t>
      </w:r>
      <w:r w:rsidR="000E1F81" w:rsidRPr="005D7CB3">
        <w:rPr>
          <w:rFonts w:ascii="Titillium" w:hAnsi="Titillium" w:cs="Calibri"/>
          <w:sz w:val="18"/>
          <w:szCs w:val="18"/>
        </w:rPr>
        <w:t xml:space="preserve"> dal professionista che nel gruppo svolge l’incarico di BIM Specialist</w:t>
      </w:r>
      <w:r w:rsidR="004501FC" w:rsidRPr="005D7CB3">
        <w:rPr>
          <w:rFonts w:ascii="Titillium" w:hAnsi="Titillium" w:cs="Calibri"/>
          <w:sz w:val="18"/>
          <w:szCs w:val="18"/>
        </w:rPr>
        <w:t>,</w:t>
      </w:r>
      <w:r w:rsidR="00613278" w:rsidRPr="005D7CB3">
        <w:rPr>
          <w:rFonts w:ascii="Titillium" w:hAnsi="Titillium" w:cs="Calibri"/>
          <w:sz w:val="18"/>
          <w:szCs w:val="18"/>
        </w:rPr>
        <w:t xml:space="preserve"> </w:t>
      </w:r>
      <w:r w:rsidR="004501FC" w:rsidRPr="005D7CB3">
        <w:rPr>
          <w:rFonts w:ascii="Titillium" w:hAnsi="Titillium" w:cs="Calibri"/>
          <w:sz w:val="18"/>
          <w:szCs w:val="18"/>
        </w:rPr>
        <w:t>quello di cui al p</w:t>
      </w:r>
      <w:r w:rsidR="00F177EB">
        <w:rPr>
          <w:rFonts w:ascii="Titillium" w:hAnsi="Titillium" w:cs="Calibri"/>
          <w:sz w:val="18"/>
          <w:szCs w:val="18"/>
        </w:rPr>
        <w:t xml:space="preserve">aragrafo </w:t>
      </w:r>
      <w:r w:rsidR="004501FC" w:rsidRPr="005D7CB3">
        <w:rPr>
          <w:rFonts w:ascii="Titillium" w:hAnsi="Titillium" w:cs="Calibri"/>
          <w:sz w:val="18"/>
          <w:szCs w:val="18"/>
        </w:rPr>
        <w:t>6.1 lettera k) dal professionista che nel gruppo svolge l’incarico di CDE manager.</w:t>
      </w:r>
    </w:p>
    <w:p w14:paraId="13AA82F0" w14:textId="77777777" w:rsidR="006C168E" w:rsidRPr="007C2225" w:rsidRDefault="006C168E" w:rsidP="006C168E">
      <w:pPr>
        <w:spacing w:before="60" w:after="60"/>
        <w:rPr>
          <w:rFonts w:ascii="Titillium" w:hAnsi="Titillium" w:cs="Calibri"/>
          <w:sz w:val="18"/>
          <w:szCs w:val="18"/>
        </w:rPr>
      </w:pPr>
    </w:p>
    <w:p w14:paraId="38F84291" w14:textId="77777777" w:rsidR="006842EE" w:rsidRPr="007C2225" w:rsidRDefault="008F2625">
      <w:pPr>
        <w:spacing w:before="60" w:after="60"/>
        <w:rPr>
          <w:rFonts w:ascii="Titillium" w:hAnsi="Titillium" w:cs="Calibri"/>
          <w:b/>
          <w:sz w:val="18"/>
          <w:szCs w:val="18"/>
        </w:rPr>
      </w:pPr>
      <w:r w:rsidRPr="007C2225">
        <w:rPr>
          <w:rFonts w:ascii="Titillium" w:hAnsi="Titillium" w:cs="Calibri"/>
          <w:b/>
          <w:sz w:val="18"/>
          <w:szCs w:val="18"/>
        </w:rPr>
        <w:t>Requisiti di capacità economico finanziaria</w:t>
      </w:r>
    </w:p>
    <w:p w14:paraId="271E8D78" w14:textId="0F82AF74" w:rsidR="006842EE" w:rsidRPr="007C2225" w:rsidRDefault="008F2625">
      <w:pPr>
        <w:spacing w:before="60" w:after="60"/>
        <w:rPr>
          <w:rFonts w:ascii="Titillium" w:hAnsi="Titillium" w:cs="Calibri"/>
          <w:sz w:val="18"/>
          <w:szCs w:val="18"/>
        </w:rPr>
      </w:pPr>
      <w:r w:rsidRPr="007C2225">
        <w:rPr>
          <w:rFonts w:ascii="Titillium" w:hAnsi="Titillium" w:cs="Calibri"/>
          <w:b/>
          <w:iCs/>
          <w:sz w:val="18"/>
          <w:szCs w:val="18"/>
        </w:rPr>
        <w:t>[</w:t>
      </w:r>
      <w:r w:rsidRPr="005C7965">
        <w:rPr>
          <w:rFonts w:ascii="Titillium" w:hAnsi="Titillium" w:cs="Calibri"/>
          <w:b/>
          <w:i/>
          <w:sz w:val="18"/>
          <w:szCs w:val="18"/>
        </w:rPr>
        <w:t>Se richiesto requisito di fatturato globale</w:t>
      </w:r>
      <w:r w:rsidRPr="007C2225">
        <w:rPr>
          <w:rFonts w:ascii="Titillium" w:hAnsi="Titillium" w:cs="Calibri"/>
          <w:b/>
          <w:iCs/>
          <w:sz w:val="18"/>
          <w:szCs w:val="18"/>
        </w:rPr>
        <w:t>]</w:t>
      </w:r>
      <w:r w:rsidRPr="007C2225">
        <w:rPr>
          <w:rFonts w:ascii="Titillium" w:hAnsi="Titillium" w:cs="Calibri"/>
          <w:sz w:val="18"/>
          <w:szCs w:val="18"/>
        </w:rPr>
        <w:t xml:space="preserve"> Il requisito relativo al fatturato globale di cui al p</w:t>
      </w:r>
      <w:r w:rsidR="00F177EB">
        <w:rPr>
          <w:rFonts w:ascii="Titillium" w:hAnsi="Titillium" w:cs="Calibri"/>
          <w:sz w:val="18"/>
          <w:szCs w:val="18"/>
        </w:rPr>
        <w:t xml:space="preserve">aragrafo </w:t>
      </w:r>
      <w:r w:rsidR="000D0637" w:rsidRPr="007C2225">
        <w:rPr>
          <w:rFonts w:ascii="Titillium" w:hAnsi="Titillium" w:cs="Calibri"/>
          <w:sz w:val="18"/>
          <w:szCs w:val="18"/>
        </w:rPr>
        <w:t>6</w:t>
      </w:r>
      <w:r w:rsidRPr="007C2225">
        <w:rPr>
          <w:rFonts w:ascii="Titillium" w:hAnsi="Titillium" w:cs="Calibri"/>
          <w:sz w:val="18"/>
          <w:szCs w:val="18"/>
        </w:rPr>
        <w:t>.2 lettera a) deve essere soddisfatto dal raggruppamento temporaneo</w:t>
      </w:r>
      <w:r w:rsidR="00235749" w:rsidRPr="007C2225">
        <w:t xml:space="preserve"> </w:t>
      </w:r>
      <w:r w:rsidR="00235749" w:rsidRPr="007C2225">
        <w:rPr>
          <w:rFonts w:ascii="Titillium" w:hAnsi="Titillium" w:cs="Calibri"/>
          <w:sz w:val="18"/>
          <w:szCs w:val="18"/>
        </w:rPr>
        <w:t>o dalla rete/GEIE</w:t>
      </w:r>
      <w:r w:rsidRPr="007C2225">
        <w:rPr>
          <w:rFonts w:ascii="Titillium" w:hAnsi="Titillium" w:cs="Calibri"/>
          <w:sz w:val="18"/>
          <w:szCs w:val="18"/>
        </w:rPr>
        <w:t xml:space="preserve"> nel complesso.</w:t>
      </w:r>
    </w:p>
    <w:p w14:paraId="7CAC1C0B" w14:textId="77777777" w:rsidR="006842EE" w:rsidRPr="007C2225" w:rsidRDefault="008F2625">
      <w:pPr>
        <w:spacing w:before="60" w:after="60"/>
        <w:rPr>
          <w:rFonts w:ascii="Titillium" w:hAnsi="Titillium" w:cs="Calibri"/>
          <w:b/>
          <w:i/>
          <w:sz w:val="18"/>
          <w:szCs w:val="18"/>
        </w:rPr>
      </w:pPr>
      <w:r w:rsidRPr="007C2225">
        <w:rPr>
          <w:rFonts w:ascii="Titillium" w:hAnsi="Titillium" w:cs="Calibri"/>
          <w:b/>
          <w:i/>
          <w:sz w:val="18"/>
          <w:szCs w:val="18"/>
        </w:rPr>
        <w:t>[o in alternativa]</w:t>
      </w:r>
    </w:p>
    <w:p w14:paraId="71BCC156" w14:textId="6E6374C9" w:rsidR="006842EE" w:rsidRPr="007C2225" w:rsidRDefault="008F2625">
      <w:pPr>
        <w:spacing w:before="60" w:after="60"/>
        <w:rPr>
          <w:rFonts w:ascii="Titillium" w:hAnsi="Titillium" w:cs="Calibri"/>
          <w:sz w:val="18"/>
          <w:szCs w:val="18"/>
        </w:rPr>
      </w:pPr>
      <w:r w:rsidRPr="007C2225">
        <w:rPr>
          <w:rFonts w:ascii="Titillium" w:hAnsi="Titillium" w:cs="Calibri"/>
          <w:iCs/>
          <w:sz w:val="18"/>
          <w:szCs w:val="18"/>
        </w:rPr>
        <w:t>Il</w:t>
      </w:r>
      <w:r w:rsidRPr="007C2225">
        <w:rPr>
          <w:rFonts w:ascii="Titillium" w:hAnsi="Titillium" w:cs="Calibri"/>
          <w:sz w:val="18"/>
          <w:szCs w:val="18"/>
        </w:rPr>
        <w:t xml:space="preserve"> requisito relativo al fatturato globale di cui p</w:t>
      </w:r>
      <w:r w:rsidR="00F177EB">
        <w:rPr>
          <w:rFonts w:ascii="Titillium" w:hAnsi="Titillium" w:cs="Calibri"/>
          <w:sz w:val="18"/>
          <w:szCs w:val="18"/>
        </w:rPr>
        <w:t xml:space="preserve">aragrafo </w:t>
      </w:r>
      <w:r w:rsidR="000D0637" w:rsidRPr="007C2225">
        <w:rPr>
          <w:rFonts w:ascii="Titillium" w:hAnsi="Titillium" w:cs="Calibri"/>
          <w:sz w:val="18"/>
          <w:szCs w:val="18"/>
        </w:rPr>
        <w:t>6</w:t>
      </w:r>
      <w:r w:rsidR="00B03D2F" w:rsidRPr="007C2225">
        <w:rPr>
          <w:rFonts w:ascii="Titillium" w:hAnsi="Titillium" w:cs="Calibri"/>
          <w:sz w:val="18"/>
          <w:szCs w:val="18"/>
        </w:rPr>
        <w:t>.2</w:t>
      </w:r>
      <w:r w:rsidR="00DF4738" w:rsidRPr="007C2225">
        <w:rPr>
          <w:rFonts w:ascii="Titillium" w:hAnsi="Titillium" w:cs="Calibri"/>
          <w:sz w:val="18"/>
          <w:szCs w:val="18"/>
        </w:rPr>
        <w:t xml:space="preserve"> </w:t>
      </w:r>
      <w:r w:rsidRPr="007C2225">
        <w:rPr>
          <w:rFonts w:ascii="Titillium" w:hAnsi="Titillium" w:cs="Calibri"/>
          <w:sz w:val="18"/>
          <w:szCs w:val="18"/>
        </w:rPr>
        <w:t xml:space="preserve">lettera a) deve essere soddisfatto dal raggruppamento temporaneo </w:t>
      </w:r>
      <w:r w:rsidR="00235749" w:rsidRPr="007C2225">
        <w:rPr>
          <w:rFonts w:ascii="Titillium" w:hAnsi="Titillium" w:cs="Calibri"/>
          <w:sz w:val="18"/>
          <w:szCs w:val="18"/>
        </w:rPr>
        <w:t xml:space="preserve">o dalla rete/GEIE </w:t>
      </w:r>
      <w:r w:rsidRPr="007C2225">
        <w:rPr>
          <w:rFonts w:ascii="Titillium" w:hAnsi="Titillium" w:cs="Calibri"/>
          <w:sz w:val="18"/>
          <w:szCs w:val="18"/>
        </w:rPr>
        <w:t xml:space="preserve">nei termini di seguito indicati … </w:t>
      </w:r>
      <w:r w:rsidRPr="007C2225">
        <w:rPr>
          <w:rFonts w:ascii="Titillium" w:hAnsi="Titillium" w:cs="Calibri"/>
          <w:i/>
          <w:sz w:val="18"/>
          <w:szCs w:val="18"/>
        </w:rPr>
        <w:t xml:space="preserve">[ai sensi dell’articolo 68 comma 4 lettera b) </w:t>
      </w:r>
      <w:r w:rsidR="008650CC" w:rsidRPr="007C2225">
        <w:rPr>
          <w:rFonts w:ascii="Titillium" w:hAnsi="Titillium" w:cs="Calibri"/>
          <w:i/>
          <w:sz w:val="18"/>
          <w:szCs w:val="18"/>
        </w:rPr>
        <w:t xml:space="preserve">del Codice </w:t>
      </w:r>
      <w:r w:rsidRPr="007C2225">
        <w:rPr>
          <w:rFonts w:ascii="Titillium" w:hAnsi="Titillium" w:cs="Calibri"/>
          <w:i/>
          <w:sz w:val="18"/>
          <w:szCs w:val="18"/>
        </w:rPr>
        <w:t>è possibile indicare le modalità con cui il raggruppamento deve ottemperare ai requisiti, purché ciò sia proporzionato e giustificato da motivazioni obiettive].</w:t>
      </w:r>
    </w:p>
    <w:p w14:paraId="7151FD72" w14:textId="77777777" w:rsidR="006842EE" w:rsidRPr="007C2225" w:rsidRDefault="006842EE">
      <w:pPr>
        <w:spacing w:before="60" w:after="60"/>
        <w:rPr>
          <w:rFonts w:ascii="Titillium" w:hAnsi="Titillium" w:cs="Calibri"/>
          <w:sz w:val="18"/>
          <w:szCs w:val="18"/>
        </w:rPr>
      </w:pPr>
    </w:p>
    <w:p w14:paraId="7174EC55" w14:textId="3C7AD95D" w:rsidR="006842EE" w:rsidRPr="007C2225" w:rsidRDefault="008F2625">
      <w:pPr>
        <w:spacing w:before="60" w:after="60"/>
        <w:rPr>
          <w:rFonts w:ascii="Titillium" w:hAnsi="Titillium" w:cs="Calibri"/>
          <w:color w:val="000000" w:themeColor="text1"/>
          <w:sz w:val="18"/>
          <w:szCs w:val="18"/>
        </w:rPr>
      </w:pPr>
      <w:r w:rsidRPr="007C2225">
        <w:rPr>
          <w:rFonts w:ascii="Titillium" w:hAnsi="Titillium" w:cs="Calibri"/>
          <w:b/>
          <w:iCs/>
          <w:sz w:val="18"/>
          <w:szCs w:val="18"/>
        </w:rPr>
        <w:t>[</w:t>
      </w:r>
      <w:r w:rsidRPr="006B00AD">
        <w:rPr>
          <w:rFonts w:ascii="Titillium" w:hAnsi="Titillium" w:cs="Calibri"/>
          <w:b/>
          <w:i/>
          <w:sz w:val="18"/>
          <w:szCs w:val="18"/>
        </w:rPr>
        <w:t>Se richiesto il requisito relativo alla copertura assicurativa</w:t>
      </w:r>
      <w:r w:rsidRPr="007C2225">
        <w:rPr>
          <w:rFonts w:ascii="Titillium" w:hAnsi="Titillium" w:cs="Calibri"/>
          <w:b/>
          <w:iCs/>
          <w:sz w:val="18"/>
          <w:szCs w:val="18"/>
        </w:rPr>
        <w:t>]</w:t>
      </w:r>
      <w:r w:rsidRPr="007C2225">
        <w:rPr>
          <w:rFonts w:ascii="Titillium" w:hAnsi="Titillium" w:cs="Calibri"/>
          <w:sz w:val="18"/>
          <w:szCs w:val="18"/>
        </w:rPr>
        <w:t xml:space="preserve"> Il requisito relativo alla copertura assicurativa contro i rischi professionali di cui al p</w:t>
      </w:r>
      <w:r w:rsidR="00A67E59">
        <w:rPr>
          <w:rFonts w:ascii="Titillium" w:hAnsi="Titillium" w:cs="Calibri"/>
          <w:sz w:val="18"/>
          <w:szCs w:val="18"/>
        </w:rPr>
        <w:t>aragrafo</w:t>
      </w:r>
      <w:r w:rsidRPr="007C2225">
        <w:rPr>
          <w:rFonts w:ascii="Titillium" w:hAnsi="Titillium" w:cs="Calibri"/>
          <w:sz w:val="18"/>
          <w:szCs w:val="18"/>
        </w:rPr>
        <w:t xml:space="preserve"> </w:t>
      </w:r>
      <w:r w:rsidR="00FA44BD" w:rsidRPr="007C2225">
        <w:rPr>
          <w:rFonts w:ascii="Titillium" w:hAnsi="Titillium" w:cs="Calibri"/>
          <w:sz w:val="18"/>
          <w:szCs w:val="18"/>
        </w:rPr>
        <w:t>6</w:t>
      </w:r>
      <w:r w:rsidR="00B03D2F" w:rsidRPr="007C2225">
        <w:rPr>
          <w:rFonts w:ascii="Titillium" w:hAnsi="Titillium" w:cs="Calibri"/>
          <w:sz w:val="18"/>
          <w:szCs w:val="18"/>
        </w:rPr>
        <w:t>.2 l</w:t>
      </w:r>
      <w:r w:rsidRPr="007C2225">
        <w:rPr>
          <w:rFonts w:ascii="Titillium" w:hAnsi="Titillium" w:cs="Calibri"/>
          <w:sz w:val="18"/>
          <w:szCs w:val="18"/>
        </w:rPr>
        <w:t xml:space="preserve">ettera b) deve essere soddisfatto dal raggruppamento </w:t>
      </w:r>
      <w:r w:rsidR="00235749" w:rsidRPr="007C2225">
        <w:rPr>
          <w:rFonts w:ascii="Titillium" w:hAnsi="Titillium" w:cs="Calibri"/>
          <w:sz w:val="18"/>
          <w:szCs w:val="18"/>
        </w:rPr>
        <w:t xml:space="preserve">o dalla rete/GEIE </w:t>
      </w:r>
      <w:r w:rsidRPr="007C2225">
        <w:rPr>
          <w:rFonts w:ascii="Titillium" w:hAnsi="Titillium" w:cs="Calibri"/>
          <w:sz w:val="18"/>
          <w:szCs w:val="18"/>
        </w:rPr>
        <w:t>nel complesso</w:t>
      </w:r>
      <w:r w:rsidRPr="007C2225">
        <w:rPr>
          <w:rFonts w:ascii="Titillium" w:hAnsi="Titillium" w:cs="Calibri"/>
          <w:color w:val="5B9BD5" w:themeColor="accent1"/>
          <w:sz w:val="18"/>
          <w:szCs w:val="18"/>
        </w:rPr>
        <w:t xml:space="preserve">, </w:t>
      </w:r>
      <w:r w:rsidRPr="007C2225">
        <w:rPr>
          <w:rFonts w:ascii="Titillium" w:hAnsi="Titillium" w:cs="Calibri"/>
          <w:color w:val="000000" w:themeColor="text1"/>
          <w:sz w:val="18"/>
          <w:szCs w:val="18"/>
        </w:rPr>
        <w:t>secondo una delle opzioni di seguito indicate:</w:t>
      </w:r>
    </w:p>
    <w:p w14:paraId="2D9B64B4" w14:textId="77777777" w:rsidR="006842EE" w:rsidRPr="007C2225" w:rsidRDefault="008F2625" w:rsidP="00D26F03">
      <w:pPr>
        <w:pStyle w:val="Paragrafoelenco"/>
        <w:numPr>
          <w:ilvl w:val="0"/>
          <w:numId w:val="30"/>
        </w:numPr>
        <w:spacing w:before="60" w:after="60"/>
        <w:ind w:left="426"/>
        <w:rPr>
          <w:rFonts w:ascii="Titillium" w:hAnsi="Titillium" w:cs="Calibri"/>
          <w:color w:val="000000" w:themeColor="text1"/>
          <w:sz w:val="18"/>
          <w:szCs w:val="18"/>
        </w:rPr>
      </w:pPr>
      <w:r w:rsidRPr="007C2225">
        <w:rPr>
          <w:rFonts w:ascii="Titillium" w:hAnsi="Titillium" w:cs="Calibri"/>
          <w:color w:val="000000" w:themeColor="text1"/>
          <w:sz w:val="18"/>
          <w:szCs w:val="18"/>
        </w:rPr>
        <w:t>somma dei massimali delle polizze dei singoli operatori del raggruppamento; in ogni caso, ciascun componente il raggruppamento deve possedere un massimale in misura proporzionalmente corrispondente all’importo dei servizi che esegue;</w:t>
      </w:r>
    </w:p>
    <w:p w14:paraId="3D730F8E" w14:textId="7A9905FC" w:rsidR="006842EE" w:rsidRPr="007C2225" w:rsidRDefault="008F2625" w:rsidP="00D26F03">
      <w:pPr>
        <w:pStyle w:val="Paragrafoelenco"/>
        <w:numPr>
          <w:ilvl w:val="0"/>
          <w:numId w:val="30"/>
        </w:numPr>
        <w:spacing w:before="60" w:after="60"/>
        <w:ind w:left="426"/>
        <w:rPr>
          <w:rFonts w:ascii="Titillium" w:hAnsi="Titillium" w:cs="Calibri"/>
          <w:color w:val="000000" w:themeColor="text1"/>
          <w:sz w:val="18"/>
          <w:szCs w:val="18"/>
        </w:rPr>
      </w:pPr>
      <w:r w:rsidRPr="007C2225">
        <w:rPr>
          <w:rFonts w:ascii="Titillium" w:hAnsi="Titillium" w:cs="Calibri"/>
          <w:color w:val="000000" w:themeColor="text1"/>
          <w:sz w:val="18"/>
          <w:szCs w:val="18"/>
        </w:rPr>
        <w:t>unica polizza della mandataria per il massimale indicato, con copertura estesa a tutti gli operatori del raggruppamento</w:t>
      </w:r>
      <w:r w:rsidR="003F7744" w:rsidRPr="007C2225">
        <w:rPr>
          <w:rFonts w:ascii="Titillium" w:hAnsi="Titillium" w:cs="Calibri"/>
          <w:color w:val="000000" w:themeColor="text1"/>
          <w:sz w:val="18"/>
          <w:szCs w:val="18"/>
        </w:rPr>
        <w:t>.</w:t>
      </w:r>
    </w:p>
    <w:p w14:paraId="6F01C5D3" w14:textId="51DB6838" w:rsidR="00D40682" w:rsidRPr="007C2225" w:rsidRDefault="00543114" w:rsidP="00D40682">
      <w:pPr>
        <w:spacing w:before="60" w:after="60"/>
        <w:rPr>
          <w:rFonts w:ascii="Titillium" w:hAnsi="Titillium" w:cs="Calibri"/>
          <w:b/>
          <w:bCs/>
          <w:i/>
          <w:iCs/>
          <w:color w:val="000000" w:themeColor="text1"/>
          <w:sz w:val="18"/>
          <w:szCs w:val="18"/>
        </w:rPr>
      </w:pPr>
      <w:r w:rsidRPr="007C2225">
        <w:rPr>
          <w:rFonts w:ascii="Titillium" w:hAnsi="Titillium" w:cs="Calibri"/>
          <w:b/>
          <w:bCs/>
          <w:i/>
          <w:iCs/>
          <w:color w:val="000000" w:themeColor="text1"/>
          <w:sz w:val="18"/>
          <w:szCs w:val="18"/>
        </w:rPr>
        <w:t>[</w:t>
      </w:r>
      <w:r w:rsidR="00D40682" w:rsidRPr="007C2225">
        <w:rPr>
          <w:rFonts w:ascii="Titillium" w:hAnsi="Titillium" w:cs="Calibri"/>
          <w:b/>
          <w:bCs/>
          <w:i/>
          <w:iCs/>
          <w:color w:val="000000" w:themeColor="text1"/>
          <w:sz w:val="18"/>
          <w:szCs w:val="18"/>
        </w:rPr>
        <w:t>o in alternativa]</w:t>
      </w:r>
    </w:p>
    <w:p w14:paraId="0B81A3F6" w14:textId="1BF38C33" w:rsidR="00D40682" w:rsidRPr="007C2225" w:rsidRDefault="00D40682" w:rsidP="00D40682">
      <w:pPr>
        <w:spacing w:before="60" w:after="60"/>
        <w:rPr>
          <w:rFonts w:ascii="Titillium" w:hAnsi="Titillium" w:cs="Calibri"/>
          <w:i/>
          <w:iCs/>
          <w:color w:val="000000" w:themeColor="text1"/>
          <w:sz w:val="18"/>
          <w:szCs w:val="18"/>
        </w:rPr>
      </w:pPr>
      <w:r w:rsidRPr="007C2225">
        <w:rPr>
          <w:rFonts w:ascii="Titillium" w:hAnsi="Titillium" w:cs="Calibri"/>
          <w:color w:val="000000" w:themeColor="text1"/>
          <w:sz w:val="18"/>
          <w:szCs w:val="18"/>
        </w:rPr>
        <w:t>il requisito deve essere soddisfatto dal raggruppamento temporaneo o dalla rete/GEIE nei termini di seguito indicati … [</w:t>
      </w:r>
      <w:r w:rsidRPr="007C2225">
        <w:rPr>
          <w:rFonts w:ascii="Titillium" w:hAnsi="Titillium" w:cs="Calibri"/>
          <w:i/>
          <w:iCs/>
          <w:color w:val="000000" w:themeColor="text1"/>
          <w:sz w:val="18"/>
          <w:szCs w:val="18"/>
        </w:rPr>
        <w:t>ai sensi dell’articolo 68 comma 4 lettera b) del Codice è possibile indicare le modalità con cui il raggruppamento deve ottemperare ai requisiti, purché ciò sia proporzionato e giustificato da motivazioni obiettive].</w:t>
      </w:r>
    </w:p>
    <w:p w14:paraId="02287CFA" w14:textId="77777777" w:rsidR="006842EE" w:rsidRPr="007C2225" w:rsidRDefault="006842EE">
      <w:pPr>
        <w:spacing w:before="60" w:after="60"/>
        <w:rPr>
          <w:rFonts w:ascii="Titillium" w:hAnsi="Titillium" w:cs="Calibri"/>
          <w:sz w:val="18"/>
          <w:szCs w:val="18"/>
        </w:rPr>
      </w:pPr>
    </w:p>
    <w:p w14:paraId="664F33BF" w14:textId="77777777" w:rsidR="006842EE" w:rsidRPr="007C2225" w:rsidRDefault="008F2625">
      <w:pPr>
        <w:spacing w:before="60" w:after="60"/>
        <w:rPr>
          <w:rFonts w:ascii="Titillium" w:hAnsi="Titillium" w:cs="Calibri"/>
          <w:b/>
          <w:sz w:val="18"/>
          <w:szCs w:val="18"/>
        </w:rPr>
      </w:pPr>
      <w:r w:rsidRPr="007C2225">
        <w:rPr>
          <w:rFonts w:ascii="Titillium" w:hAnsi="Titillium" w:cs="Calibri"/>
          <w:b/>
          <w:sz w:val="18"/>
          <w:szCs w:val="18"/>
        </w:rPr>
        <w:t>Requisiti di capacità tecnico</w:t>
      </w:r>
      <w:r w:rsidRPr="007C2225">
        <w:rPr>
          <w:rFonts w:ascii="Cambria Math" w:hAnsi="Cambria Math" w:cs="Cambria Math"/>
          <w:b/>
          <w:sz w:val="18"/>
          <w:szCs w:val="18"/>
        </w:rPr>
        <w:t>‐</w:t>
      </w:r>
      <w:r w:rsidRPr="007C2225">
        <w:rPr>
          <w:rFonts w:ascii="Titillium" w:hAnsi="Titillium" w:cs="Calibri"/>
          <w:b/>
          <w:sz w:val="18"/>
          <w:szCs w:val="18"/>
        </w:rPr>
        <w:t>professionale</w:t>
      </w:r>
    </w:p>
    <w:p w14:paraId="6FDED6AC" w14:textId="6E6FC008" w:rsidR="002964A2" w:rsidRPr="007C2225" w:rsidRDefault="002964A2" w:rsidP="002964A2">
      <w:pPr>
        <w:spacing w:before="60" w:after="60"/>
        <w:rPr>
          <w:rFonts w:ascii="Titillium" w:hAnsi="Titillium" w:cs="Calibri"/>
          <w:bCs/>
          <w:sz w:val="18"/>
          <w:szCs w:val="18"/>
        </w:rPr>
      </w:pPr>
      <w:r w:rsidRPr="007C2225">
        <w:rPr>
          <w:rFonts w:ascii="Titillium" w:hAnsi="Titillium" w:cs="Calibri"/>
          <w:b/>
          <w:sz w:val="18"/>
          <w:szCs w:val="18"/>
        </w:rPr>
        <w:t>[</w:t>
      </w:r>
      <w:r w:rsidRPr="006B00AD">
        <w:rPr>
          <w:rFonts w:ascii="Titillium" w:hAnsi="Titillium" w:cs="Calibri"/>
          <w:b/>
          <w:i/>
          <w:iCs/>
          <w:sz w:val="18"/>
          <w:szCs w:val="18"/>
        </w:rPr>
        <w:t xml:space="preserve">Se richiesto elenco di servizi di ingegneria e </w:t>
      </w:r>
      <w:r w:rsidR="00B20FC2" w:rsidRPr="006B00AD">
        <w:rPr>
          <w:rFonts w:ascii="Titillium" w:hAnsi="Titillium" w:cs="Calibri"/>
          <w:b/>
          <w:i/>
          <w:iCs/>
          <w:sz w:val="18"/>
          <w:szCs w:val="18"/>
        </w:rPr>
        <w:t>architettura</w:t>
      </w:r>
      <w:r w:rsidR="00B20FC2" w:rsidRPr="007C2225">
        <w:rPr>
          <w:rFonts w:ascii="Titillium" w:hAnsi="Titillium" w:cs="Calibri"/>
          <w:b/>
          <w:sz w:val="18"/>
          <w:szCs w:val="18"/>
        </w:rPr>
        <w:t xml:space="preserve">] </w:t>
      </w:r>
      <w:r w:rsidR="00B20FC2" w:rsidRPr="007C2225">
        <w:rPr>
          <w:rFonts w:ascii="Titillium" w:hAnsi="Titillium" w:cs="Calibri"/>
          <w:bCs/>
          <w:sz w:val="18"/>
          <w:szCs w:val="18"/>
        </w:rPr>
        <w:t>Il</w:t>
      </w:r>
      <w:r w:rsidRPr="007C2225">
        <w:rPr>
          <w:rFonts w:ascii="Titillium" w:hAnsi="Titillium" w:cs="Calibri"/>
          <w:bCs/>
          <w:sz w:val="18"/>
          <w:szCs w:val="18"/>
        </w:rPr>
        <w:t xml:space="preserve"> requisito dell’elenco dei servizi di cui al precedente p</w:t>
      </w:r>
      <w:r w:rsidR="00A67E59">
        <w:rPr>
          <w:rFonts w:ascii="Titillium" w:hAnsi="Titillium" w:cs="Calibri"/>
          <w:bCs/>
          <w:sz w:val="18"/>
          <w:szCs w:val="18"/>
        </w:rPr>
        <w:t xml:space="preserve">aragrafo </w:t>
      </w:r>
      <w:r w:rsidRPr="007C2225">
        <w:rPr>
          <w:rFonts w:ascii="Titillium" w:hAnsi="Titillium" w:cs="Calibri"/>
          <w:bCs/>
          <w:sz w:val="18"/>
          <w:szCs w:val="18"/>
        </w:rPr>
        <w:t>6.3 lettera a) richiesto in relazione alla prestazione … [</w:t>
      </w:r>
      <w:r w:rsidRPr="007C2225">
        <w:rPr>
          <w:rFonts w:ascii="Titillium" w:hAnsi="Titillium" w:cs="Calibri"/>
          <w:bCs/>
          <w:i/>
          <w:iCs/>
          <w:sz w:val="18"/>
          <w:szCs w:val="18"/>
        </w:rPr>
        <w:t>indicare la prestazione</w:t>
      </w:r>
      <w:r w:rsidRPr="007C2225">
        <w:rPr>
          <w:rFonts w:ascii="Titillium" w:hAnsi="Titillium" w:cs="Calibri"/>
          <w:bCs/>
          <w:sz w:val="18"/>
          <w:szCs w:val="18"/>
        </w:rPr>
        <w:t>] deve essere posseduto dal raggruppamento nel complesso.</w:t>
      </w:r>
    </w:p>
    <w:p w14:paraId="37C442D5" w14:textId="77777777" w:rsidR="002964A2" w:rsidRPr="002964A2" w:rsidRDefault="002964A2" w:rsidP="002964A2">
      <w:pPr>
        <w:spacing w:before="60" w:after="60"/>
        <w:rPr>
          <w:rFonts w:ascii="Titillium" w:hAnsi="Titillium" w:cs="Calibri"/>
          <w:b/>
          <w:sz w:val="18"/>
          <w:szCs w:val="18"/>
        </w:rPr>
      </w:pPr>
      <w:r w:rsidRPr="00FA44BD">
        <w:rPr>
          <w:rFonts w:ascii="Titillium" w:hAnsi="Titillium" w:cs="Calibri"/>
          <w:b/>
          <w:i/>
          <w:iCs/>
          <w:sz w:val="18"/>
          <w:szCs w:val="18"/>
        </w:rPr>
        <w:t>[o in alternativa</w:t>
      </w:r>
      <w:r w:rsidRPr="00FA44BD">
        <w:rPr>
          <w:rFonts w:ascii="Titillium" w:hAnsi="Titillium" w:cs="Calibri"/>
          <w:b/>
          <w:sz w:val="18"/>
          <w:szCs w:val="18"/>
        </w:rPr>
        <w:t>]</w:t>
      </w:r>
    </w:p>
    <w:p w14:paraId="0A54A56F" w14:textId="3214A02B" w:rsidR="002964A2" w:rsidRPr="002964A2" w:rsidRDefault="002964A2" w:rsidP="002964A2">
      <w:pPr>
        <w:spacing w:before="60" w:after="60"/>
        <w:rPr>
          <w:rFonts w:ascii="Titillium" w:hAnsi="Titillium" w:cs="Calibri"/>
          <w:bCs/>
          <w:sz w:val="18"/>
          <w:szCs w:val="18"/>
        </w:rPr>
      </w:pPr>
      <w:r w:rsidRPr="007C2225">
        <w:rPr>
          <w:rFonts w:ascii="Titillium" w:hAnsi="Titillium" w:cs="Calibri"/>
          <w:bCs/>
          <w:sz w:val="18"/>
          <w:szCs w:val="18"/>
        </w:rPr>
        <w:t>Il requisito dell’elenco dei servizi di cui al precedente p</w:t>
      </w:r>
      <w:r w:rsidR="00A67E59">
        <w:rPr>
          <w:rFonts w:ascii="Titillium" w:hAnsi="Titillium" w:cs="Calibri"/>
          <w:bCs/>
          <w:sz w:val="18"/>
          <w:szCs w:val="18"/>
        </w:rPr>
        <w:t>aragrafo</w:t>
      </w:r>
      <w:r w:rsidRPr="007C2225">
        <w:rPr>
          <w:rFonts w:ascii="Titillium" w:hAnsi="Titillium" w:cs="Calibri"/>
          <w:bCs/>
          <w:sz w:val="18"/>
          <w:szCs w:val="18"/>
        </w:rPr>
        <w:t xml:space="preserve"> 6.3 lettera a) deve essere soddisfatto dal raggruppamento temporaneo nei termini di seguito indicati … [</w:t>
      </w:r>
      <w:r w:rsidRPr="007C2225">
        <w:rPr>
          <w:rFonts w:ascii="Titillium" w:hAnsi="Titillium" w:cs="Calibri"/>
          <w:bCs/>
          <w:i/>
          <w:iCs/>
          <w:sz w:val="18"/>
          <w:szCs w:val="18"/>
        </w:rPr>
        <w:t>ai sensi dell’articolo 68 comma 4 lettera b) è possibile indicare le modalità con cui il raggruppamento deve ottemperare ai requisiti, purché ciò sia proporzionato e giustificato da motivazioni obiettive</w:t>
      </w:r>
      <w:r w:rsidRPr="007C2225">
        <w:rPr>
          <w:rFonts w:ascii="Titillium" w:hAnsi="Titillium" w:cs="Calibri"/>
          <w:bCs/>
          <w:sz w:val="18"/>
          <w:szCs w:val="18"/>
        </w:rPr>
        <w:t>].</w:t>
      </w:r>
    </w:p>
    <w:p w14:paraId="6D999FC0" w14:textId="2DB0BE08" w:rsidR="002964A2" w:rsidRPr="000500CF" w:rsidRDefault="002964A2" w:rsidP="002964A2">
      <w:pPr>
        <w:spacing w:before="60" w:after="60"/>
        <w:rPr>
          <w:rFonts w:ascii="Titillium" w:hAnsi="Titillium" w:cs="Calibri"/>
          <w:b/>
          <w:sz w:val="18"/>
          <w:szCs w:val="18"/>
        </w:rPr>
      </w:pPr>
      <w:r w:rsidRPr="000500CF">
        <w:rPr>
          <w:rFonts w:ascii="Titillium" w:hAnsi="Titillium" w:cs="Calibri"/>
          <w:b/>
          <w:sz w:val="18"/>
          <w:szCs w:val="18"/>
        </w:rPr>
        <w:t>N.B.: se richiesto elenco di servizi in prestazioni diverse ripetere la dicitura per ogni prestazione</w:t>
      </w:r>
    </w:p>
    <w:p w14:paraId="1D7591D7" w14:textId="77777777" w:rsidR="00291754" w:rsidRDefault="00291754">
      <w:pPr>
        <w:spacing w:before="60" w:after="60"/>
        <w:rPr>
          <w:rFonts w:ascii="Titillium" w:hAnsi="Titillium" w:cs="Calibri"/>
          <w:b/>
          <w:iCs/>
          <w:sz w:val="18"/>
          <w:szCs w:val="18"/>
        </w:rPr>
      </w:pPr>
    </w:p>
    <w:p w14:paraId="3F6C897E" w14:textId="4FA2F013" w:rsidR="00307626" w:rsidRPr="00FF0BED" w:rsidRDefault="008F2625">
      <w:pPr>
        <w:spacing w:before="60" w:after="60"/>
        <w:rPr>
          <w:rFonts w:ascii="Titillium" w:hAnsi="Titillium" w:cs="Calibri"/>
          <w:sz w:val="18"/>
          <w:szCs w:val="18"/>
        </w:rPr>
      </w:pPr>
      <w:r w:rsidRPr="000500CF">
        <w:rPr>
          <w:rFonts w:ascii="Titillium" w:hAnsi="Titillium" w:cs="Calibri"/>
          <w:b/>
          <w:iCs/>
          <w:sz w:val="18"/>
          <w:szCs w:val="18"/>
        </w:rPr>
        <w:t>[</w:t>
      </w:r>
      <w:r w:rsidRPr="006B00AD">
        <w:rPr>
          <w:rFonts w:ascii="Titillium" w:hAnsi="Titillium" w:cs="Calibri"/>
          <w:b/>
          <w:i/>
          <w:sz w:val="18"/>
          <w:szCs w:val="18"/>
        </w:rPr>
        <w:t>Se richiesti servizi di ingegneria e architettura “di punta”</w:t>
      </w:r>
      <w:r w:rsidRPr="000500CF">
        <w:rPr>
          <w:rFonts w:ascii="Titillium" w:hAnsi="Titillium" w:cs="Calibri"/>
          <w:b/>
          <w:iCs/>
          <w:sz w:val="18"/>
          <w:szCs w:val="18"/>
        </w:rPr>
        <w:t>]</w:t>
      </w:r>
      <w:r>
        <w:rPr>
          <w:rFonts w:ascii="Titillium" w:hAnsi="Titillium" w:cs="Calibri"/>
          <w:sz w:val="18"/>
          <w:szCs w:val="18"/>
        </w:rPr>
        <w:t xml:space="preserve"> Il requisito del servizio di punta di cui al p</w:t>
      </w:r>
      <w:r w:rsidR="00A67E59">
        <w:rPr>
          <w:rFonts w:ascii="Titillium" w:hAnsi="Titillium" w:cs="Calibri"/>
          <w:sz w:val="18"/>
          <w:szCs w:val="18"/>
        </w:rPr>
        <w:t xml:space="preserve">aragrafo </w:t>
      </w:r>
      <w:r w:rsidR="002964A2">
        <w:rPr>
          <w:rFonts w:ascii="Titillium" w:hAnsi="Titillium" w:cs="Calibri"/>
          <w:sz w:val="18"/>
          <w:szCs w:val="18"/>
        </w:rPr>
        <w:t>6</w:t>
      </w:r>
      <w:r w:rsidR="00B03D2F">
        <w:rPr>
          <w:rFonts w:ascii="Titillium" w:hAnsi="Titillium" w:cs="Calibri"/>
          <w:sz w:val="18"/>
          <w:szCs w:val="18"/>
        </w:rPr>
        <w:t xml:space="preserve">.3 </w:t>
      </w:r>
      <w:r>
        <w:rPr>
          <w:rFonts w:ascii="Titillium" w:hAnsi="Titillium" w:cs="Calibri"/>
          <w:sz w:val="18"/>
          <w:szCs w:val="18"/>
        </w:rPr>
        <w:t>lettera b) richiesto in relazione alla prestazione … [</w:t>
      </w:r>
      <w:r w:rsidRPr="007C2225">
        <w:rPr>
          <w:rFonts w:ascii="Titillium" w:hAnsi="Titillium" w:cs="Calibri"/>
          <w:i/>
          <w:iCs/>
          <w:sz w:val="18"/>
          <w:szCs w:val="18"/>
        </w:rPr>
        <w:t>indicare la prestazione</w:t>
      </w:r>
      <w:r>
        <w:rPr>
          <w:rFonts w:ascii="Titillium" w:hAnsi="Titillium" w:cs="Calibri"/>
          <w:sz w:val="18"/>
          <w:szCs w:val="18"/>
        </w:rPr>
        <w:t xml:space="preserve">] deve essere posseduto da uno dei componenti il raggruppamento </w:t>
      </w:r>
      <w:r w:rsidRPr="00FF0BED">
        <w:rPr>
          <w:rFonts w:ascii="Titillium" w:hAnsi="Titillium" w:cs="Calibri"/>
          <w:sz w:val="18"/>
          <w:szCs w:val="18"/>
        </w:rPr>
        <w:t>oppure da due diversi componenti del raggruppamento per un importo complessivo pari a quello richiesto nel singolo ID, ferma restando l’</w:t>
      </w:r>
      <w:r w:rsidR="00291754" w:rsidRPr="00FF0BED">
        <w:rPr>
          <w:rFonts w:ascii="Titillium" w:hAnsi="Titillium" w:cs="Calibri"/>
          <w:sz w:val="18"/>
          <w:szCs w:val="18"/>
        </w:rPr>
        <w:t>infrazionabilità</w:t>
      </w:r>
      <w:r w:rsidRPr="00FF0BED">
        <w:rPr>
          <w:rFonts w:ascii="Titillium" w:hAnsi="Titillium" w:cs="Calibri"/>
          <w:sz w:val="18"/>
          <w:szCs w:val="18"/>
        </w:rPr>
        <w:t xml:space="preserve"> del singolo servizio.</w:t>
      </w:r>
    </w:p>
    <w:p w14:paraId="7E765143" w14:textId="77777777" w:rsidR="006842EE" w:rsidRDefault="008F2625">
      <w:pPr>
        <w:spacing w:before="60" w:after="60"/>
        <w:rPr>
          <w:rFonts w:ascii="Titillium" w:hAnsi="Titillium" w:cs="Calibri"/>
          <w:b/>
          <w:i/>
          <w:sz w:val="18"/>
          <w:szCs w:val="18"/>
        </w:rPr>
      </w:pPr>
      <w:r>
        <w:rPr>
          <w:rFonts w:ascii="Titillium" w:hAnsi="Titillium" w:cs="Calibri"/>
          <w:b/>
          <w:i/>
          <w:sz w:val="18"/>
          <w:szCs w:val="18"/>
        </w:rPr>
        <w:t>[o in alternativa]</w:t>
      </w:r>
    </w:p>
    <w:p w14:paraId="1C187C7D" w14:textId="4E1719B9" w:rsidR="006842EE" w:rsidRPr="000500CF" w:rsidRDefault="008F2625">
      <w:pPr>
        <w:spacing w:before="60" w:after="60"/>
        <w:rPr>
          <w:rFonts w:ascii="Titillium" w:hAnsi="Titillium" w:cs="Calibri"/>
          <w:i/>
          <w:iCs/>
          <w:sz w:val="18"/>
          <w:szCs w:val="18"/>
        </w:rPr>
      </w:pPr>
      <w:r>
        <w:rPr>
          <w:rFonts w:ascii="Titillium" w:hAnsi="Titillium" w:cs="Calibri"/>
          <w:sz w:val="18"/>
          <w:szCs w:val="18"/>
        </w:rPr>
        <w:t>Il requisito del servizio di punta di cui al p</w:t>
      </w:r>
      <w:r w:rsidR="00A67E59">
        <w:rPr>
          <w:rFonts w:ascii="Titillium" w:hAnsi="Titillium" w:cs="Calibri"/>
          <w:sz w:val="18"/>
          <w:szCs w:val="18"/>
        </w:rPr>
        <w:t xml:space="preserve">aragrafo </w:t>
      </w:r>
      <w:r w:rsidR="002964A2">
        <w:rPr>
          <w:rFonts w:ascii="Titillium" w:hAnsi="Titillium" w:cs="Calibri"/>
          <w:sz w:val="18"/>
          <w:szCs w:val="18"/>
        </w:rPr>
        <w:t>6</w:t>
      </w:r>
      <w:r w:rsidR="00B03D2F">
        <w:rPr>
          <w:rFonts w:ascii="Titillium" w:hAnsi="Titillium" w:cs="Calibri"/>
          <w:sz w:val="18"/>
          <w:szCs w:val="18"/>
        </w:rPr>
        <w:t xml:space="preserve">.3 </w:t>
      </w:r>
      <w:r>
        <w:rPr>
          <w:rFonts w:ascii="Titillium" w:hAnsi="Titillium" w:cs="Calibri"/>
          <w:sz w:val="18"/>
          <w:szCs w:val="18"/>
        </w:rPr>
        <w:t>lettera b) richiesto in relazione alla prestazione</w:t>
      </w:r>
      <w:r w:rsidR="003F7744">
        <w:rPr>
          <w:rFonts w:ascii="Titillium" w:hAnsi="Titillium" w:cs="Calibri"/>
          <w:sz w:val="18"/>
          <w:szCs w:val="18"/>
        </w:rPr>
        <w:t xml:space="preserve"> </w:t>
      </w:r>
      <w:r>
        <w:rPr>
          <w:rFonts w:ascii="Titillium" w:hAnsi="Titillium" w:cs="Calibri"/>
          <w:sz w:val="18"/>
          <w:szCs w:val="18"/>
        </w:rPr>
        <w:t>… [indicare la prestazione] deve essere soddisfatto dal raggruppamento temporaneo nei termini di seguito indicati … [</w:t>
      </w:r>
      <w:r w:rsidRPr="000500CF">
        <w:rPr>
          <w:rFonts w:ascii="Titillium" w:hAnsi="Titillium" w:cs="Calibri"/>
          <w:i/>
          <w:iCs/>
          <w:sz w:val="18"/>
          <w:szCs w:val="18"/>
        </w:rPr>
        <w:t>ai sensi dell’articolo 68 comma 4 lettera b) è possibile indicare le modalità con cui il raggruppamento deve ottemperare ai requisiti, purché ciò sia proporzionato e giustificato da motivazioni obiettive].</w:t>
      </w:r>
    </w:p>
    <w:p w14:paraId="4B2B34AA" w14:textId="77777777" w:rsidR="006842EE" w:rsidRPr="000500CF" w:rsidRDefault="008F2625">
      <w:pPr>
        <w:spacing w:before="60" w:after="60"/>
        <w:rPr>
          <w:rFonts w:ascii="Titillium" w:hAnsi="Titillium" w:cs="Calibri"/>
          <w:b/>
          <w:iCs/>
          <w:sz w:val="18"/>
          <w:szCs w:val="18"/>
        </w:rPr>
      </w:pPr>
      <w:r w:rsidRPr="000500CF">
        <w:rPr>
          <w:rFonts w:ascii="Titillium" w:hAnsi="Titillium" w:cs="Calibri"/>
          <w:b/>
          <w:iCs/>
          <w:sz w:val="18"/>
          <w:szCs w:val="18"/>
        </w:rPr>
        <w:t>N.B.: se richiesti servizi di punta in prestazioni diverse ripetere la dicitura per ogni prestazione</w:t>
      </w:r>
    </w:p>
    <w:p w14:paraId="47C376A6" w14:textId="77777777" w:rsidR="000500CF" w:rsidRDefault="000500CF">
      <w:pPr>
        <w:spacing w:before="60" w:after="60"/>
        <w:rPr>
          <w:rFonts w:ascii="Titillium" w:hAnsi="Titillium" w:cs="Calibri"/>
          <w:b/>
          <w:i/>
          <w:sz w:val="18"/>
          <w:szCs w:val="18"/>
        </w:rPr>
      </w:pPr>
    </w:p>
    <w:p w14:paraId="6F8F21C1" w14:textId="07D470E3" w:rsidR="006842EE" w:rsidRDefault="008F2625">
      <w:pPr>
        <w:spacing w:before="60" w:after="60"/>
        <w:rPr>
          <w:rFonts w:ascii="Titillium" w:hAnsi="Titillium" w:cs="Calibri"/>
          <w:sz w:val="18"/>
          <w:szCs w:val="18"/>
        </w:rPr>
      </w:pPr>
      <w:r w:rsidRPr="000500CF">
        <w:rPr>
          <w:rFonts w:ascii="Titillium" w:hAnsi="Titillium" w:cs="Calibri"/>
          <w:b/>
          <w:iCs/>
          <w:sz w:val="18"/>
          <w:szCs w:val="18"/>
        </w:rPr>
        <w:t>[</w:t>
      </w:r>
      <w:r w:rsidRPr="006B00AD">
        <w:rPr>
          <w:rFonts w:ascii="Titillium" w:hAnsi="Titillium" w:cs="Calibri"/>
          <w:b/>
          <w:i/>
          <w:sz w:val="18"/>
          <w:szCs w:val="18"/>
        </w:rPr>
        <w:t>Se richiesto personale</w:t>
      </w:r>
      <w:r w:rsidRPr="000500CF">
        <w:rPr>
          <w:rFonts w:ascii="Titillium" w:hAnsi="Titillium" w:cs="Calibri"/>
          <w:b/>
          <w:iCs/>
          <w:sz w:val="18"/>
          <w:szCs w:val="18"/>
        </w:rPr>
        <w:t>]</w:t>
      </w:r>
      <w:r w:rsidRPr="000500CF">
        <w:rPr>
          <w:rFonts w:ascii="Titillium" w:hAnsi="Titillium" w:cs="Calibri"/>
          <w:iCs/>
          <w:sz w:val="18"/>
          <w:szCs w:val="18"/>
        </w:rPr>
        <w:t xml:space="preserve"> Il</w:t>
      </w:r>
      <w:r>
        <w:rPr>
          <w:rFonts w:ascii="Titillium" w:hAnsi="Titillium" w:cs="Calibri"/>
          <w:sz w:val="18"/>
          <w:szCs w:val="18"/>
        </w:rPr>
        <w:t xml:space="preserve"> requisito del personale di cui al p</w:t>
      </w:r>
      <w:r w:rsidR="00A67E59">
        <w:rPr>
          <w:rFonts w:ascii="Titillium" w:hAnsi="Titillium" w:cs="Calibri"/>
          <w:sz w:val="18"/>
          <w:szCs w:val="18"/>
        </w:rPr>
        <w:t xml:space="preserve">aragrafo </w:t>
      </w:r>
      <w:r w:rsidR="006B00AD">
        <w:rPr>
          <w:rFonts w:ascii="Titillium" w:hAnsi="Titillium" w:cs="Calibri"/>
          <w:sz w:val="18"/>
          <w:szCs w:val="18"/>
        </w:rPr>
        <w:t>6</w:t>
      </w:r>
      <w:r w:rsidR="00BA548A">
        <w:rPr>
          <w:rFonts w:ascii="Titillium" w:hAnsi="Titillium" w:cs="Calibri"/>
          <w:sz w:val="18"/>
          <w:szCs w:val="18"/>
        </w:rPr>
        <w:t>.</w:t>
      </w:r>
      <w:r>
        <w:rPr>
          <w:rFonts w:ascii="Titillium" w:hAnsi="Titillium" w:cs="Calibri"/>
          <w:sz w:val="18"/>
          <w:szCs w:val="18"/>
        </w:rPr>
        <w:t>3 lettera d) deve essere posseduto cumulativamente dal raggruppamento.</w:t>
      </w:r>
    </w:p>
    <w:p w14:paraId="610EE292" w14:textId="7A7DF4BC" w:rsidR="006842EE" w:rsidRDefault="008F2625">
      <w:pPr>
        <w:spacing w:before="60" w:after="60"/>
        <w:rPr>
          <w:rFonts w:ascii="Titillium" w:hAnsi="Titillium" w:cs="Calibri"/>
          <w:sz w:val="18"/>
          <w:szCs w:val="18"/>
        </w:rPr>
      </w:pPr>
      <w:r>
        <w:rPr>
          <w:rFonts w:ascii="Titillium" w:hAnsi="Titillium" w:cs="Calibri"/>
          <w:sz w:val="18"/>
          <w:szCs w:val="18"/>
        </w:rPr>
        <w:t>Nel caso in cui un raggruppamento abbia estromesso o sostituito un partecipante allo stesso poiché privo di un requisito di ordine speciale di cui all’articolo 100 del Codice, si valutano le misure adottate ai sensi dell’articolo 97 del Codice al fine di decidere sull’esclusione del raggruppamento.</w:t>
      </w:r>
    </w:p>
    <w:p w14:paraId="1316E5D1" w14:textId="77777777" w:rsidR="006842EE" w:rsidRDefault="006842EE">
      <w:pPr>
        <w:spacing w:before="60" w:after="60"/>
        <w:rPr>
          <w:rFonts w:ascii="Titillium" w:hAnsi="Titillium" w:cs="Calibri"/>
          <w:sz w:val="18"/>
          <w:szCs w:val="18"/>
        </w:rPr>
      </w:pPr>
    </w:p>
    <w:p w14:paraId="707B302E" w14:textId="701972AE" w:rsidR="006842EE" w:rsidRPr="009B6720" w:rsidRDefault="008F2625" w:rsidP="00D26F03">
      <w:pPr>
        <w:pStyle w:val="Titolo3"/>
        <w:numPr>
          <w:ilvl w:val="1"/>
          <w:numId w:val="54"/>
        </w:numPr>
        <w:spacing w:before="120"/>
        <w:ind w:left="426" w:hanging="426"/>
        <w:rPr>
          <w:rFonts w:ascii="Titillium" w:hAnsi="Titillium"/>
          <w:sz w:val="18"/>
          <w:szCs w:val="18"/>
          <w:lang w:val="it-IT"/>
        </w:rPr>
      </w:pPr>
      <w:bookmarkStart w:id="1616" w:name="_Toc227921629"/>
      <w:r w:rsidRPr="009B6720">
        <w:rPr>
          <w:rFonts w:ascii="Titillium" w:hAnsi="Titillium"/>
          <w:sz w:val="18"/>
          <w:szCs w:val="18"/>
          <w:lang w:val="it-IT"/>
        </w:rPr>
        <w:t>INDICAZIONI SUI REQUISITI SPECIALI NEI CONSORZI STABILI DI SOCIETÀ DI PROFESSIONISTI E DI SOCIETÀ DI INGEGNERIA</w:t>
      </w:r>
      <w:r w:rsidR="00FA2762">
        <w:rPr>
          <w:rFonts w:ascii="Titillium" w:hAnsi="Titillium"/>
          <w:sz w:val="18"/>
          <w:szCs w:val="18"/>
          <w:lang w:val="it-IT"/>
        </w:rPr>
        <w:t>.</w:t>
      </w:r>
      <w:bookmarkEnd w:id="1616"/>
      <w:r w:rsidRPr="009B6720">
        <w:rPr>
          <w:rFonts w:ascii="Titillium" w:hAnsi="Titillium"/>
          <w:sz w:val="18"/>
          <w:szCs w:val="18"/>
          <w:lang w:val="it-IT"/>
        </w:rPr>
        <w:t xml:space="preserve"> </w:t>
      </w:r>
    </w:p>
    <w:p w14:paraId="40F449D3" w14:textId="77777777" w:rsidR="006842EE" w:rsidRDefault="006842EE">
      <w:pPr>
        <w:spacing w:before="60" w:after="60"/>
        <w:rPr>
          <w:rFonts w:ascii="Titillium" w:hAnsi="Titillium" w:cs="Calibri"/>
          <w:b/>
          <w:i/>
          <w:sz w:val="18"/>
          <w:szCs w:val="18"/>
        </w:rPr>
      </w:pPr>
    </w:p>
    <w:p w14:paraId="76C0F9E4" w14:textId="0FF86A8E" w:rsidR="006842EE" w:rsidRDefault="008F2625">
      <w:pPr>
        <w:spacing w:before="60" w:after="60"/>
        <w:rPr>
          <w:rFonts w:ascii="Titillium" w:hAnsi="Titillium" w:cs="Calibri"/>
          <w:sz w:val="18"/>
          <w:szCs w:val="18"/>
        </w:rPr>
      </w:pPr>
      <w:r>
        <w:rPr>
          <w:rFonts w:ascii="Titillium" w:hAnsi="Titillium" w:cs="Calibri"/>
          <w:sz w:val="18"/>
          <w:szCs w:val="18"/>
        </w:rPr>
        <w:t>I requisiti indicati nella parte V dell’allegato II.12 di cui al p</w:t>
      </w:r>
      <w:r w:rsidR="000D0AB8">
        <w:rPr>
          <w:rFonts w:ascii="Titillium" w:hAnsi="Titillium" w:cs="Calibri"/>
          <w:sz w:val="18"/>
          <w:szCs w:val="18"/>
        </w:rPr>
        <w:t xml:space="preserve">aragrafo </w:t>
      </w:r>
      <w:r w:rsidR="00193A27">
        <w:rPr>
          <w:rFonts w:ascii="Titillium" w:hAnsi="Titillium" w:cs="Calibri"/>
          <w:sz w:val="18"/>
          <w:szCs w:val="18"/>
        </w:rPr>
        <w:t>6</w:t>
      </w:r>
      <w:r>
        <w:rPr>
          <w:rFonts w:ascii="Titillium" w:hAnsi="Titillium" w:cs="Calibri"/>
          <w:sz w:val="18"/>
          <w:szCs w:val="18"/>
        </w:rPr>
        <w:t xml:space="preserve">.1 lettera </w:t>
      </w:r>
      <w:r w:rsidR="00BA548A">
        <w:rPr>
          <w:rFonts w:ascii="Titillium" w:hAnsi="Titillium" w:cs="Calibri"/>
          <w:sz w:val="18"/>
          <w:szCs w:val="18"/>
        </w:rPr>
        <w:t>a</w:t>
      </w:r>
      <w:r>
        <w:rPr>
          <w:rFonts w:ascii="Titillium" w:hAnsi="Titillium" w:cs="Calibri"/>
          <w:sz w:val="18"/>
          <w:szCs w:val="18"/>
        </w:rPr>
        <w:t>) devono essere posseduti:</w:t>
      </w:r>
    </w:p>
    <w:p w14:paraId="643FA2A7" w14:textId="05B43BA7" w:rsidR="006842EE" w:rsidRPr="003F7744" w:rsidRDefault="008F2625" w:rsidP="00D26F03">
      <w:pPr>
        <w:pStyle w:val="Paragrafoelenco"/>
        <w:numPr>
          <w:ilvl w:val="0"/>
          <w:numId w:val="31"/>
        </w:numPr>
        <w:spacing w:before="60" w:after="60"/>
        <w:ind w:left="426"/>
        <w:rPr>
          <w:rFonts w:ascii="Titillium" w:hAnsi="Titillium" w:cs="Calibri"/>
          <w:sz w:val="18"/>
          <w:szCs w:val="18"/>
        </w:rPr>
      </w:pPr>
      <w:r w:rsidRPr="003F7744">
        <w:rPr>
          <w:rFonts w:ascii="Titillium" w:hAnsi="Titillium" w:cs="Calibri"/>
          <w:sz w:val="18"/>
          <w:szCs w:val="18"/>
        </w:rPr>
        <w:t xml:space="preserve">per i consorzi </w:t>
      </w:r>
      <w:r w:rsidR="00AE2864" w:rsidRPr="00291754">
        <w:rPr>
          <w:rFonts w:ascii="Titillium" w:hAnsi="Titillium" w:cs="Calibri"/>
          <w:sz w:val="18"/>
          <w:szCs w:val="18"/>
        </w:rPr>
        <w:t xml:space="preserve">stabili </w:t>
      </w:r>
      <w:r w:rsidRPr="00291754">
        <w:rPr>
          <w:rFonts w:ascii="Titillium" w:hAnsi="Titillium" w:cs="Calibri"/>
          <w:sz w:val="18"/>
          <w:szCs w:val="18"/>
        </w:rPr>
        <w:t>di</w:t>
      </w:r>
      <w:r w:rsidRPr="003F7744">
        <w:rPr>
          <w:rFonts w:ascii="Titillium" w:hAnsi="Titillium" w:cs="Calibri"/>
          <w:sz w:val="18"/>
          <w:szCs w:val="18"/>
        </w:rPr>
        <w:t xml:space="preserve"> società di professionisti e di società di ingegneria</w:t>
      </w:r>
      <w:r w:rsidR="00A4151F">
        <w:rPr>
          <w:rFonts w:ascii="Titillium" w:hAnsi="Titillium" w:cs="Calibri"/>
          <w:sz w:val="18"/>
          <w:szCs w:val="18"/>
        </w:rPr>
        <w:t>,</w:t>
      </w:r>
      <w:r w:rsidR="00AE2864" w:rsidRPr="00AE2864">
        <w:t xml:space="preserve"> </w:t>
      </w:r>
      <w:r w:rsidRPr="003F7744">
        <w:rPr>
          <w:rFonts w:ascii="Titillium" w:hAnsi="Titillium" w:cs="Calibri"/>
          <w:sz w:val="18"/>
          <w:szCs w:val="18"/>
        </w:rPr>
        <w:t>dalle consorziate</w:t>
      </w:r>
      <w:r w:rsidR="00AE2864">
        <w:rPr>
          <w:rFonts w:ascii="Titillium" w:hAnsi="Titillium" w:cs="Calibri"/>
          <w:sz w:val="18"/>
          <w:szCs w:val="18"/>
        </w:rPr>
        <w:t xml:space="preserve"> </w:t>
      </w:r>
      <w:r w:rsidRPr="003F7744">
        <w:rPr>
          <w:rFonts w:ascii="Titillium" w:hAnsi="Titillium" w:cs="Calibri"/>
          <w:sz w:val="18"/>
          <w:szCs w:val="18"/>
        </w:rPr>
        <w:t>secondo quanto indicato all’articolo 38 del citato allegato.</w:t>
      </w:r>
    </w:p>
    <w:p w14:paraId="784FC033" w14:textId="77777777" w:rsidR="006842EE" w:rsidRPr="003F7744" w:rsidRDefault="008F2625" w:rsidP="00D26F03">
      <w:pPr>
        <w:pStyle w:val="Paragrafoelenco"/>
        <w:numPr>
          <w:ilvl w:val="0"/>
          <w:numId w:val="31"/>
        </w:numPr>
        <w:spacing w:before="60" w:after="60"/>
        <w:ind w:left="426"/>
        <w:rPr>
          <w:rFonts w:ascii="Titillium" w:hAnsi="Titillium" w:cs="Calibri"/>
          <w:sz w:val="18"/>
          <w:szCs w:val="18"/>
        </w:rPr>
      </w:pPr>
      <w:r w:rsidRPr="003F7744">
        <w:rPr>
          <w:rFonts w:ascii="Titillium" w:hAnsi="Titillium" w:cs="Calibri"/>
          <w:sz w:val="18"/>
          <w:szCs w:val="18"/>
        </w:rPr>
        <w:t>per i consorzi di professionisti, dai consorziati secondo quanto indicato all’articolo 34 del citato allegato.</w:t>
      </w:r>
    </w:p>
    <w:p w14:paraId="268D5512" w14:textId="34F6E815" w:rsidR="006842EE" w:rsidRDefault="008F2625">
      <w:pPr>
        <w:spacing w:before="60" w:after="60"/>
        <w:rPr>
          <w:rFonts w:ascii="Titillium" w:hAnsi="Titillium" w:cs="Calibri"/>
          <w:sz w:val="18"/>
          <w:szCs w:val="18"/>
        </w:rPr>
      </w:pPr>
      <w:r>
        <w:rPr>
          <w:rFonts w:ascii="Titillium" w:hAnsi="Titillium" w:cs="Calibri"/>
          <w:sz w:val="18"/>
          <w:szCs w:val="18"/>
        </w:rPr>
        <w:t>Il requisito relativo all’iscrizione nel registro tenuto dalla Camera di commercio industria, artigianato e agricoltura di cui al p</w:t>
      </w:r>
      <w:r w:rsidR="000D0AB8">
        <w:rPr>
          <w:rFonts w:ascii="Titillium" w:hAnsi="Titillium" w:cs="Calibri"/>
          <w:sz w:val="18"/>
          <w:szCs w:val="18"/>
        </w:rPr>
        <w:t>aragrafo 6</w:t>
      </w:r>
      <w:r>
        <w:rPr>
          <w:rFonts w:ascii="Titillium" w:hAnsi="Titillium" w:cs="Calibri"/>
          <w:sz w:val="18"/>
          <w:szCs w:val="18"/>
        </w:rPr>
        <w:t xml:space="preserve">.1 lettera </w:t>
      </w:r>
      <w:r w:rsidR="00BA548A">
        <w:rPr>
          <w:rFonts w:ascii="Titillium" w:hAnsi="Titillium" w:cs="Calibri"/>
          <w:sz w:val="18"/>
          <w:szCs w:val="18"/>
        </w:rPr>
        <w:t>b</w:t>
      </w:r>
      <w:r>
        <w:rPr>
          <w:rFonts w:ascii="Titillium" w:hAnsi="Titillium" w:cs="Calibri"/>
          <w:sz w:val="18"/>
          <w:szCs w:val="18"/>
        </w:rPr>
        <w:t>) deve essere posseduto dal consorzio e dalle società consorziate indicate come esecutrici.</w:t>
      </w:r>
    </w:p>
    <w:p w14:paraId="170566CA" w14:textId="01CDEA27" w:rsidR="006842EE" w:rsidRDefault="008F2625">
      <w:pPr>
        <w:spacing w:before="60" w:after="60"/>
      </w:pPr>
      <w:r>
        <w:rPr>
          <w:rFonts w:ascii="Titillium" w:hAnsi="Titillium" w:cs="Calibri"/>
          <w:sz w:val="18"/>
          <w:szCs w:val="18"/>
        </w:rPr>
        <w:t>Il requisito di cui al p</w:t>
      </w:r>
      <w:r w:rsidR="000D0AB8">
        <w:rPr>
          <w:rFonts w:ascii="Titillium" w:hAnsi="Titillium" w:cs="Calibri"/>
          <w:sz w:val="18"/>
          <w:szCs w:val="18"/>
        </w:rPr>
        <w:t xml:space="preserve">aragrafo </w:t>
      </w:r>
      <w:r w:rsidR="00AE2864">
        <w:rPr>
          <w:rFonts w:ascii="Titillium" w:hAnsi="Titillium" w:cs="Calibri"/>
          <w:sz w:val="18"/>
          <w:szCs w:val="18"/>
        </w:rPr>
        <w:t>6</w:t>
      </w:r>
      <w:r>
        <w:rPr>
          <w:rFonts w:ascii="Titillium" w:hAnsi="Titillium" w:cs="Calibri"/>
          <w:sz w:val="18"/>
          <w:szCs w:val="18"/>
        </w:rPr>
        <w:t xml:space="preserve">.1 lettera </w:t>
      </w:r>
      <w:r w:rsidR="00BA548A">
        <w:rPr>
          <w:rFonts w:ascii="Titillium" w:hAnsi="Titillium" w:cs="Calibri"/>
          <w:sz w:val="18"/>
          <w:szCs w:val="18"/>
        </w:rPr>
        <w:t>c</w:t>
      </w:r>
      <w:r>
        <w:rPr>
          <w:rFonts w:ascii="Titillium" w:hAnsi="Titillium" w:cs="Calibri"/>
          <w:sz w:val="18"/>
          <w:szCs w:val="18"/>
        </w:rPr>
        <w:t xml:space="preserve">), relativo all’iscrizione </w:t>
      </w:r>
      <w:r w:rsidRPr="00945161">
        <w:rPr>
          <w:rFonts w:ascii="Titillium" w:hAnsi="Titillium" w:cs="Calibri"/>
          <w:sz w:val="18"/>
          <w:szCs w:val="18"/>
        </w:rPr>
        <w:t>all’Albo è posseduto dai professionisti che nel gruppo di lavoro sono incaricati dell’esecuzione delle prestazioni oggetto dell’appalto e da tutti i progettisti che partecipano alla progettazione con riferimento alle attività effettivamente svolte e alla professionalità specifica.</w:t>
      </w:r>
    </w:p>
    <w:p w14:paraId="4544FF4A" w14:textId="77777777" w:rsidR="006842EE" w:rsidRDefault="006842EE">
      <w:pPr>
        <w:spacing w:before="60" w:after="60"/>
        <w:rPr>
          <w:rFonts w:ascii="Titillium" w:hAnsi="Titillium" w:cs="Calibri"/>
          <w:sz w:val="18"/>
          <w:szCs w:val="18"/>
        </w:rPr>
      </w:pPr>
    </w:p>
    <w:p w14:paraId="0302A4A9" w14:textId="7D53E69F" w:rsidR="006842EE" w:rsidRDefault="008F2625">
      <w:pPr>
        <w:spacing w:before="60" w:after="60"/>
        <w:rPr>
          <w:rFonts w:ascii="Titillium" w:hAnsi="Titillium" w:cs="Calibri"/>
          <w:sz w:val="18"/>
          <w:szCs w:val="18"/>
        </w:rPr>
      </w:pPr>
      <w:r w:rsidRPr="007E1E23">
        <w:rPr>
          <w:rFonts w:ascii="Titillium" w:hAnsi="Titillium" w:cs="Calibri"/>
          <w:b/>
          <w:iCs/>
          <w:sz w:val="18"/>
          <w:szCs w:val="18"/>
        </w:rPr>
        <w:t>[</w:t>
      </w:r>
      <w:r w:rsidRPr="00771E4A">
        <w:rPr>
          <w:rFonts w:ascii="Titillium" w:hAnsi="Titillium" w:cs="Calibri"/>
          <w:b/>
          <w:i/>
          <w:sz w:val="18"/>
          <w:szCs w:val="18"/>
        </w:rPr>
        <w:t>In caso di affidamento di incarichi di coordinatore della sicurezza</w:t>
      </w:r>
      <w:r w:rsidRPr="007E1E23">
        <w:rPr>
          <w:rFonts w:ascii="Titillium" w:hAnsi="Titillium" w:cs="Calibri"/>
          <w:b/>
          <w:iCs/>
          <w:sz w:val="18"/>
          <w:szCs w:val="18"/>
        </w:rPr>
        <w:t>]</w:t>
      </w:r>
      <w:r>
        <w:rPr>
          <w:rFonts w:ascii="Titillium" w:hAnsi="Titillium" w:cs="Calibri"/>
          <w:sz w:val="18"/>
          <w:szCs w:val="18"/>
        </w:rPr>
        <w:t xml:space="preserve"> Il requisito di cui al p</w:t>
      </w:r>
      <w:r w:rsidR="000D0AB8">
        <w:rPr>
          <w:rFonts w:ascii="Titillium" w:hAnsi="Titillium" w:cs="Calibri"/>
          <w:sz w:val="18"/>
          <w:szCs w:val="18"/>
        </w:rPr>
        <w:t xml:space="preserve">aragrafo </w:t>
      </w:r>
      <w:r w:rsidR="00AE2864">
        <w:rPr>
          <w:rFonts w:ascii="Titillium" w:hAnsi="Titillium" w:cs="Calibri"/>
          <w:sz w:val="18"/>
          <w:szCs w:val="18"/>
        </w:rPr>
        <w:t>6</w:t>
      </w:r>
      <w:r>
        <w:rPr>
          <w:rFonts w:ascii="Titillium" w:hAnsi="Titillium" w:cs="Calibri"/>
          <w:sz w:val="18"/>
          <w:szCs w:val="18"/>
        </w:rPr>
        <w:t xml:space="preserve">.1 lettera </w:t>
      </w:r>
      <w:r w:rsidR="00BA548A">
        <w:rPr>
          <w:rFonts w:ascii="Titillium" w:hAnsi="Titillium" w:cs="Calibri"/>
          <w:sz w:val="18"/>
          <w:szCs w:val="18"/>
        </w:rPr>
        <w:t>d</w:t>
      </w:r>
      <w:r>
        <w:rPr>
          <w:rFonts w:ascii="Titillium" w:hAnsi="Titillium" w:cs="Calibri"/>
          <w:sz w:val="18"/>
          <w:szCs w:val="18"/>
        </w:rPr>
        <w:t>) relativo all’abilitazione di cui all’articolo 98 del decreto legislativo 81/2008 è posseduto dai professionisti che nel gruppo di lavoro sono indicati come incaricati della prestazione di coordinamento della sicurezza.</w:t>
      </w:r>
    </w:p>
    <w:p w14:paraId="4331DE9E" w14:textId="77777777" w:rsidR="00FF0BED" w:rsidRDefault="00FF0BED">
      <w:pPr>
        <w:spacing w:before="60" w:after="60"/>
        <w:rPr>
          <w:rFonts w:ascii="Titillium" w:hAnsi="Titillium" w:cs="Calibri"/>
          <w:b/>
          <w:i/>
          <w:sz w:val="18"/>
          <w:szCs w:val="18"/>
        </w:rPr>
      </w:pPr>
    </w:p>
    <w:p w14:paraId="15B7CE43" w14:textId="490BA75D" w:rsidR="00FF0BED" w:rsidRPr="00BA548A" w:rsidRDefault="00FF0BED">
      <w:pPr>
        <w:spacing w:before="60" w:after="60"/>
        <w:rPr>
          <w:rFonts w:ascii="Titillium" w:hAnsi="Titillium" w:cs="Calibri"/>
          <w:bCs/>
          <w:iCs/>
          <w:color w:val="000000" w:themeColor="text1"/>
          <w:sz w:val="18"/>
          <w:szCs w:val="18"/>
        </w:rPr>
      </w:pPr>
      <w:r w:rsidRPr="007E1E23">
        <w:rPr>
          <w:rFonts w:ascii="Titillium" w:hAnsi="Titillium" w:cs="Calibri"/>
          <w:b/>
          <w:iCs/>
          <w:color w:val="000000" w:themeColor="text1"/>
          <w:sz w:val="18"/>
          <w:szCs w:val="18"/>
        </w:rPr>
        <w:t>[</w:t>
      </w:r>
      <w:r w:rsidRPr="00771E4A">
        <w:rPr>
          <w:rFonts w:ascii="Titillium" w:hAnsi="Titillium" w:cs="Calibri"/>
          <w:b/>
          <w:i/>
          <w:color w:val="000000" w:themeColor="text1"/>
          <w:sz w:val="18"/>
          <w:szCs w:val="18"/>
        </w:rPr>
        <w:t>In caso sia richiesta la relazione geologica</w:t>
      </w:r>
      <w:r w:rsidRPr="007E1E23">
        <w:rPr>
          <w:rFonts w:ascii="Titillium" w:hAnsi="Titillium" w:cs="Calibri"/>
          <w:b/>
          <w:iCs/>
          <w:color w:val="000000" w:themeColor="text1"/>
          <w:sz w:val="18"/>
          <w:szCs w:val="18"/>
        </w:rPr>
        <w:t>]</w:t>
      </w:r>
      <w:r w:rsidRPr="00D40682">
        <w:rPr>
          <w:rFonts w:ascii="Titillium" w:hAnsi="Titillium" w:cs="Calibri"/>
          <w:b/>
          <w:i/>
          <w:color w:val="000000" w:themeColor="text1"/>
          <w:sz w:val="18"/>
          <w:szCs w:val="18"/>
        </w:rPr>
        <w:t xml:space="preserve"> </w:t>
      </w:r>
      <w:r w:rsidRPr="00BA548A">
        <w:rPr>
          <w:rFonts w:ascii="Titillium" w:hAnsi="Titillium" w:cs="Calibri"/>
          <w:bCs/>
          <w:iCs/>
          <w:color w:val="000000" w:themeColor="text1"/>
          <w:sz w:val="18"/>
          <w:szCs w:val="18"/>
        </w:rPr>
        <w:t>Il requisito di cui al p</w:t>
      </w:r>
      <w:r w:rsidR="000D0AB8">
        <w:rPr>
          <w:rFonts w:ascii="Titillium" w:hAnsi="Titillium" w:cs="Calibri"/>
          <w:bCs/>
          <w:iCs/>
          <w:color w:val="000000" w:themeColor="text1"/>
          <w:sz w:val="18"/>
          <w:szCs w:val="18"/>
        </w:rPr>
        <w:t xml:space="preserve">aragrafo </w:t>
      </w:r>
      <w:r w:rsidR="00AE2864">
        <w:rPr>
          <w:rFonts w:ascii="Titillium" w:hAnsi="Titillium" w:cs="Calibri"/>
          <w:bCs/>
          <w:iCs/>
          <w:color w:val="000000" w:themeColor="text1"/>
          <w:sz w:val="18"/>
          <w:szCs w:val="18"/>
        </w:rPr>
        <w:t>6</w:t>
      </w:r>
      <w:r w:rsidRPr="00BA548A">
        <w:rPr>
          <w:rFonts w:ascii="Titillium" w:hAnsi="Titillium" w:cs="Calibri"/>
          <w:bCs/>
          <w:iCs/>
          <w:color w:val="000000" w:themeColor="text1"/>
          <w:sz w:val="18"/>
          <w:szCs w:val="18"/>
        </w:rPr>
        <w:t xml:space="preserve">.1 lettera f) relativo all’iscrizione all’albo dei geologi è posseduto </w:t>
      </w:r>
      <w:r w:rsidR="00B20FC2" w:rsidRPr="00BA548A">
        <w:rPr>
          <w:rFonts w:ascii="Titillium" w:hAnsi="Titillium" w:cs="Calibri"/>
          <w:bCs/>
          <w:iCs/>
          <w:color w:val="000000" w:themeColor="text1"/>
          <w:sz w:val="18"/>
          <w:szCs w:val="18"/>
        </w:rPr>
        <w:t>da</w:t>
      </w:r>
      <w:r w:rsidR="00B20FC2">
        <w:rPr>
          <w:rFonts w:ascii="Titillium" w:hAnsi="Titillium" w:cs="Calibri"/>
          <w:bCs/>
          <w:iCs/>
          <w:color w:val="000000" w:themeColor="text1"/>
          <w:sz w:val="18"/>
          <w:szCs w:val="18"/>
        </w:rPr>
        <w:t>i professionisti</w:t>
      </w:r>
      <w:r w:rsidRPr="00BA548A">
        <w:rPr>
          <w:rFonts w:ascii="Titillium" w:hAnsi="Titillium" w:cs="Calibri"/>
          <w:bCs/>
          <w:iCs/>
          <w:color w:val="000000" w:themeColor="text1"/>
          <w:sz w:val="18"/>
          <w:szCs w:val="18"/>
        </w:rPr>
        <w:t xml:space="preserve"> che nel gruppo di lavoro sono indicati come incaricati della relazione geologica.</w:t>
      </w:r>
    </w:p>
    <w:p w14:paraId="34FF0F74" w14:textId="77777777" w:rsidR="00BA548A" w:rsidRDefault="00BA548A">
      <w:pPr>
        <w:spacing w:before="60" w:after="60"/>
        <w:rPr>
          <w:rFonts w:ascii="Titillium" w:hAnsi="Titillium" w:cs="Calibri"/>
          <w:b/>
          <w:i/>
          <w:sz w:val="18"/>
          <w:szCs w:val="18"/>
        </w:rPr>
      </w:pPr>
    </w:p>
    <w:p w14:paraId="481A996B" w14:textId="25A05773" w:rsidR="006842EE" w:rsidRDefault="00F84567">
      <w:pPr>
        <w:spacing w:before="60" w:after="60"/>
        <w:rPr>
          <w:rFonts w:ascii="Titillium" w:hAnsi="Titillium" w:cs="Calibri"/>
          <w:sz w:val="18"/>
          <w:szCs w:val="18"/>
        </w:rPr>
      </w:pPr>
      <w:r w:rsidDel="00F84567">
        <w:rPr>
          <w:rFonts w:ascii="Titillium" w:hAnsi="Titillium" w:cs="Calibri"/>
          <w:b/>
          <w:i/>
          <w:sz w:val="18"/>
          <w:szCs w:val="18"/>
        </w:rPr>
        <w:t xml:space="preserve"> </w:t>
      </w:r>
      <w:r w:rsidR="008F2625" w:rsidRPr="007E1E23">
        <w:rPr>
          <w:rFonts w:ascii="Titillium" w:hAnsi="Titillium" w:cs="Calibri"/>
          <w:b/>
          <w:iCs/>
          <w:sz w:val="18"/>
          <w:szCs w:val="18"/>
        </w:rPr>
        <w:t>[</w:t>
      </w:r>
      <w:r w:rsidR="008F2625" w:rsidRPr="00771E4A">
        <w:rPr>
          <w:rFonts w:ascii="Titillium" w:hAnsi="Titillium" w:cs="Calibri"/>
          <w:b/>
          <w:i/>
          <w:sz w:val="18"/>
          <w:szCs w:val="18"/>
        </w:rPr>
        <w:t>In caso sia richiesta l’abilitazione antincendio</w:t>
      </w:r>
      <w:r w:rsidR="008F2625" w:rsidRPr="007E1E23">
        <w:rPr>
          <w:rFonts w:ascii="Titillium" w:hAnsi="Titillium" w:cs="Calibri"/>
          <w:iCs/>
          <w:sz w:val="18"/>
          <w:szCs w:val="18"/>
        </w:rPr>
        <w:t>]</w:t>
      </w:r>
      <w:r w:rsidR="008F2625">
        <w:rPr>
          <w:rFonts w:ascii="Titillium" w:hAnsi="Titillium" w:cs="Calibri"/>
          <w:sz w:val="18"/>
          <w:szCs w:val="18"/>
        </w:rPr>
        <w:t xml:space="preserve"> Il requisito di cui al p</w:t>
      </w:r>
      <w:r w:rsidR="000D0AB8">
        <w:rPr>
          <w:rFonts w:ascii="Titillium" w:hAnsi="Titillium" w:cs="Calibri"/>
          <w:sz w:val="18"/>
          <w:szCs w:val="18"/>
        </w:rPr>
        <w:t xml:space="preserve">aragrafo </w:t>
      </w:r>
      <w:r w:rsidR="00AE2864">
        <w:rPr>
          <w:rFonts w:ascii="Titillium" w:hAnsi="Titillium" w:cs="Calibri"/>
          <w:sz w:val="18"/>
          <w:szCs w:val="18"/>
        </w:rPr>
        <w:t>6</w:t>
      </w:r>
      <w:r w:rsidR="008F2625">
        <w:rPr>
          <w:rFonts w:ascii="Titillium" w:hAnsi="Titillium" w:cs="Calibri"/>
          <w:sz w:val="18"/>
          <w:szCs w:val="18"/>
        </w:rPr>
        <w:t xml:space="preserve">.1 lettera </w:t>
      </w:r>
      <w:r w:rsidR="00BA548A">
        <w:rPr>
          <w:rFonts w:ascii="Titillium" w:hAnsi="Titillium" w:cs="Calibri"/>
          <w:sz w:val="18"/>
          <w:szCs w:val="18"/>
        </w:rPr>
        <w:t>e</w:t>
      </w:r>
      <w:r w:rsidR="008F2625">
        <w:rPr>
          <w:rFonts w:ascii="Titillium" w:hAnsi="Titillium" w:cs="Calibri"/>
          <w:sz w:val="18"/>
          <w:szCs w:val="18"/>
        </w:rPr>
        <w:t>) relativo all’iscrizione nell’elenco del Ministero dell’interno ai sensi dell’articolo 16 del decreto legislativo 139 del 8 marzo 2006 come professionista antincendio è posseduto dai professionisti che nel gruppo di lavoro sono indicati come incaricati del relativo servizio.</w:t>
      </w:r>
    </w:p>
    <w:p w14:paraId="75E0E6CF" w14:textId="77777777" w:rsidR="00FF0BED" w:rsidRDefault="00FF0BED">
      <w:pPr>
        <w:spacing w:before="60" w:after="60"/>
        <w:rPr>
          <w:rFonts w:ascii="Titillium" w:hAnsi="Titillium" w:cs="Calibri"/>
          <w:sz w:val="18"/>
          <w:szCs w:val="18"/>
        </w:rPr>
      </w:pPr>
    </w:p>
    <w:p w14:paraId="4C9586C8" w14:textId="1BC64D1F" w:rsidR="00FF0BED" w:rsidRPr="00D40682" w:rsidRDefault="0010025E" w:rsidP="00FF0BED">
      <w:pPr>
        <w:spacing w:before="60" w:after="60"/>
        <w:rPr>
          <w:rFonts w:ascii="Titillium" w:hAnsi="Titillium" w:cs="Calibri"/>
          <w:color w:val="000000" w:themeColor="text1"/>
          <w:sz w:val="18"/>
          <w:szCs w:val="18"/>
        </w:rPr>
      </w:pPr>
      <w:r w:rsidRPr="0010025E">
        <w:rPr>
          <w:rFonts w:ascii="Titillium" w:hAnsi="Titillium" w:cs="Calibri"/>
          <w:sz w:val="18"/>
          <w:szCs w:val="18"/>
        </w:rPr>
        <w:t>[</w:t>
      </w:r>
      <w:r w:rsidR="00FF0BED" w:rsidRPr="00771E4A">
        <w:rPr>
          <w:rFonts w:ascii="Titillium" w:hAnsi="Titillium" w:cs="Calibri"/>
          <w:b/>
          <w:bCs/>
          <w:i/>
          <w:iCs/>
          <w:color w:val="000000" w:themeColor="text1"/>
          <w:sz w:val="18"/>
          <w:szCs w:val="18"/>
        </w:rPr>
        <w:t xml:space="preserve">In caso sia richiesta l’iscrizione nell’elenco dei tecnici competenti in acustica presso il Ministero dell'ambiente e della </w:t>
      </w:r>
      <w:r w:rsidR="00AE2864" w:rsidRPr="00771E4A">
        <w:rPr>
          <w:rFonts w:ascii="Titillium" w:hAnsi="Titillium" w:cs="Calibri"/>
          <w:i/>
          <w:iCs/>
          <w:color w:val="000000" w:themeColor="text1"/>
          <w:sz w:val="18"/>
          <w:szCs w:val="18"/>
        </w:rPr>
        <w:t>sicurezza energetica</w:t>
      </w:r>
      <w:r w:rsidR="00FF0BED" w:rsidRPr="00291754">
        <w:rPr>
          <w:rFonts w:ascii="Titillium" w:hAnsi="Titillium" w:cs="Calibri"/>
          <w:color w:val="000000" w:themeColor="text1"/>
          <w:sz w:val="18"/>
          <w:szCs w:val="18"/>
        </w:rPr>
        <w:t xml:space="preserve">] </w:t>
      </w:r>
      <w:r w:rsidR="00034053" w:rsidRPr="00291754">
        <w:rPr>
          <w:rFonts w:ascii="Titillium" w:hAnsi="Titillium" w:cs="Calibri"/>
          <w:color w:val="000000" w:themeColor="text1"/>
          <w:sz w:val="18"/>
          <w:szCs w:val="18"/>
        </w:rPr>
        <w:t>Il</w:t>
      </w:r>
      <w:r w:rsidR="00034053" w:rsidRPr="00D40682">
        <w:rPr>
          <w:rFonts w:ascii="Titillium" w:hAnsi="Titillium" w:cs="Calibri"/>
          <w:color w:val="000000" w:themeColor="text1"/>
          <w:sz w:val="18"/>
          <w:szCs w:val="18"/>
        </w:rPr>
        <w:t xml:space="preserve"> </w:t>
      </w:r>
      <w:r w:rsidR="00FF0BED" w:rsidRPr="00D40682">
        <w:rPr>
          <w:rFonts w:ascii="Titillium" w:hAnsi="Titillium" w:cs="Calibri"/>
          <w:color w:val="000000" w:themeColor="text1"/>
          <w:sz w:val="18"/>
          <w:szCs w:val="18"/>
        </w:rPr>
        <w:t>requisito di cui al p</w:t>
      </w:r>
      <w:r w:rsidR="000D0AB8">
        <w:rPr>
          <w:rFonts w:ascii="Titillium" w:hAnsi="Titillium" w:cs="Calibri"/>
          <w:color w:val="000000" w:themeColor="text1"/>
          <w:sz w:val="18"/>
          <w:szCs w:val="18"/>
        </w:rPr>
        <w:t xml:space="preserve">aragrafo </w:t>
      </w:r>
      <w:r w:rsidR="00AE2864">
        <w:rPr>
          <w:rFonts w:ascii="Titillium" w:hAnsi="Titillium" w:cs="Calibri"/>
          <w:color w:val="000000" w:themeColor="text1"/>
          <w:sz w:val="18"/>
          <w:szCs w:val="18"/>
        </w:rPr>
        <w:t>6</w:t>
      </w:r>
      <w:r w:rsidR="00FF0BED" w:rsidRPr="00BA548A">
        <w:rPr>
          <w:rFonts w:ascii="Titillium" w:hAnsi="Titillium" w:cs="Calibri"/>
          <w:color w:val="000000" w:themeColor="text1"/>
          <w:sz w:val="18"/>
          <w:szCs w:val="18"/>
        </w:rPr>
        <w:t>.1</w:t>
      </w:r>
      <w:r w:rsidR="00FF0BED" w:rsidRPr="00D40682">
        <w:rPr>
          <w:rFonts w:ascii="Titillium" w:hAnsi="Titillium" w:cs="Calibri"/>
          <w:color w:val="000000" w:themeColor="text1"/>
          <w:sz w:val="18"/>
          <w:szCs w:val="18"/>
        </w:rPr>
        <w:t xml:space="preserve"> </w:t>
      </w:r>
      <w:r w:rsidR="0088198B" w:rsidRPr="00D40682">
        <w:rPr>
          <w:rFonts w:ascii="Titillium" w:hAnsi="Titillium" w:cs="Calibri"/>
          <w:color w:val="000000" w:themeColor="text1"/>
          <w:sz w:val="18"/>
          <w:szCs w:val="18"/>
        </w:rPr>
        <w:t>lettera</w:t>
      </w:r>
      <w:r w:rsidR="00FF0BED" w:rsidRPr="00D40682">
        <w:rPr>
          <w:rFonts w:ascii="Titillium" w:hAnsi="Titillium" w:cs="Calibri"/>
          <w:color w:val="000000" w:themeColor="text1"/>
          <w:sz w:val="18"/>
          <w:szCs w:val="18"/>
        </w:rPr>
        <w:t xml:space="preserve"> g) è posseduto dai professionisti che nel gruppo di lavoro sono incaricati dell’attività di progettazione acustica  </w:t>
      </w:r>
    </w:p>
    <w:p w14:paraId="4BDB0955" w14:textId="14F04246" w:rsidR="00FF0BED" w:rsidRDefault="00FF0BED">
      <w:pPr>
        <w:spacing w:before="60" w:after="60"/>
        <w:rPr>
          <w:rFonts w:ascii="Titillium" w:hAnsi="Titillium" w:cs="Calibri"/>
          <w:color w:val="000000" w:themeColor="text1"/>
          <w:sz w:val="18"/>
          <w:szCs w:val="18"/>
        </w:rPr>
      </w:pPr>
      <w:r w:rsidRPr="00D40682">
        <w:rPr>
          <w:rFonts w:ascii="Titillium" w:hAnsi="Titillium" w:cs="Calibri"/>
          <w:color w:val="000000" w:themeColor="text1"/>
          <w:sz w:val="18"/>
          <w:szCs w:val="18"/>
        </w:rPr>
        <w:t>[</w:t>
      </w:r>
      <w:r w:rsidRPr="00771E4A">
        <w:rPr>
          <w:rFonts w:ascii="Titillium" w:hAnsi="Titillium" w:cs="Calibri"/>
          <w:b/>
          <w:bCs/>
          <w:i/>
          <w:iCs/>
          <w:color w:val="000000" w:themeColor="text1"/>
          <w:sz w:val="18"/>
          <w:szCs w:val="18"/>
        </w:rPr>
        <w:t>nel caso sia richiesta l’adozione della metodologia BIM</w:t>
      </w:r>
      <w:r w:rsidRPr="00D40682">
        <w:rPr>
          <w:rFonts w:ascii="Titillium" w:hAnsi="Titillium" w:cs="Calibri"/>
          <w:color w:val="000000" w:themeColor="text1"/>
          <w:sz w:val="18"/>
          <w:szCs w:val="18"/>
        </w:rPr>
        <w:t xml:space="preserve">] </w:t>
      </w:r>
      <w:r w:rsidR="00771E4A" w:rsidRPr="00771E4A">
        <w:rPr>
          <w:rFonts w:ascii="Titillium" w:hAnsi="Titillium" w:cs="Calibri"/>
          <w:color w:val="000000" w:themeColor="text1"/>
          <w:sz w:val="18"/>
          <w:szCs w:val="18"/>
        </w:rPr>
        <w:t>Il requisito di cui al p</w:t>
      </w:r>
      <w:r w:rsidR="000D0AB8">
        <w:rPr>
          <w:rFonts w:ascii="Titillium" w:hAnsi="Titillium" w:cs="Calibri"/>
          <w:color w:val="000000" w:themeColor="text1"/>
          <w:sz w:val="18"/>
          <w:szCs w:val="18"/>
        </w:rPr>
        <w:t xml:space="preserve">aragrafo </w:t>
      </w:r>
      <w:r w:rsidR="00771E4A" w:rsidRPr="00771E4A">
        <w:rPr>
          <w:rFonts w:ascii="Titillium" w:hAnsi="Titillium" w:cs="Calibri"/>
          <w:color w:val="000000" w:themeColor="text1"/>
          <w:sz w:val="18"/>
          <w:szCs w:val="18"/>
        </w:rPr>
        <w:t>6.1 lettera h) è posseduto dal professionista che nel gruppo di lavoro svolge l’incarico di BIM Manager, quello di cui al p</w:t>
      </w:r>
      <w:r w:rsidR="000D0AB8">
        <w:rPr>
          <w:rFonts w:ascii="Titillium" w:hAnsi="Titillium" w:cs="Calibri"/>
          <w:color w:val="000000" w:themeColor="text1"/>
          <w:sz w:val="18"/>
          <w:szCs w:val="18"/>
        </w:rPr>
        <w:t>aragrafo</w:t>
      </w:r>
      <w:r w:rsidR="00771E4A" w:rsidRPr="00771E4A">
        <w:rPr>
          <w:rFonts w:ascii="Titillium" w:hAnsi="Titillium" w:cs="Calibri"/>
          <w:color w:val="000000" w:themeColor="text1"/>
          <w:sz w:val="18"/>
          <w:szCs w:val="18"/>
        </w:rPr>
        <w:t xml:space="preserve"> 6.1 lettera i) dal professionista che nel gruppo svolge l’incarico di BIM Coordinator, quello di cui al p</w:t>
      </w:r>
      <w:r w:rsidR="000D0AB8">
        <w:rPr>
          <w:rFonts w:ascii="Titillium" w:hAnsi="Titillium" w:cs="Calibri"/>
          <w:color w:val="000000" w:themeColor="text1"/>
          <w:sz w:val="18"/>
          <w:szCs w:val="18"/>
        </w:rPr>
        <w:t xml:space="preserve">aragrafo </w:t>
      </w:r>
      <w:r w:rsidR="00771E4A" w:rsidRPr="00771E4A">
        <w:rPr>
          <w:rFonts w:ascii="Titillium" w:hAnsi="Titillium" w:cs="Calibri"/>
          <w:color w:val="000000" w:themeColor="text1"/>
          <w:sz w:val="18"/>
          <w:szCs w:val="18"/>
        </w:rPr>
        <w:t>6.1 lettera j) dal professionista che nel gruppo svolge l’incarico di BIM Specialist, quello di cui al p</w:t>
      </w:r>
      <w:r w:rsidR="000D0AB8">
        <w:rPr>
          <w:rFonts w:ascii="Titillium" w:hAnsi="Titillium" w:cs="Calibri"/>
          <w:color w:val="000000" w:themeColor="text1"/>
          <w:sz w:val="18"/>
          <w:szCs w:val="18"/>
        </w:rPr>
        <w:t xml:space="preserve">aragrafo </w:t>
      </w:r>
      <w:r w:rsidR="00771E4A" w:rsidRPr="00771E4A">
        <w:rPr>
          <w:rFonts w:ascii="Titillium" w:hAnsi="Titillium" w:cs="Calibri"/>
          <w:color w:val="000000" w:themeColor="text1"/>
          <w:sz w:val="18"/>
          <w:szCs w:val="18"/>
        </w:rPr>
        <w:t>6.1 lettera k) dal professionista che nel gruppo svolge l’incarico di CDE manager.</w:t>
      </w:r>
    </w:p>
    <w:p w14:paraId="2F87C911" w14:textId="77777777" w:rsidR="00771E4A" w:rsidRDefault="00771E4A">
      <w:pPr>
        <w:spacing w:before="60" w:after="60"/>
        <w:rPr>
          <w:rFonts w:ascii="Titillium" w:hAnsi="Titillium" w:cs="Calibri"/>
          <w:sz w:val="18"/>
          <w:szCs w:val="18"/>
        </w:rPr>
      </w:pPr>
    </w:p>
    <w:p w14:paraId="27EEF16D" w14:textId="77777777" w:rsidR="006842EE" w:rsidRDefault="008F2625">
      <w:pPr>
        <w:spacing w:before="60" w:after="60"/>
        <w:rPr>
          <w:rFonts w:ascii="Titillium" w:hAnsi="Titillium" w:cs="Calibri"/>
          <w:b/>
          <w:sz w:val="18"/>
          <w:szCs w:val="18"/>
        </w:rPr>
      </w:pPr>
      <w:r>
        <w:rPr>
          <w:rFonts w:ascii="Titillium" w:hAnsi="Titillium" w:cs="Calibri"/>
          <w:b/>
          <w:sz w:val="18"/>
          <w:szCs w:val="18"/>
        </w:rPr>
        <w:t>Requisiti di capacità economico finanziaria e tecnico</w:t>
      </w:r>
      <w:r>
        <w:rPr>
          <w:rFonts w:ascii="Cambria Math" w:hAnsi="Cambria Math" w:cs="Cambria Math"/>
          <w:b/>
          <w:sz w:val="18"/>
          <w:szCs w:val="18"/>
        </w:rPr>
        <w:t>‐</w:t>
      </w:r>
      <w:r>
        <w:rPr>
          <w:rFonts w:ascii="Titillium" w:hAnsi="Titillium" w:cs="Calibri"/>
          <w:b/>
          <w:sz w:val="18"/>
          <w:szCs w:val="18"/>
        </w:rPr>
        <w:t>professionale</w:t>
      </w:r>
    </w:p>
    <w:p w14:paraId="14B0A091" w14:textId="647BA4F5" w:rsidR="006842EE" w:rsidRPr="007E1E23" w:rsidRDefault="008F2625">
      <w:pPr>
        <w:spacing w:before="60" w:after="60"/>
        <w:rPr>
          <w:rFonts w:ascii="Titillium" w:hAnsi="Titillium" w:cs="Calibri"/>
          <w:b/>
          <w:iCs/>
          <w:sz w:val="18"/>
          <w:szCs w:val="18"/>
        </w:rPr>
      </w:pPr>
      <w:r w:rsidRPr="007E1E23">
        <w:rPr>
          <w:rFonts w:ascii="Titillium" w:hAnsi="Titillium" w:cs="Calibri"/>
          <w:b/>
          <w:iCs/>
          <w:sz w:val="18"/>
          <w:szCs w:val="18"/>
        </w:rPr>
        <w:t>[</w:t>
      </w:r>
      <w:r w:rsidRPr="00771E4A">
        <w:rPr>
          <w:rFonts w:ascii="Titillium" w:hAnsi="Titillium" w:cs="Calibri"/>
          <w:b/>
          <w:i/>
          <w:sz w:val="18"/>
          <w:szCs w:val="18"/>
        </w:rPr>
        <w:t>Se richiesti requisiti di capacità economica e finanziaria/tecnica e professionale di cui ai p</w:t>
      </w:r>
      <w:r w:rsidR="000D0AB8">
        <w:rPr>
          <w:rFonts w:ascii="Titillium" w:hAnsi="Titillium" w:cs="Calibri"/>
          <w:b/>
          <w:i/>
          <w:sz w:val="18"/>
          <w:szCs w:val="18"/>
        </w:rPr>
        <w:t xml:space="preserve">aragrafi </w:t>
      </w:r>
      <w:r w:rsidR="00AE2864" w:rsidRPr="00771E4A">
        <w:rPr>
          <w:rFonts w:ascii="Titillium" w:hAnsi="Titillium" w:cs="Calibri"/>
          <w:b/>
          <w:i/>
          <w:sz w:val="18"/>
          <w:szCs w:val="18"/>
        </w:rPr>
        <w:t>6</w:t>
      </w:r>
      <w:r w:rsidRPr="00771E4A">
        <w:rPr>
          <w:rFonts w:ascii="Titillium" w:hAnsi="Titillium" w:cs="Calibri"/>
          <w:b/>
          <w:i/>
          <w:sz w:val="18"/>
          <w:szCs w:val="18"/>
        </w:rPr>
        <w:t xml:space="preserve">.2 e </w:t>
      </w:r>
      <w:r w:rsidR="00AE2864" w:rsidRPr="00771E4A">
        <w:rPr>
          <w:rFonts w:ascii="Titillium" w:hAnsi="Titillium" w:cs="Calibri"/>
          <w:b/>
          <w:i/>
          <w:sz w:val="18"/>
          <w:szCs w:val="18"/>
        </w:rPr>
        <w:t>6</w:t>
      </w:r>
      <w:r w:rsidRPr="00771E4A">
        <w:rPr>
          <w:rFonts w:ascii="Titillium" w:hAnsi="Titillium" w:cs="Calibri"/>
          <w:b/>
          <w:i/>
          <w:sz w:val="18"/>
          <w:szCs w:val="18"/>
        </w:rPr>
        <w:t>.3</w:t>
      </w:r>
      <w:r w:rsidRPr="007E1E23">
        <w:rPr>
          <w:rFonts w:ascii="Titillium" w:hAnsi="Titillium" w:cs="Calibri"/>
          <w:b/>
          <w:iCs/>
          <w:sz w:val="18"/>
          <w:szCs w:val="18"/>
        </w:rPr>
        <w:t>]</w:t>
      </w:r>
    </w:p>
    <w:p w14:paraId="18F5517D" w14:textId="5965FE8D" w:rsidR="006842EE" w:rsidRDefault="008F2625">
      <w:pPr>
        <w:spacing w:before="60" w:after="60"/>
        <w:rPr>
          <w:rFonts w:ascii="Titillium" w:hAnsi="Titillium" w:cs="Calibri"/>
          <w:sz w:val="18"/>
          <w:szCs w:val="18"/>
        </w:rPr>
      </w:pPr>
      <w:r>
        <w:rPr>
          <w:rFonts w:ascii="Titillium" w:hAnsi="Titillium" w:cs="Calibri"/>
          <w:sz w:val="18"/>
          <w:szCs w:val="18"/>
        </w:rPr>
        <w:t xml:space="preserve">I requisiti di capacità tecnica e finanziaria, ai sensi dell’articolo 67 comma </w:t>
      </w:r>
      <w:r w:rsidR="00CA354F">
        <w:rPr>
          <w:rFonts w:ascii="Titillium" w:hAnsi="Titillium" w:cs="Calibri"/>
          <w:sz w:val="18"/>
          <w:szCs w:val="18"/>
        </w:rPr>
        <w:t xml:space="preserve">1 </w:t>
      </w:r>
      <w:r>
        <w:rPr>
          <w:rFonts w:ascii="Titillium" w:hAnsi="Titillium" w:cs="Calibri"/>
          <w:sz w:val="18"/>
          <w:szCs w:val="18"/>
        </w:rPr>
        <w:t>lettera a) del Codice, sono computati cumulativamente in capo al consorzio stabile ex articolo 66 comma 1 lettera g) ancorché posseduti dalle singole imprese consorziate</w:t>
      </w:r>
      <w:r w:rsidR="00AE2864">
        <w:rPr>
          <w:rFonts w:ascii="Titillium" w:hAnsi="Titillium" w:cs="Calibri"/>
          <w:sz w:val="18"/>
          <w:szCs w:val="18"/>
        </w:rPr>
        <w:t>.</w:t>
      </w:r>
    </w:p>
    <w:p w14:paraId="1643DE5D" w14:textId="77777777" w:rsidR="006842EE" w:rsidRDefault="008F2625">
      <w:pPr>
        <w:spacing w:before="60" w:after="60"/>
        <w:rPr>
          <w:rFonts w:ascii="Titillium" w:hAnsi="Titillium" w:cs="Calibri"/>
          <w:sz w:val="18"/>
          <w:szCs w:val="18"/>
        </w:rPr>
      </w:pPr>
      <w:r>
        <w:rPr>
          <w:rFonts w:ascii="Titillium" w:hAnsi="Titillium" w:cs="Calibri"/>
          <w:sz w:val="18"/>
          <w:szCs w:val="18"/>
        </w:rPr>
        <w:t>Nel caso in cui un consorzio abbia estromesso o sostituito una consorziata poiché priva di un requisito di ordine speciale di cui all’articolo 100 del Codice, si valutano le misure adottate ai sensi dell’articolo 97 del Codice al fine di decidere sull’esclusione.</w:t>
      </w:r>
    </w:p>
    <w:p w14:paraId="2BCEEB33" w14:textId="77777777" w:rsidR="006842EE" w:rsidRDefault="008F2625" w:rsidP="00D26F03">
      <w:pPr>
        <w:pStyle w:val="Titolo2"/>
        <w:numPr>
          <w:ilvl w:val="0"/>
          <w:numId w:val="54"/>
        </w:numPr>
        <w:ind w:left="357" w:hanging="357"/>
        <w:rPr>
          <w:rFonts w:ascii="Titillium" w:hAnsi="Titillium"/>
          <w:caps w:val="0"/>
          <w:sz w:val="18"/>
          <w:szCs w:val="18"/>
        </w:rPr>
      </w:pPr>
      <w:bookmarkStart w:id="1617" w:name="_Toc497728151"/>
      <w:bookmarkStart w:id="1618" w:name="_Toc497484953"/>
      <w:bookmarkStart w:id="1619" w:name="_Toc494359032"/>
      <w:bookmarkStart w:id="1620" w:name="_Toc494358983"/>
      <w:bookmarkStart w:id="1621" w:name="_Toc498419744"/>
      <w:bookmarkStart w:id="1622" w:name="_Toc497831546"/>
      <w:bookmarkStart w:id="1623" w:name="_Toc227921630"/>
      <w:bookmarkEnd w:id="1617"/>
      <w:bookmarkEnd w:id="1618"/>
      <w:bookmarkEnd w:id="1619"/>
      <w:bookmarkEnd w:id="1620"/>
      <w:bookmarkEnd w:id="1621"/>
      <w:bookmarkEnd w:id="1622"/>
      <w:r w:rsidRPr="00B544E7">
        <w:rPr>
          <w:rFonts w:ascii="Titillium" w:hAnsi="Titillium"/>
          <w:caps w:val="0"/>
          <w:sz w:val="18"/>
          <w:szCs w:val="18"/>
        </w:rPr>
        <w:t>AVVALIMENTO</w:t>
      </w:r>
      <w:bookmarkEnd w:id="1623"/>
      <w:r w:rsidRPr="00B544E7">
        <w:rPr>
          <w:rFonts w:ascii="Titillium" w:hAnsi="Titillium"/>
          <w:caps w:val="0"/>
          <w:sz w:val="18"/>
          <w:szCs w:val="18"/>
        </w:rPr>
        <w:t xml:space="preserve"> </w:t>
      </w:r>
    </w:p>
    <w:p w14:paraId="3C21DA12" w14:textId="472A6B1B" w:rsidR="006842EE" w:rsidRDefault="008F2625">
      <w:pPr>
        <w:tabs>
          <w:tab w:val="left" w:pos="0"/>
        </w:tabs>
        <w:spacing w:before="60" w:after="60"/>
        <w:rPr>
          <w:rFonts w:ascii="Titillium" w:hAnsi="Titillium" w:cs="Calibri"/>
          <w:sz w:val="18"/>
          <w:szCs w:val="18"/>
        </w:rPr>
      </w:pPr>
      <w:r>
        <w:rPr>
          <w:rFonts w:ascii="Titillium" w:hAnsi="Titillium" w:cs="Calibri"/>
          <w:sz w:val="18"/>
          <w:szCs w:val="18"/>
        </w:rPr>
        <w:t>l</w:t>
      </w:r>
      <w:r w:rsidR="002F691B">
        <w:rPr>
          <w:rFonts w:ascii="Titillium" w:hAnsi="Titillium" w:cs="Calibri"/>
          <w:sz w:val="18"/>
          <w:szCs w:val="18"/>
        </w:rPr>
        <w:t>l</w:t>
      </w:r>
      <w:r>
        <w:rPr>
          <w:rFonts w:ascii="Titillium" w:hAnsi="Titillium" w:cs="Calibri"/>
          <w:sz w:val="18"/>
          <w:szCs w:val="18"/>
        </w:rPr>
        <w:t xml:space="preserve"> concorrente può avvalersi di dotazioni tecniche, risorse umane e strumentali messe a disposizione da uno o più operatori economici ausiliari per dimostrare il possesso dei requisiti di ordine speciale di cui al p</w:t>
      </w:r>
      <w:r w:rsidR="00345E8A">
        <w:rPr>
          <w:rFonts w:ascii="Titillium" w:hAnsi="Titillium" w:cs="Calibri"/>
          <w:sz w:val="18"/>
          <w:szCs w:val="18"/>
        </w:rPr>
        <w:t xml:space="preserve">aragrafo </w:t>
      </w:r>
      <w:r>
        <w:rPr>
          <w:rFonts w:ascii="Titillium" w:hAnsi="Titillium" w:cs="Calibri"/>
          <w:sz w:val="18"/>
          <w:szCs w:val="18"/>
        </w:rPr>
        <w:fldChar w:fldCharType="begin"/>
      </w:r>
      <w:r>
        <w:rPr>
          <w:rFonts w:ascii="Titillium" w:hAnsi="Titillium" w:cs="Calibri"/>
          <w:sz w:val="18"/>
          <w:szCs w:val="18"/>
        </w:rPr>
        <w:instrText>REF _Ref497211510 \r \h</w:instrText>
      </w:r>
      <w:r>
        <w:rPr>
          <w:rFonts w:ascii="Titillium" w:hAnsi="Titillium" w:cs="Calibri"/>
          <w:sz w:val="18"/>
          <w:szCs w:val="18"/>
        </w:rPr>
      </w:r>
      <w:r>
        <w:rPr>
          <w:rFonts w:ascii="Titillium" w:hAnsi="Titillium" w:cs="Calibri"/>
          <w:sz w:val="18"/>
          <w:szCs w:val="18"/>
        </w:rPr>
        <w:fldChar w:fldCharType="separate"/>
      </w:r>
      <w:r w:rsidR="00722501">
        <w:rPr>
          <w:rFonts w:ascii="Titillium" w:hAnsi="Titillium" w:cs="Calibri"/>
          <w:sz w:val="18"/>
          <w:szCs w:val="18"/>
        </w:rPr>
        <w:t>6</w:t>
      </w:r>
      <w:r>
        <w:rPr>
          <w:rFonts w:ascii="Titillium" w:hAnsi="Titillium" w:cs="Calibri"/>
          <w:sz w:val="18"/>
          <w:szCs w:val="18"/>
        </w:rPr>
        <w:fldChar w:fldCharType="end"/>
      </w:r>
      <w:r>
        <w:rPr>
          <w:rFonts w:ascii="Titillium" w:hAnsi="Titillium" w:cs="Calibri"/>
          <w:sz w:val="18"/>
          <w:szCs w:val="18"/>
        </w:rPr>
        <w:t xml:space="preserve"> e/o per migliorare la propria offerta.</w:t>
      </w:r>
    </w:p>
    <w:p w14:paraId="79B7B682" w14:textId="77777777" w:rsidR="006842EE" w:rsidRDefault="008F2625">
      <w:pPr>
        <w:tabs>
          <w:tab w:val="left" w:pos="0"/>
        </w:tabs>
        <w:spacing w:before="60" w:after="60"/>
        <w:rPr>
          <w:rFonts w:ascii="Titillium" w:hAnsi="Titillium" w:cs="Calibri"/>
          <w:sz w:val="18"/>
          <w:szCs w:val="18"/>
        </w:rPr>
      </w:pPr>
      <w:r>
        <w:rPr>
          <w:rFonts w:ascii="Titillium" w:hAnsi="Titillium" w:cs="Calibri"/>
          <w:sz w:val="18"/>
          <w:szCs w:val="18"/>
        </w:rPr>
        <w:t>Nel contratto di avvalimento le parti specificano le risorse strumentali e umane che l’ausiliario mette a disposizione del concorrente e indicano se l’avvalimento è finalizzato ad acquisire un requisito di partecipazione o a migliorare l’offerta del concorrente, o se serve ad entrambe le finalità.</w:t>
      </w:r>
    </w:p>
    <w:p w14:paraId="52286781" w14:textId="75E1695A" w:rsidR="003261B9" w:rsidRPr="00532B49" w:rsidRDefault="00B325B9">
      <w:pPr>
        <w:tabs>
          <w:tab w:val="left" w:pos="0"/>
        </w:tabs>
        <w:spacing w:before="60" w:after="60"/>
        <w:rPr>
          <w:rFonts w:ascii="Titillium" w:hAnsi="Titillium" w:cs="Calibri"/>
          <w:sz w:val="18"/>
          <w:szCs w:val="18"/>
        </w:rPr>
      </w:pPr>
      <w:r w:rsidRPr="00492A4C">
        <w:rPr>
          <w:rFonts w:ascii="Titillium" w:hAnsi="Titillium" w:cs="Calibri"/>
          <w:sz w:val="18"/>
          <w:szCs w:val="18"/>
        </w:rPr>
        <w:t xml:space="preserve">Qualora l’avvalimento </w:t>
      </w:r>
      <w:r w:rsidRPr="00492A4C">
        <w:rPr>
          <w:rFonts w:ascii="Titillium" w:hAnsi="Titillium" w:cs="Calibri"/>
          <w:b/>
          <w:bCs/>
          <w:sz w:val="18"/>
          <w:szCs w:val="18"/>
        </w:rPr>
        <w:t>riguardi requisiti tecnico-professionali fondati su titoli, abilitazioni o competenze personali (</w:t>
      </w:r>
      <w:r w:rsidRPr="00492A4C">
        <w:rPr>
          <w:rFonts w:ascii="Titillium" w:hAnsi="Titillium" w:cs="Calibri"/>
          <w:b/>
          <w:bCs/>
          <w:i/>
          <w:iCs/>
          <w:sz w:val="18"/>
          <w:szCs w:val="18"/>
        </w:rPr>
        <w:t>cd.</w:t>
      </w:r>
      <w:r w:rsidRPr="00492A4C">
        <w:rPr>
          <w:rFonts w:ascii="Titillium" w:hAnsi="Titillium" w:cs="Calibri"/>
          <w:b/>
          <w:bCs/>
          <w:sz w:val="18"/>
          <w:szCs w:val="18"/>
        </w:rPr>
        <w:t xml:space="preserve"> </w:t>
      </w:r>
      <w:r w:rsidRPr="00492A4C">
        <w:rPr>
          <w:rFonts w:ascii="Titillium" w:hAnsi="Titillium" w:cs="Calibri"/>
          <w:b/>
          <w:bCs/>
          <w:i/>
          <w:iCs/>
          <w:sz w:val="18"/>
          <w:szCs w:val="18"/>
        </w:rPr>
        <w:t>avvalimento professionale),</w:t>
      </w:r>
      <w:r w:rsidRPr="00492A4C">
        <w:rPr>
          <w:rFonts w:ascii="Titillium" w:hAnsi="Titillium" w:cs="Calibri"/>
          <w:sz w:val="18"/>
          <w:szCs w:val="18"/>
        </w:rPr>
        <w:t xml:space="preserve"> il servizio in conformità a quanto previsto dall’art</w:t>
      </w:r>
      <w:r w:rsidR="0082408D" w:rsidRPr="00492A4C">
        <w:rPr>
          <w:rFonts w:ascii="Titillium" w:hAnsi="Titillium" w:cs="Calibri"/>
          <w:sz w:val="18"/>
          <w:szCs w:val="18"/>
        </w:rPr>
        <w:t>icolo</w:t>
      </w:r>
      <w:r w:rsidRPr="00492A4C">
        <w:rPr>
          <w:rFonts w:ascii="Titillium" w:hAnsi="Titillium" w:cs="Calibri"/>
          <w:sz w:val="18"/>
          <w:szCs w:val="18"/>
        </w:rPr>
        <w:t xml:space="preserve"> 104</w:t>
      </w:r>
      <w:r w:rsidR="0082408D" w:rsidRPr="00492A4C">
        <w:rPr>
          <w:rFonts w:ascii="Titillium" w:hAnsi="Titillium" w:cs="Calibri"/>
          <w:sz w:val="18"/>
          <w:szCs w:val="18"/>
        </w:rPr>
        <w:t>,</w:t>
      </w:r>
      <w:r w:rsidRPr="00492A4C">
        <w:rPr>
          <w:rFonts w:ascii="Titillium" w:hAnsi="Titillium" w:cs="Calibri"/>
          <w:sz w:val="18"/>
          <w:szCs w:val="18"/>
        </w:rPr>
        <w:t xml:space="preserve"> comma 3 e comma 8</w:t>
      </w:r>
      <w:r w:rsidR="0082408D" w:rsidRPr="00492A4C">
        <w:rPr>
          <w:rFonts w:ascii="Titillium" w:hAnsi="Titillium" w:cs="Calibri"/>
          <w:sz w:val="18"/>
          <w:szCs w:val="18"/>
        </w:rPr>
        <w:t>,</w:t>
      </w:r>
      <w:r w:rsidRPr="00492A4C">
        <w:rPr>
          <w:rFonts w:ascii="Titillium" w:hAnsi="Titillium" w:cs="Calibri"/>
          <w:sz w:val="18"/>
          <w:szCs w:val="18"/>
        </w:rPr>
        <w:t xml:space="preserve"> deve essere eseguito direttamente dall’impresa ausiliaria</w:t>
      </w:r>
      <w:r w:rsidR="003261B9" w:rsidRPr="00492A4C">
        <w:rPr>
          <w:rFonts w:ascii="Titillium" w:hAnsi="Titillium" w:cs="Calibri"/>
          <w:sz w:val="18"/>
          <w:szCs w:val="18"/>
        </w:rPr>
        <w:t>.</w:t>
      </w:r>
    </w:p>
    <w:tbl>
      <w:tblPr>
        <w:tblStyle w:val="Grigliatabella"/>
        <w:tblW w:w="0" w:type="auto"/>
        <w:tblLook w:val="04A0" w:firstRow="1" w:lastRow="0" w:firstColumn="1" w:lastColumn="0" w:noHBand="0" w:noVBand="1"/>
      </w:tblPr>
      <w:tblGrid>
        <w:gridCol w:w="9214"/>
      </w:tblGrid>
      <w:tr w:rsidR="003261B9" w14:paraId="4CB8C59D" w14:textId="77777777" w:rsidTr="003261B9">
        <w:tc>
          <w:tcPr>
            <w:tcW w:w="9214" w:type="dxa"/>
          </w:tcPr>
          <w:p w14:paraId="63ABF538" w14:textId="528C58C1" w:rsidR="003261B9" w:rsidRPr="005C6E9E" w:rsidRDefault="00EF5940" w:rsidP="003261B9">
            <w:pPr>
              <w:tabs>
                <w:tab w:val="left" w:pos="0"/>
              </w:tabs>
              <w:spacing w:before="60" w:after="60"/>
              <w:rPr>
                <w:rFonts w:ascii="Titillium" w:hAnsi="Titillium" w:cs="Calibri"/>
                <w:i/>
                <w:iCs/>
                <w:sz w:val="18"/>
                <w:szCs w:val="18"/>
              </w:rPr>
            </w:pPr>
            <w:r>
              <w:rPr>
                <w:rFonts w:ascii="Titillium" w:hAnsi="Titillium" w:cs="Calibri"/>
                <w:i/>
                <w:iCs/>
                <w:sz w:val="18"/>
                <w:szCs w:val="18"/>
              </w:rPr>
              <w:t xml:space="preserve">N.B. </w:t>
            </w:r>
            <w:r w:rsidR="003261B9" w:rsidRPr="005C6E9E">
              <w:rPr>
                <w:rFonts w:ascii="Titillium" w:hAnsi="Titillium" w:cs="Calibri"/>
                <w:i/>
                <w:iCs/>
                <w:sz w:val="18"/>
                <w:szCs w:val="18"/>
              </w:rPr>
              <w:t xml:space="preserve">Con sentenza n. 6202/2025, il Consiglio di Stato, in conformità al prevalente orientamento giurisprudenziale, ha ribadito che l’avvalimento </w:t>
            </w:r>
            <w:r w:rsidR="00B830A6" w:rsidRPr="005C6E9E">
              <w:rPr>
                <w:rFonts w:ascii="Titillium" w:hAnsi="Titillium" w:cs="Calibri"/>
                <w:i/>
                <w:iCs/>
                <w:sz w:val="18"/>
                <w:szCs w:val="18"/>
              </w:rPr>
              <w:t xml:space="preserve">professionale o </w:t>
            </w:r>
            <w:r w:rsidR="003261B9" w:rsidRPr="005C6E9E">
              <w:rPr>
                <w:rFonts w:ascii="Titillium" w:hAnsi="Titillium" w:cs="Calibri"/>
                <w:i/>
                <w:iCs/>
                <w:sz w:val="18"/>
                <w:szCs w:val="18"/>
              </w:rPr>
              <w:t xml:space="preserve">esperienziale, fondato su competenze tecnico-professionali, è disciplinato dai commi 3 e 8 </w:t>
            </w:r>
            <w:r w:rsidR="00B830A6" w:rsidRPr="005C6E9E">
              <w:rPr>
                <w:rFonts w:ascii="Titillium" w:hAnsi="Titillium" w:cs="Calibri"/>
                <w:i/>
                <w:iCs/>
                <w:sz w:val="18"/>
                <w:szCs w:val="18"/>
              </w:rPr>
              <w:t>dell’</w:t>
            </w:r>
            <w:r w:rsidR="002F691B" w:rsidRPr="005C6E9E">
              <w:rPr>
                <w:rFonts w:ascii="Titillium" w:hAnsi="Titillium" w:cs="Calibri"/>
                <w:i/>
                <w:iCs/>
                <w:sz w:val="18"/>
                <w:szCs w:val="18"/>
              </w:rPr>
              <w:t>articolo</w:t>
            </w:r>
            <w:r w:rsidR="00B830A6" w:rsidRPr="005C6E9E">
              <w:rPr>
                <w:rFonts w:ascii="Titillium" w:hAnsi="Titillium" w:cs="Calibri"/>
                <w:i/>
                <w:iCs/>
                <w:sz w:val="18"/>
                <w:szCs w:val="18"/>
              </w:rPr>
              <w:t xml:space="preserve"> 104 </w:t>
            </w:r>
            <w:r w:rsidR="003261B9" w:rsidRPr="005C6E9E">
              <w:rPr>
                <w:rFonts w:ascii="Titillium" w:hAnsi="Titillium" w:cs="Calibri"/>
                <w:i/>
                <w:iCs/>
                <w:sz w:val="18"/>
                <w:szCs w:val="18"/>
              </w:rPr>
              <w:t>ed è caratterizzato dalla necessaria esecuzione diretta da parte dell’impresa ausiliaria.</w:t>
            </w:r>
          </w:p>
          <w:p w14:paraId="2B17C98C" w14:textId="4EE5DDDD" w:rsidR="003261B9" w:rsidRPr="005C6E9E" w:rsidRDefault="003261B9" w:rsidP="003261B9">
            <w:pPr>
              <w:tabs>
                <w:tab w:val="left" w:pos="0"/>
              </w:tabs>
              <w:spacing w:before="60" w:after="60"/>
              <w:rPr>
                <w:rFonts w:ascii="Titillium" w:hAnsi="Titillium" w:cs="Calibri"/>
                <w:i/>
                <w:iCs/>
                <w:sz w:val="18"/>
                <w:szCs w:val="18"/>
              </w:rPr>
            </w:pPr>
            <w:r w:rsidRPr="005C6E9E">
              <w:rPr>
                <w:rFonts w:ascii="Titillium" w:hAnsi="Titillium" w:cs="Calibri"/>
                <w:i/>
                <w:iCs/>
                <w:sz w:val="18"/>
                <w:szCs w:val="18"/>
              </w:rPr>
              <w:t>La pronuncia ribadisce che:</w:t>
            </w:r>
          </w:p>
          <w:p w14:paraId="21475C3B" w14:textId="66E99DFD" w:rsidR="003261B9" w:rsidRPr="005C6E9E" w:rsidRDefault="003261B9" w:rsidP="003261B9">
            <w:pPr>
              <w:pStyle w:val="Paragrafoelenco"/>
              <w:numPr>
                <w:ilvl w:val="0"/>
                <w:numId w:val="6"/>
              </w:numPr>
              <w:tabs>
                <w:tab w:val="left" w:pos="0"/>
              </w:tabs>
              <w:spacing w:before="60" w:after="60"/>
              <w:rPr>
                <w:rFonts w:ascii="Titillium" w:hAnsi="Titillium" w:cs="Calibri"/>
                <w:i/>
                <w:iCs/>
                <w:sz w:val="18"/>
                <w:szCs w:val="18"/>
              </w:rPr>
            </w:pPr>
            <w:r w:rsidRPr="005C6E9E">
              <w:rPr>
                <w:rFonts w:ascii="Titillium" w:hAnsi="Titillium" w:cs="Calibri"/>
                <w:i/>
                <w:iCs/>
                <w:sz w:val="18"/>
                <w:szCs w:val="18"/>
              </w:rPr>
              <w:t>le stazioni appaltanti devono verificare nei contratti di avvalimento che l’esecuzione dei servizi professionali sia assegnata all’ausiliaria;</w:t>
            </w:r>
          </w:p>
          <w:p w14:paraId="6E479F57" w14:textId="2E22D08D" w:rsidR="003261B9" w:rsidRPr="00532B49" w:rsidRDefault="003261B9" w:rsidP="003261B9">
            <w:pPr>
              <w:pStyle w:val="Paragrafoelenco"/>
              <w:numPr>
                <w:ilvl w:val="0"/>
                <w:numId w:val="6"/>
              </w:numPr>
              <w:tabs>
                <w:tab w:val="left" w:pos="0"/>
              </w:tabs>
              <w:spacing w:before="60" w:after="60"/>
              <w:rPr>
                <w:rFonts w:ascii="Titillium" w:hAnsi="Titillium" w:cs="Calibri"/>
                <w:sz w:val="18"/>
                <w:szCs w:val="18"/>
              </w:rPr>
            </w:pPr>
            <w:r w:rsidRPr="005C6E9E">
              <w:rPr>
                <w:rFonts w:ascii="Titillium" w:hAnsi="Titillium" w:cs="Calibri"/>
                <w:i/>
                <w:iCs/>
                <w:sz w:val="18"/>
                <w:szCs w:val="18"/>
              </w:rPr>
              <w:t>gli operatori economici devono strutturare i rapporti contrattuali tenendo conto che, per la progettazione, non è possibile limitarsi a un “prestito del requisito”.</w:t>
            </w:r>
          </w:p>
        </w:tc>
      </w:tr>
    </w:tbl>
    <w:p w14:paraId="241721B5" w14:textId="606307A0" w:rsidR="00B325B9" w:rsidRDefault="00B325B9">
      <w:pPr>
        <w:tabs>
          <w:tab w:val="left" w:pos="0"/>
        </w:tabs>
        <w:spacing w:before="60" w:after="60"/>
        <w:rPr>
          <w:rFonts w:ascii="Titillium" w:hAnsi="Titillium" w:cs="Calibri"/>
          <w:sz w:val="18"/>
          <w:szCs w:val="18"/>
        </w:rPr>
      </w:pPr>
      <w:r>
        <w:rPr>
          <w:rFonts w:ascii="Titillium" w:hAnsi="Titillium" w:cs="Calibri"/>
          <w:sz w:val="18"/>
          <w:szCs w:val="18"/>
        </w:rPr>
        <w:t xml:space="preserve"> </w:t>
      </w:r>
    </w:p>
    <w:p w14:paraId="1F1AF5C4" w14:textId="6EE0E6F2" w:rsidR="000C3B08" w:rsidRDefault="008F2625" w:rsidP="000C3B08">
      <w:pPr>
        <w:spacing w:before="60" w:after="60"/>
        <w:rPr>
          <w:rFonts w:ascii="Titillium" w:hAnsi="Titillium" w:cs="Calibri"/>
          <w:iCs/>
          <w:color w:val="000000" w:themeColor="text1"/>
          <w:sz w:val="18"/>
          <w:szCs w:val="18"/>
        </w:rPr>
      </w:pPr>
      <w:r>
        <w:rPr>
          <w:rFonts w:ascii="Titillium" w:hAnsi="Titillium" w:cs="Calibri"/>
          <w:iCs/>
          <w:sz w:val="18"/>
          <w:szCs w:val="18"/>
        </w:rPr>
        <w:t>Ne</w:t>
      </w:r>
      <w:r w:rsidR="00BF640A">
        <w:rPr>
          <w:rFonts w:ascii="Titillium" w:hAnsi="Titillium" w:cs="Calibri"/>
          <w:iCs/>
          <w:sz w:val="18"/>
          <w:szCs w:val="18"/>
        </w:rPr>
        <w:t xml:space="preserve">l </w:t>
      </w:r>
      <w:r>
        <w:rPr>
          <w:rFonts w:ascii="Titillium" w:hAnsi="Titillium" w:cs="Calibri"/>
          <w:iCs/>
          <w:sz w:val="18"/>
          <w:szCs w:val="18"/>
        </w:rPr>
        <w:t>cas</w:t>
      </w:r>
      <w:r w:rsidR="00BF640A">
        <w:rPr>
          <w:rFonts w:ascii="Titillium" w:hAnsi="Titillium" w:cs="Calibri"/>
          <w:iCs/>
          <w:sz w:val="18"/>
          <w:szCs w:val="18"/>
        </w:rPr>
        <w:t>o</w:t>
      </w:r>
      <w:r>
        <w:rPr>
          <w:rFonts w:ascii="Titillium" w:hAnsi="Titillium" w:cs="Calibri"/>
          <w:iCs/>
          <w:sz w:val="18"/>
          <w:szCs w:val="18"/>
        </w:rPr>
        <w:t xml:space="preserve"> in cui l’avvalimento sia finalizzato a migliorare l’offerta, non è consentito che alla stessa gara partecipino sia l’ausiliario che l’operatore che si avvale delle risorse da questo messe a disposizione</w:t>
      </w:r>
      <w:r w:rsidRPr="00D40682">
        <w:rPr>
          <w:rFonts w:ascii="Titillium" w:hAnsi="Titillium" w:cs="Calibri"/>
          <w:iCs/>
          <w:color w:val="000000" w:themeColor="text1"/>
          <w:sz w:val="18"/>
          <w:szCs w:val="18"/>
        </w:rPr>
        <w:t>, pena l’esclusione di entrambi i soggetti</w:t>
      </w:r>
      <w:r w:rsidR="000C3B08" w:rsidRPr="00D40682">
        <w:rPr>
          <w:rFonts w:ascii="Titillium" w:hAnsi="Titillium" w:cs="Calibri"/>
          <w:iCs/>
          <w:color w:val="000000" w:themeColor="text1"/>
          <w:sz w:val="18"/>
          <w:szCs w:val="18"/>
        </w:rPr>
        <w:t>, salvo che l</w:t>
      </w:r>
      <w:r w:rsidR="006E3C65" w:rsidRPr="00D40682">
        <w:rPr>
          <w:rFonts w:ascii="Titillium" w:hAnsi="Titillium" w:cs="Calibri"/>
          <w:iCs/>
          <w:color w:val="000000" w:themeColor="text1"/>
          <w:sz w:val="18"/>
          <w:szCs w:val="18"/>
        </w:rPr>
        <w:t>’ausiliario</w:t>
      </w:r>
      <w:r w:rsidR="001E074D" w:rsidRPr="00D40682">
        <w:rPr>
          <w:rFonts w:ascii="Titillium" w:hAnsi="Titillium" w:cs="Calibri"/>
          <w:iCs/>
          <w:color w:val="000000" w:themeColor="text1"/>
          <w:sz w:val="18"/>
          <w:szCs w:val="18"/>
        </w:rPr>
        <w:t>,</w:t>
      </w:r>
      <w:r w:rsidR="00BF640A">
        <w:rPr>
          <w:rFonts w:ascii="Titillium" w:hAnsi="Titillium" w:cs="Calibri"/>
          <w:iCs/>
          <w:color w:val="000000" w:themeColor="text1"/>
          <w:sz w:val="18"/>
          <w:szCs w:val="18"/>
        </w:rPr>
        <w:t xml:space="preserve"> non dimostri</w:t>
      </w:r>
      <w:r w:rsidR="00DE1E58" w:rsidRPr="00D40682">
        <w:rPr>
          <w:rFonts w:ascii="Titillium" w:hAnsi="Titillium" w:cs="Calibri"/>
          <w:iCs/>
          <w:color w:val="000000" w:themeColor="text1"/>
          <w:sz w:val="18"/>
          <w:szCs w:val="18"/>
        </w:rPr>
        <w:t>, allegando</w:t>
      </w:r>
      <w:r w:rsidR="00DF7EC7" w:rsidRPr="00D40682">
        <w:rPr>
          <w:rFonts w:ascii="Titillium" w:hAnsi="Titillium" w:cs="Calibri"/>
          <w:iCs/>
          <w:color w:val="000000" w:themeColor="text1"/>
          <w:sz w:val="18"/>
          <w:szCs w:val="18"/>
        </w:rPr>
        <w:t xml:space="preserve"> a supporto </w:t>
      </w:r>
      <w:r w:rsidR="00583416" w:rsidRPr="00D40682">
        <w:rPr>
          <w:rFonts w:ascii="Titillium" w:hAnsi="Titillium" w:cs="Calibri"/>
          <w:iCs/>
          <w:color w:val="000000" w:themeColor="text1"/>
          <w:sz w:val="18"/>
          <w:szCs w:val="18"/>
        </w:rPr>
        <w:t>idone</w:t>
      </w:r>
      <w:r w:rsidR="00873B90" w:rsidRPr="00D40682">
        <w:rPr>
          <w:rFonts w:ascii="Titillium" w:hAnsi="Titillium" w:cs="Calibri"/>
          <w:iCs/>
          <w:color w:val="000000" w:themeColor="text1"/>
          <w:sz w:val="18"/>
          <w:szCs w:val="18"/>
        </w:rPr>
        <w:t>a documentazione</w:t>
      </w:r>
      <w:r w:rsidR="00DF7EC7" w:rsidRPr="00D40682">
        <w:rPr>
          <w:rFonts w:ascii="Titillium" w:hAnsi="Titillium" w:cs="Calibri"/>
          <w:iCs/>
          <w:color w:val="000000" w:themeColor="text1"/>
          <w:sz w:val="18"/>
          <w:szCs w:val="18"/>
        </w:rPr>
        <w:t xml:space="preserve">, </w:t>
      </w:r>
      <w:r w:rsidR="000C3B08" w:rsidRPr="00D40682">
        <w:rPr>
          <w:rFonts w:ascii="Titillium" w:hAnsi="Titillium" w:cs="Calibri"/>
          <w:iCs/>
          <w:color w:val="000000" w:themeColor="text1"/>
          <w:sz w:val="18"/>
          <w:szCs w:val="18"/>
        </w:rPr>
        <w:t xml:space="preserve">che non sussistono collegamenti tali da ricondurre entrambe le imprese ad uno stesso centro decisionale. </w:t>
      </w:r>
    </w:p>
    <w:p w14:paraId="7D56677C" w14:textId="77777777" w:rsidR="008E5DBA" w:rsidRPr="00D40682" w:rsidRDefault="008E5DBA" w:rsidP="008E5DBA">
      <w:pPr>
        <w:spacing w:before="60" w:after="60"/>
        <w:rPr>
          <w:rFonts w:ascii="Titillium" w:hAnsi="Titillium" w:cs="Calibri"/>
          <w:iCs/>
          <w:color w:val="000000" w:themeColor="text1"/>
          <w:sz w:val="18"/>
          <w:szCs w:val="18"/>
        </w:rPr>
      </w:pPr>
      <w:r w:rsidRPr="00D40682">
        <w:rPr>
          <w:rFonts w:ascii="Titillium" w:hAnsi="Titillium" w:cs="Calibri"/>
          <w:iCs/>
          <w:color w:val="000000" w:themeColor="text1"/>
          <w:sz w:val="18"/>
          <w:szCs w:val="18"/>
        </w:rPr>
        <w:t>Il concorrente e l’ausiliario sono responsabili in solido nei confronti della stazione appaltante in relazione alle prestazioni oggetto del contratto.</w:t>
      </w:r>
    </w:p>
    <w:p w14:paraId="766D943D" w14:textId="3AD24791" w:rsidR="008E5DBA" w:rsidRDefault="008E5DBA" w:rsidP="008E5DBA">
      <w:pPr>
        <w:spacing w:before="60" w:after="60"/>
        <w:rPr>
          <w:rFonts w:ascii="Titillium" w:hAnsi="Titillium" w:cs="Calibri"/>
          <w:iCs/>
          <w:color w:val="5B9BD5" w:themeColor="accent1"/>
          <w:sz w:val="18"/>
          <w:szCs w:val="18"/>
        </w:rPr>
      </w:pPr>
      <w:r w:rsidRPr="00D40682">
        <w:rPr>
          <w:rFonts w:ascii="Titillium" w:hAnsi="Titillium" w:cs="Calibri"/>
          <w:iCs/>
          <w:color w:val="000000" w:themeColor="text1"/>
          <w:sz w:val="18"/>
          <w:szCs w:val="18"/>
        </w:rPr>
        <w:t>Non è consentito l’avvalimento per soddisfare i requisiti di ordine generale e dell’iscrizione alla Camera di commercio</w:t>
      </w:r>
      <w:r w:rsidR="001030FE">
        <w:rPr>
          <w:rFonts w:ascii="Titillium" w:hAnsi="Titillium" w:cs="Calibri"/>
          <w:iCs/>
          <w:color w:val="5B9BD5" w:themeColor="accent1"/>
          <w:sz w:val="18"/>
          <w:szCs w:val="18"/>
        </w:rPr>
        <w:t>.</w:t>
      </w:r>
    </w:p>
    <w:p w14:paraId="6D8A1329" w14:textId="2B1129F6" w:rsidR="00172B51" w:rsidRDefault="00172B51" w:rsidP="00172B51">
      <w:pPr>
        <w:spacing w:before="60" w:after="60"/>
        <w:rPr>
          <w:rFonts w:ascii="Titillium" w:hAnsi="Titillium" w:cs="Calibri"/>
          <w:sz w:val="18"/>
          <w:szCs w:val="18"/>
        </w:rPr>
      </w:pPr>
      <w:r w:rsidRPr="00EE3CA0">
        <w:rPr>
          <w:rFonts w:ascii="Titillium" w:hAnsi="Titillium" w:cs="Calibri"/>
          <w:b/>
          <w:i/>
          <w:sz w:val="18"/>
          <w:szCs w:val="18"/>
        </w:rPr>
        <w:t xml:space="preserve">[Facoltativo, nel caso in cui la stazione appaltante </w:t>
      </w:r>
      <w:r w:rsidRPr="00EE3CA0">
        <w:rPr>
          <w:rFonts w:ascii="Titillium" w:hAnsi="Titillium" w:cs="Calibri"/>
          <w:b/>
          <w:i/>
          <w:color w:val="000000" w:themeColor="text1"/>
          <w:sz w:val="18"/>
          <w:szCs w:val="18"/>
        </w:rPr>
        <w:t xml:space="preserve">intenda prevedere </w:t>
      </w:r>
      <w:r w:rsidR="001030FE" w:rsidRPr="00EE3CA0">
        <w:rPr>
          <w:rFonts w:ascii="Titillium" w:hAnsi="Titillium" w:cs="Calibri"/>
          <w:b/>
          <w:i/>
          <w:color w:val="000000" w:themeColor="text1"/>
          <w:sz w:val="18"/>
          <w:szCs w:val="18"/>
        </w:rPr>
        <w:t>ai sensi dell’</w:t>
      </w:r>
      <w:r w:rsidR="00D61BD7" w:rsidRPr="00EE3CA0">
        <w:rPr>
          <w:rFonts w:ascii="Titillium" w:hAnsi="Titillium" w:cs="Calibri"/>
          <w:b/>
          <w:i/>
          <w:color w:val="000000" w:themeColor="text1"/>
          <w:sz w:val="18"/>
          <w:szCs w:val="18"/>
        </w:rPr>
        <w:t>articolo</w:t>
      </w:r>
      <w:r w:rsidR="001030FE" w:rsidRPr="00EE3CA0">
        <w:rPr>
          <w:rFonts w:ascii="Titillium" w:hAnsi="Titillium" w:cs="Calibri"/>
          <w:b/>
          <w:i/>
          <w:color w:val="000000" w:themeColor="text1"/>
          <w:sz w:val="18"/>
          <w:szCs w:val="18"/>
        </w:rPr>
        <w:t xml:space="preserve"> 104 comma 11 </w:t>
      </w:r>
      <w:r w:rsidRPr="00EE3CA0">
        <w:rPr>
          <w:rFonts w:ascii="Titillium" w:hAnsi="Titillium" w:cs="Calibri"/>
          <w:b/>
          <w:i/>
          <w:sz w:val="18"/>
          <w:szCs w:val="18"/>
        </w:rPr>
        <w:t>che taluni compiti essenziali siano svolti dall’offerente o, nel caso di offerta presentata da un raggruppamento, da un partecipante allo stesso]</w:t>
      </w:r>
      <w:r w:rsidRPr="00C176F7">
        <w:rPr>
          <w:rFonts w:ascii="Titillium" w:hAnsi="Titillium" w:cs="Calibri"/>
          <w:sz w:val="18"/>
          <w:szCs w:val="18"/>
        </w:rPr>
        <w:t xml:space="preserve"> L’affidatario deve eseguire direttamente le seguenti prestazioni: … </w:t>
      </w:r>
      <w:r w:rsidRPr="00C176F7">
        <w:rPr>
          <w:rFonts w:ascii="Titillium" w:hAnsi="Titillium" w:cs="Calibri"/>
          <w:i/>
          <w:sz w:val="18"/>
          <w:szCs w:val="18"/>
        </w:rPr>
        <w:t xml:space="preserve">[indicare quali] </w:t>
      </w:r>
      <w:r w:rsidRPr="00C176F7">
        <w:rPr>
          <w:rFonts w:ascii="Titillium" w:hAnsi="Titillium" w:cs="Calibri"/>
          <w:sz w:val="18"/>
          <w:szCs w:val="18"/>
        </w:rPr>
        <w:t>tramite le figure specificatamente indicate nel gruppo di lavoro. Ciò in ragione dell’esigenza di garantire … [</w:t>
      </w:r>
      <w:r w:rsidRPr="00C176F7">
        <w:rPr>
          <w:rFonts w:ascii="Titillium" w:hAnsi="Titillium" w:cs="Calibri"/>
          <w:i/>
          <w:sz w:val="18"/>
          <w:szCs w:val="18"/>
        </w:rPr>
        <w:t>indicare le motivazioni</w:t>
      </w:r>
      <w:r w:rsidRPr="00C176F7">
        <w:rPr>
          <w:rFonts w:ascii="Titillium" w:hAnsi="Titillium" w:cs="Calibri"/>
          <w:sz w:val="18"/>
          <w:szCs w:val="18"/>
        </w:rPr>
        <w:t>].</w:t>
      </w:r>
    </w:p>
    <w:p w14:paraId="548F4FD5" w14:textId="24FA471B" w:rsidR="006842EE" w:rsidRDefault="008F2625">
      <w:pPr>
        <w:tabs>
          <w:tab w:val="left" w:pos="0"/>
        </w:tabs>
        <w:spacing w:before="60" w:after="60"/>
        <w:rPr>
          <w:rFonts w:ascii="Titillium" w:hAnsi="Titillium" w:cs="Calibri"/>
          <w:sz w:val="18"/>
          <w:szCs w:val="18"/>
        </w:rPr>
      </w:pPr>
      <w:r w:rsidRPr="00EE3CA0">
        <w:rPr>
          <w:rFonts w:ascii="Titillium" w:hAnsi="Titillium" w:cs="Calibri"/>
          <w:b/>
          <w:i/>
          <w:sz w:val="18"/>
          <w:szCs w:val="18"/>
        </w:rPr>
        <w:t>[Se richiesti requisiti relativi ad autorizzazioni o altri titoli abilitativi di cui all’articolo 100, comma 3, del Codice]</w:t>
      </w:r>
      <w:r w:rsidRPr="007E1E23">
        <w:rPr>
          <w:rFonts w:ascii="Titillium" w:hAnsi="Titillium" w:cs="Calibri"/>
          <w:b/>
          <w:iCs/>
          <w:sz w:val="18"/>
          <w:szCs w:val="18"/>
        </w:rPr>
        <w:t xml:space="preserve"> </w:t>
      </w:r>
      <w:r w:rsidRPr="007E1E23">
        <w:rPr>
          <w:rFonts w:ascii="Titillium" w:hAnsi="Titillium" w:cs="Calibri"/>
          <w:iCs/>
          <w:sz w:val="18"/>
          <w:szCs w:val="18"/>
        </w:rPr>
        <w:t>I</w:t>
      </w:r>
      <w:r>
        <w:rPr>
          <w:rFonts w:ascii="Titillium" w:hAnsi="Titillium" w:cs="Calibri"/>
          <w:sz w:val="18"/>
          <w:szCs w:val="18"/>
        </w:rPr>
        <w:t>l concorrente può avvalersi di un ausiliario per comprovare il possesso del requisito di cui al punto …. solo se l’ausiliario esegue direttamente la prestazione per cui tale requisito è richiesto. In tal caso, l’ausiliario agisce in qualità di subappaltatore.</w:t>
      </w:r>
    </w:p>
    <w:p w14:paraId="18F676DF" w14:textId="77777777" w:rsidR="006842EE" w:rsidRDefault="008F2625">
      <w:pPr>
        <w:tabs>
          <w:tab w:val="left" w:pos="0"/>
        </w:tabs>
        <w:spacing w:before="60" w:after="60"/>
        <w:rPr>
          <w:rFonts w:ascii="Titillium" w:hAnsi="Titillium" w:cs="Calibri"/>
          <w:sz w:val="18"/>
          <w:szCs w:val="18"/>
        </w:rPr>
      </w:pPr>
      <w:r w:rsidRPr="00EE3CA0">
        <w:rPr>
          <w:rFonts w:ascii="Titillium" w:hAnsi="Titillium" w:cs="Calibri"/>
          <w:b/>
          <w:i/>
          <w:sz w:val="18"/>
          <w:szCs w:val="18"/>
        </w:rPr>
        <w:t>[Se richiesti requisiti relativi a titoli di studio e professionali necessari all’esecuzione dell’appalto]</w:t>
      </w:r>
      <w:r>
        <w:rPr>
          <w:rFonts w:ascii="Titillium" w:hAnsi="Titillium" w:cs="Calibri"/>
          <w:b/>
          <w:i/>
          <w:sz w:val="18"/>
          <w:szCs w:val="18"/>
        </w:rPr>
        <w:t xml:space="preserve"> </w:t>
      </w:r>
      <w:r>
        <w:rPr>
          <w:rFonts w:ascii="Titillium" w:hAnsi="Titillium" w:cs="Calibri"/>
          <w:sz w:val="18"/>
          <w:szCs w:val="18"/>
        </w:rPr>
        <w:t>Il concorrente può avvalersi di un ausiliario per comprovare il possesso del requisito di cui al punto …. solo se l’ausiliario esegue direttamente la prestazione per cui tale requisito è richiesto. In tal caso, l’ausiliario agisce in qualità di subappaltare.</w:t>
      </w:r>
    </w:p>
    <w:p w14:paraId="6EEED6CF" w14:textId="77777777" w:rsidR="006842EE" w:rsidRDefault="008F2625">
      <w:pPr>
        <w:spacing w:before="60" w:after="60"/>
        <w:rPr>
          <w:rFonts w:ascii="Titillium" w:hAnsi="Titillium" w:cs="Calibri"/>
          <w:sz w:val="18"/>
          <w:szCs w:val="18"/>
        </w:rPr>
      </w:pPr>
      <w:r>
        <w:rPr>
          <w:rFonts w:ascii="Titillium" w:hAnsi="Titillium" w:cs="Calibri"/>
          <w:sz w:val="18"/>
          <w:szCs w:val="18"/>
        </w:rPr>
        <w:t>L’ausiliario deve:</w:t>
      </w:r>
    </w:p>
    <w:p w14:paraId="13869DB8" w14:textId="24E55120" w:rsidR="003D1852" w:rsidRPr="003D1852" w:rsidRDefault="008F2625" w:rsidP="00D26F03">
      <w:pPr>
        <w:pStyle w:val="Paragrafoelenco"/>
        <w:numPr>
          <w:ilvl w:val="2"/>
          <w:numId w:val="32"/>
        </w:numPr>
        <w:spacing w:before="60" w:after="60"/>
        <w:ind w:left="426"/>
      </w:pPr>
      <w:r w:rsidRPr="003D1852">
        <w:rPr>
          <w:rFonts w:ascii="Titillium" w:hAnsi="Titillium" w:cs="Calibri"/>
          <w:sz w:val="18"/>
          <w:szCs w:val="18"/>
        </w:rPr>
        <w:t xml:space="preserve">possedere i requisiti previsti dall’articolo </w:t>
      </w:r>
      <w:r w:rsidR="00820F73">
        <w:rPr>
          <w:rFonts w:ascii="Titillium" w:hAnsi="Titillium" w:cs="Calibri"/>
          <w:sz w:val="18"/>
          <w:szCs w:val="18"/>
        </w:rPr>
        <w:t>4</w:t>
      </w:r>
      <w:r w:rsidR="00C47FF3">
        <w:rPr>
          <w:rFonts w:ascii="Titillium" w:hAnsi="Titillium" w:cs="Calibri"/>
          <w:color w:val="FF0000"/>
          <w:sz w:val="18"/>
          <w:szCs w:val="18"/>
        </w:rPr>
        <w:t xml:space="preserve"> </w:t>
      </w:r>
      <w:r w:rsidRPr="003D1852">
        <w:rPr>
          <w:rFonts w:ascii="Titillium" w:hAnsi="Titillium" w:cs="Calibri"/>
          <w:sz w:val="18"/>
          <w:szCs w:val="18"/>
        </w:rPr>
        <w:t>e dichiararli presentando un proprio DGUE, da compilare nelle parti pertinenti;</w:t>
      </w:r>
    </w:p>
    <w:p w14:paraId="179BD7ED" w14:textId="4D50EEA1" w:rsidR="006842EE" w:rsidRDefault="008F2625" w:rsidP="00D26F03">
      <w:pPr>
        <w:pStyle w:val="Paragrafoelenco"/>
        <w:numPr>
          <w:ilvl w:val="2"/>
          <w:numId w:val="32"/>
        </w:numPr>
        <w:spacing w:before="60" w:after="60"/>
        <w:ind w:left="426"/>
      </w:pPr>
      <w:r w:rsidRPr="003D1852">
        <w:rPr>
          <w:rFonts w:ascii="Titillium" w:hAnsi="Titillium" w:cs="Calibri"/>
          <w:sz w:val="18"/>
          <w:szCs w:val="18"/>
        </w:rPr>
        <w:t xml:space="preserve">possedere i requisiti i di cui all’articolo </w:t>
      </w:r>
      <w:r w:rsidR="00123792">
        <w:rPr>
          <w:rFonts w:ascii="Titillium" w:hAnsi="Titillium" w:cs="Calibri"/>
          <w:sz w:val="18"/>
          <w:szCs w:val="18"/>
        </w:rPr>
        <w:t>5</w:t>
      </w:r>
      <w:r w:rsidRPr="003D1852">
        <w:rPr>
          <w:rFonts w:ascii="Titillium" w:hAnsi="Titillium" w:cs="Calibri"/>
          <w:sz w:val="18"/>
          <w:szCs w:val="18"/>
        </w:rPr>
        <w:t xml:space="preserve"> oggetto di avvalimento e dichiararli nel proprio DGUE, da compilare nelle parti pertinenti; </w:t>
      </w:r>
    </w:p>
    <w:p w14:paraId="50B76C46" w14:textId="77777777" w:rsidR="006842EE" w:rsidRDefault="008F2625" w:rsidP="00D26F03">
      <w:pPr>
        <w:pStyle w:val="Paragrafoelenco"/>
        <w:numPr>
          <w:ilvl w:val="2"/>
          <w:numId w:val="32"/>
        </w:numPr>
        <w:spacing w:before="60" w:after="60"/>
        <w:ind w:left="426"/>
      </w:pPr>
      <w:r>
        <w:rPr>
          <w:rFonts w:ascii="Titillium" w:hAnsi="Titillium" w:cs="Calibri"/>
          <w:sz w:val="18"/>
          <w:szCs w:val="18"/>
        </w:rPr>
        <w:t xml:space="preserve">impegnarsi, verso il concorrente che si avvale e verso la stazione appaltante, a mettere a disposizione, per tutta la durata dell’appalto, le risorse (riferite a requisiti di partecipazione e/o premiali) oggetto di avvalimento </w:t>
      </w:r>
    </w:p>
    <w:p w14:paraId="225D7224" w14:textId="6B075F4D" w:rsidR="00BF640A" w:rsidRDefault="00BF640A" w:rsidP="007D358B">
      <w:pPr>
        <w:spacing w:before="60" w:after="60"/>
        <w:rPr>
          <w:rFonts w:ascii="Titillium" w:hAnsi="Titillium" w:cs="Calibri"/>
          <w:sz w:val="18"/>
          <w:szCs w:val="18"/>
        </w:rPr>
      </w:pPr>
      <w:r w:rsidRPr="00C176F7">
        <w:rPr>
          <w:rFonts w:ascii="Titillium" w:hAnsi="Titillium" w:cs="Calibri"/>
          <w:sz w:val="18"/>
          <w:szCs w:val="18"/>
        </w:rPr>
        <w:t>Le dichiarazioni dell’ausiliario sono allegate alla domanda di partecipazione.</w:t>
      </w:r>
    </w:p>
    <w:p w14:paraId="2719F7EC" w14:textId="4008D44D" w:rsidR="007D358B" w:rsidRPr="00A11BFB" w:rsidRDefault="008F2625" w:rsidP="007D358B">
      <w:pPr>
        <w:spacing w:before="60" w:after="60"/>
        <w:rPr>
          <w:rFonts w:ascii="Titillium" w:hAnsi="Titillium" w:cs="Calibri"/>
          <w:strike/>
          <w:sz w:val="18"/>
          <w:szCs w:val="18"/>
        </w:rPr>
      </w:pPr>
      <w:r>
        <w:rPr>
          <w:rFonts w:ascii="Titillium" w:hAnsi="Titillium" w:cs="Calibri"/>
          <w:sz w:val="18"/>
          <w:szCs w:val="18"/>
        </w:rPr>
        <w:t>Il concorrente allega alla domanda di partecipazione il contratto di avvalimento,</w:t>
      </w:r>
      <w:r w:rsidR="00381F67">
        <w:rPr>
          <w:rFonts w:ascii="Titillium" w:hAnsi="Titillium" w:cs="Calibri"/>
          <w:sz w:val="18"/>
          <w:szCs w:val="18"/>
        </w:rPr>
        <w:t xml:space="preserve"> </w:t>
      </w:r>
      <w:r w:rsidR="00381F67" w:rsidRPr="00D40682">
        <w:rPr>
          <w:rFonts w:ascii="Titillium" w:hAnsi="Titillium" w:cs="Calibri"/>
          <w:color w:val="000000" w:themeColor="text1"/>
          <w:sz w:val="18"/>
          <w:szCs w:val="18"/>
        </w:rPr>
        <w:t>anche premiale</w:t>
      </w:r>
      <w:r w:rsidR="00AC4C6F">
        <w:rPr>
          <w:rFonts w:ascii="Titillium" w:hAnsi="Titillium" w:cs="Calibri"/>
          <w:color w:val="000000" w:themeColor="text1"/>
          <w:sz w:val="18"/>
          <w:szCs w:val="18"/>
        </w:rPr>
        <w:t xml:space="preserve"> </w:t>
      </w:r>
      <w:r w:rsidR="00AC4C6F" w:rsidRPr="00765419">
        <w:rPr>
          <w:rFonts w:ascii="Titillium" w:hAnsi="Titillium" w:cs="Calibri"/>
          <w:color w:val="000000" w:themeColor="text1"/>
          <w:sz w:val="18"/>
          <w:szCs w:val="18"/>
        </w:rPr>
        <w:t>o misto</w:t>
      </w:r>
      <w:r w:rsidR="008F217F">
        <w:rPr>
          <w:rFonts w:ascii="Titillium" w:hAnsi="Titillium" w:cs="Calibri"/>
          <w:color w:val="000000" w:themeColor="text1"/>
          <w:sz w:val="18"/>
          <w:szCs w:val="18"/>
        </w:rPr>
        <w:t>.</w:t>
      </w:r>
      <w:r w:rsidRPr="00D40682">
        <w:rPr>
          <w:rFonts w:ascii="Titillium" w:hAnsi="Titillium" w:cs="Calibri"/>
          <w:color w:val="000000" w:themeColor="text1"/>
          <w:sz w:val="18"/>
          <w:szCs w:val="18"/>
        </w:rPr>
        <w:t xml:space="preserve"> </w:t>
      </w:r>
    </w:p>
    <w:p w14:paraId="5E9F9BB3" w14:textId="77777777" w:rsidR="00A11BFB" w:rsidRPr="00BF640A" w:rsidRDefault="00A11BFB" w:rsidP="00A11BFB">
      <w:pPr>
        <w:spacing w:before="60" w:after="60"/>
        <w:rPr>
          <w:rFonts w:ascii="Titillium" w:hAnsi="Titillium" w:cs="Calibri"/>
          <w:b/>
          <w:bCs/>
          <w:i/>
          <w:iCs/>
          <w:sz w:val="18"/>
          <w:szCs w:val="18"/>
        </w:rPr>
      </w:pPr>
      <w:r w:rsidRPr="00BF640A">
        <w:rPr>
          <w:rFonts w:ascii="Titillium" w:hAnsi="Titillium" w:cs="Calibri"/>
          <w:b/>
          <w:bCs/>
          <w:i/>
          <w:iCs/>
          <w:sz w:val="18"/>
          <w:szCs w:val="18"/>
        </w:rPr>
        <w:t>[In alternativa]</w:t>
      </w:r>
    </w:p>
    <w:p w14:paraId="5FBBD2DC" w14:textId="2C250F0D" w:rsidR="00A11BFB" w:rsidRDefault="00A11BFB" w:rsidP="00A11BFB">
      <w:pPr>
        <w:spacing w:before="60" w:after="60"/>
        <w:rPr>
          <w:rFonts w:ascii="Titillium" w:hAnsi="Titillium" w:cs="Calibri"/>
          <w:sz w:val="18"/>
          <w:szCs w:val="18"/>
        </w:rPr>
      </w:pPr>
      <w:r w:rsidRPr="00A11BFB">
        <w:rPr>
          <w:rFonts w:ascii="Titillium" w:hAnsi="Titillium" w:cs="Calibri"/>
          <w:sz w:val="18"/>
          <w:szCs w:val="18"/>
        </w:rPr>
        <w:t>Il concorrente allega alla domanda di partecipazione il contratto di avvalimento, anche misto e allega all’offerta tecnica il contratto di avvalimento premiale.</w:t>
      </w:r>
    </w:p>
    <w:tbl>
      <w:tblPr>
        <w:tblStyle w:val="Grigliatabella"/>
        <w:tblW w:w="0" w:type="auto"/>
        <w:tblLook w:val="04A0" w:firstRow="1" w:lastRow="0" w:firstColumn="1" w:lastColumn="0" w:noHBand="0" w:noVBand="1"/>
      </w:tblPr>
      <w:tblGrid>
        <w:gridCol w:w="9214"/>
      </w:tblGrid>
      <w:tr w:rsidR="00EA19A5" w14:paraId="6FCE9DE9" w14:textId="77777777" w:rsidTr="00EA19A5">
        <w:tc>
          <w:tcPr>
            <w:tcW w:w="9214" w:type="dxa"/>
          </w:tcPr>
          <w:p w14:paraId="7A88DE8C" w14:textId="2C694E57" w:rsidR="00EA19A5" w:rsidRPr="00CB5EC2" w:rsidRDefault="00EA19A5" w:rsidP="00A11BFB">
            <w:pPr>
              <w:spacing w:before="60" w:after="60"/>
              <w:rPr>
                <w:rFonts w:ascii="Titillium" w:hAnsi="Titillium" w:cs="Calibri"/>
                <w:sz w:val="18"/>
                <w:szCs w:val="18"/>
              </w:rPr>
            </w:pPr>
            <w:r w:rsidRPr="005C6E9E">
              <w:rPr>
                <w:rFonts w:ascii="Titillium" w:hAnsi="Titillium" w:cs="Calibri"/>
                <w:i/>
                <w:iCs/>
                <w:sz w:val="18"/>
                <w:szCs w:val="18"/>
              </w:rPr>
              <w:t>N.</w:t>
            </w:r>
            <w:r w:rsidR="00CB5EC2" w:rsidRPr="005C6E9E">
              <w:rPr>
                <w:rFonts w:ascii="Titillium" w:hAnsi="Titillium" w:cs="Calibri"/>
                <w:i/>
                <w:iCs/>
                <w:sz w:val="18"/>
                <w:szCs w:val="18"/>
              </w:rPr>
              <w:t xml:space="preserve"> </w:t>
            </w:r>
            <w:r w:rsidRPr="005C6E9E">
              <w:rPr>
                <w:rFonts w:ascii="Titillium" w:hAnsi="Titillium" w:cs="Calibri"/>
                <w:i/>
                <w:iCs/>
                <w:sz w:val="18"/>
                <w:szCs w:val="18"/>
              </w:rPr>
              <w:t>B.</w:t>
            </w:r>
            <w:r w:rsidR="00CB5EC2" w:rsidRPr="005C6E9E">
              <w:rPr>
                <w:rFonts w:ascii="Titillium" w:hAnsi="Titillium" w:cs="Calibri"/>
                <w:i/>
                <w:iCs/>
                <w:sz w:val="18"/>
                <w:szCs w:val="18"/>
              </w:rPr>
              <w:t xml:space="preserve"> In caso di inversione procedimentale si suggerisce di prevedere l’allegazione del contratto di avvalimento premiale all’offerta tecnica</w:t>
            </w:r>
            <w:r w:rsidR="00CB5EC2" w:rsidRPr="00492A4C">
              <w:rPr>
                <w:rFonts w:ascii="Titillium" w:hAnsi="Titillium" w:cs="Calibri"/>
                <w:sz w:val="18"/>
                <w:szCs w:val="18"/>
              </w:rPr>
              <w:t xml:space="preserve">. </w:t>
            </w:r>
            <w:r w:rsidRPr="00CB5EC2">
              <w:rPr>
                <w:rFonts w:ascii="Titillium" w:hAnsi="Titillium" w:cs="Calibri"/>
                <w:sz w:val="18"/>
                <w:szCs w:val="18"/>
              </w:rPr>
              <w:t xml:space="preserve">  </w:t>
            </w:r>
          </w:p>
        </w:tc>
      </w:tr>
    </w:tbl>
    <w:p w14:paraId="1F0987F6" w14:textId="77777777" w:rsidR="00EA19A5" w:rsidRDefault="00EA19A5" w:rsidP="00A11BFB">
      <w:pPr>
        <w:spacing w:before="60" w:after="60"/>
        <w:rPr>
          <w:rFonts w:ascii="Titillium" w:hAnsi="Titillium" w:cs="Calibri"/>
          <w:sz w:val="18"/>
          <w:szCs w:val="18"/>
        </w:rPr>
      </w:pPr>
    </w:p>
    <w:p w14:paraId="4A179C5B" w14:textId="16079351" w:rsidR="00A11BFB" w:rsidRDefault="00A11BFB" w:rsidP="007D358B">
      <w:pPr>
        <w:spacing w:before="60" w:after="60"/>
        <w:rPr>
          <w:rFonts w:ascii="Titillium" w:hAnsi="Titillium" w:cs="Calibri"/>
          <w:sz w:val="18"/>
          <w:szCs w:val="18"/>
        </w:rPr>
      </w:pPr>
      <w:r w:rsidRPr="00A11BFB">
        <w:rPr>
          <w:rFonts w:ascii="Titillium" w:hAnsi="Titillium" w:cs="Calibri"/>
          <w:sz w:val="18"/>
          <w:szCs w:val="18"/>
        </w:rPr>
        <w:t>Il contratto di avvalimento, anche premiale e misto, deve essere nativo digitale e firmato digitalmente dalle parti.</w:t>
      </w:r>
    </w:p>
    <w:p w14:paraId="73FE0914" w14:textId="77777777" w:rsidR="006842EE" w:rsidRPr="00D40682" w:rsidRDefault="008F2625">
      <w:pPr>
        <w:spacing w:before="60" w:after="60"/>
        <w:rPr>
          <w:color w:val="000000" w:themeColor="text1"/>
        </w:rPr>
      </w:pPr>
      <w:r w:rsidRPr="00D40682">
        <w:rPr>
          <w:rFonts w:ascii="Titillium" w:hAnsi="Titillium" w:cs="Calibri"/>
          <w:color w:val="000000" w:themeColor="text1"/>
          <w:sz w:val="18"/>
          <w:szCs w:val="18"/>
        </w:rPr>
        <w:t xml:space="preserve">Qualora per l’ausiliario sussistano motivi di esclusione o laddove esso non soddisfi i requisiti di ordine speciale, il concorrente sostituisce l’ausiliario entro … </w:t>
      </w:r>
      <w:r w:rsidRPr="00D40682">
        <w:rPr>
          <w:rFonts w:ascii="Titillium" w:hAnsi="Titillium" w:cs="Calibri"/>
          <w:i/>
          <w:color w:val="000000" w:themeColor="text1"/>
          <w:sz w:val="18"/>
          <w:szCs w:val="18"/>
        </w:rPr>
        <w:t>[indicare il numero dei giorni previsti</w:t>
      </w:r>
      <w:r w:rsidRPr="00AE4735">
        <w:rPr>
          <w:rFonts w:ascii="Titillium" w:hAnsi="Titillium" w:cs="Calibri"/>
          <w:i/>
          <w:iCs/>
          <w:color w:val="000000" w:themeColor="text1"/>
          <w:sz w:val="18"/>
          <w:szCs w:val="18"/>
        </w:rPr>
        <w:t>]</w:t>
      </w:r>
      <w:r w:rsidRPr="00D40682">
        <w:rPr>
          <w:rFonts w:ascii="Titillium" w:hAnsi="Titillium" w:cs="Calibri"/>
          <w:color w:val="000000" w:themeColor="text1"/>
          <w:sz w:val="18"/>
          <w:szCs w:val="18"/>
        </w:rPr>
        <w:t xml:space="preserve"> giorni decorrenti dal ricevimento della richiesta da parte della stazione appaltante. Contestualmente il concorrente produce i documenti richiesti per l’avvalimento. </w:t>
      </w:r>
    </w:p>
    <w:p w14:paraId="73AF3D3C" w14:textId="77777777" w:rsidR="006842EE" w:rsidRDefault="008F2625">
      <w:pPr>
        <w:tabs>
          <w:tab w:val="left" w:pos="0"/>
        </w:tabs>
        <w:spacing w:before="60" w:after="60"/>
        <w:rPr>
          <w:rFonts w:ascii="Titillium" w:hAnsi="Titillium" w:cs="Calibri"/>
          <w:color w:val="000000" w:themeColor="text1"/>
          <w:sz w:val="18"/>
          <w:szCs w:val="18"/>
        </w:rPr>
      </w:pPr>
      <w:r w:rsidRPr="00D40682">
        <w:rPr>
          <w:rFonts w:ascii="Titillium" w:hAnsi="Titillium" w:cs="Calibri"/>
          <w:color w:val="000000" w:themeColor="text1"/>
          <w:sz w:val="18"/>
          <w:szCs w:val="18"/>
        </w:rPr>
        <w:t>Nel caso in cui l’ausiliario si sia reso responsabile di una falsa dichiarazione sul possesso dei requisiti, la stazione appaltante procede a segnalare all’Autorità nazionale anticorruzione il comportamento tenuto dall’ausiliario per consentire le valutazioni di cui all’articolo 96, comma 15, del Codice. L’operatore economico può indicare un altro ausiliario nel termine di dieci giorni, pena l’esclusione dalla gara. La sostituzione può essere effettuata soltanto nel caso in cui non conduca a una modifica sostanziale dell’offerta. Il mancato rispetto del termine assegnato per la sostituzione comporta l’esclusione del concorrente.</w:t>
      </w:r>
    </w:p>
    <w:p w14:paraId="24CD1DDC" w14:textId="77777777" w:rsidR="006842EE" w:rsidRPr="00B544E7" w:rsidRDefault="008F2625" w:rsidP="00D26F03">
      <w:pPr>
        <w:pStyle w:val="Titolo2"/>
        <w:numPr>
          <w:ilvl w:val="0"/>
          <w:numId w:val="54"/>
        </w:numPr>
        <w:ind w:left="357" w:hanging="357"/>
        <w:rPr>
          <w:rFonts w:ascii="Titillium" w:hAnsi="Titillium"/>
          <w:caps w:val="0"/>
          <w:sz w:val="18"/>
          <w:szCs w:val="18"/>
        </w:rPr>
      </w:pPr>
      <w:bookmarkStart w:id="1624" w:name="_Toc406058375"/>
      <w:bookmarkStart w:id="1625" w:name="_Toc403471269"/>
      <w:bookmarkStart w:id="1626" w:name="_Toc397422862"/>
      <w:bookmarkStart w:id="1627" w:name="_Toc397346821"/>
      <w:bookmarkStart w:id="1628" w:name="_Toc393706906"/>
      <w:bookmarkStart w:id="1629" w:name="_Toc393700833"/>
      <w:bookmarkStart w:id="1630" w:name="_Toc393283174"/>
      <w:bookmarkStart w:id="1631" w:name="_Toc393272658"/>
      <w:bookmarkStart w:id="1632" w:name="_Toc393272600"/>
      <w:bookmarkStart w:id="1633" w:name="_Toc393187844"/>
      <w:bookmarkStart w:id="1634" w:name="_Toc393112127"/>
      <w:bookmarkStart w:id="1635" w:name="_Toc393110563"/>
      <w:bookmarkStart w:id="1636" w:name="_Toc392577496"/>
      <w:bookmarkStart w:id="1637" w:name="_Toc391036055"/>
      <w:bookmarkStart w:id="1638" w:name="_Toc391035982"/>
      <w:bookmarkStart w:id="1639" w:name="_Toc380501869"/>
      <w:bookmarkStart w:id="1640" w:name="_Toc354038180"/>
      <w:bookmarkStart w:id="1641" w:name="_Toc416423361"/>
      <w:bookmarkStart w:id="1642" w:name="_Toc406754176"/>
      <w:bookmarkStart w:id="1643" w:name="_Toc227921631"/>
      <w:r w:rsidRPr="00B544E7">
        <w:rPr>
          <w:rFonts w:ascii="Titillium" w:hAnsi="Titillium"/>
          <w:caps w:val="0"/>
          <w:sz w:val="18"/>
          <w:szCs w:val="18"/>
        </w:rPr>
        <w:t>SUBAPPALTO</w:t>
      </w:r>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p>
    <w:p w14:paraId="6BFF4C86" w14:textId="77777777" w:rsidR="006842EE" w:rsidRPr="00214AF5" w:rsidRDefault="008F2625">
      <w:pPr>
        <w:spacing w:before="60" w:after="60"/>
      </w:pPr>
      <w:r w:rsidRPr="00214AF5">
        <w:rPr>
          <w:rFonts w:ascii="Titillium" w:hAnsi="Titillium" w:cs="Calibri"/>
          <w:sz w:val="18"/>
          <w:szCs w:val="18"/>
        </w:rPr>
        <w:t xml:space="preserve">Il concorrente indica le prestazioni che intende subappaltare o concedere in cottimo. In caso di mancata indicazione il subappalto è vietato. </w:t>
      </w:r>
    </w:p>
    <w:p w14:paraId="351FAD4A" w14:textId="77777777" w:rsidR="00214AF5" w:rsidRDefault="008F2625" w:rsidP="00583787">
      <w:pPr>
        <w:spacing w:before="60" w:after="60"/>
        <w:rPr>
          <w:rFonts w:ascii="Titillium" w:hAnsi="Titillium" w:cs="Calibri"/>
          <w:sz w:val="18"/>
          <w:szCs w:val="18"/>
        </w:rPr>
      </w:pPr>
      <w:r w:rsidRPr="00214AF5">
        <w:rPr>
          <w:rFonts w:ascii="Titillium" w:hAnsi="Titillium" w:cs="Calibri"/>
          <w:sz w:val="18"/>
          <w:szCs w:val="18"/>
        </w:rPr>
        <w:t xml:space="preserve">Non può essere affidata in subappalto l’integrale esecuzione delle prestazioni oggetto del contratto. </w:t>
      </w:r>
    </w:p>
    <w:p w14:paraId="675C2CD8" w14:textId="297EB898" w:rsidR="001966D1" w:rsidRDefault="005A0842" w:rsidP="00583787">
      <w:pPr>
        <w:spacing w:before="60" w:after="60"/>
        <w:rPr>
          <w:rFonts w:asciiTheme="minorHAnsi" w:eastAsiaTheme="majorEastAsia" w:hAnsiTheme="minorHAnsi" w:cstheme="minorHAnsi"/>
          <w:sz w:val="20"/>
          <w:szCs w:val="20"/>
        </w:rPr>
      </w:pPr>
      <w:r w:rsidRPr="005A0D8B">
        <w:rPr>
          <w:rFonts w:ascii="Titillium" w:hAnsi="Titillium" w:cs="Calibri"/>
          <w:sz w:val="18"/>
          <w:szCs w:val="18"/>
        </w:rPr>
        <w:t>In caso</w:t>
      </w:r>
      <w:r w:rsidRPr="00820F73">
        <w:rPr>
          <w:rFonts w:ascii="Titillium" w:hAnsi="Titillium" w:cs="Calibri"/>
          <w:sz w:val="18"/>
          <w:szCs w:val="18"/>
        </w:rPr>
        <w:t xml:space="preserve"> di </w:t>
      </w:r>
      <w:r w:rsidR="004D5D36" w:rsidRPr="00820F73">
        <w:rPr>
          <w:rFonts w:ascii="Titillium" w:eastAsiaTheme="majorEastAsia" w:hAnsi="Titillium" w:cstheme="minorHAnsi"/>
          <w:sz w:val="18"/>
          <w:szCs w:val="18"/>
        </w:rPr>
        <w:t xml:space="preserve">subappalto </w:t>
      </w:r>
      <w:r w:rsidRPr="00820F73">
        <w:rPr>
          <w:rFonts w:ascii="Titillium" w:eastAsiaTheme="majorEastAsia" w:hAnsi="Titillium" w:cstheme="minorHAnsi"/>
          <w:sz w:val="18"/>
          <w:szCs w:val="18"/>
        </w:rPr>
        <w:t xml:space="preserve">della </w:t>
      </w:r>
      <w:r w:rsidR="004D5D36" w:rsidRPr="00820F73">
        <w:rPr>
          <w:rFonts w:ascii="Titillium" w:eastAsiaTheme="majorEastAsia" w:hAnsi="Titillium" w:cstheme="minorHAnsi"/>
          <w:sz w:val="18"/>
          <w:szCs w:val="18"/>
        </w:rPr>
        <w:t>relazione geologica</w:t>
      </w:r>
      <w:r w:rsidR="00F423A0">
        <w:rPr>
          <w:rFonts w:ascii="Titillium" w:eastAsiaTheme="majorEastAsia" w:hAnsi="Titillium" w:cstheme="minorHAnsi"/>
          <w:sz w:val="18"/>
          <w:szCs w:val="18"/>
        </w:rPr>
        <w:t xml:space="preserve"> </w:t>
      </w:r>
      <w:r w:rsidR="00F423A0" w:rsidRPr="00C176F7">
        <w:rPr>
          <w:rFonts w:ascii="Titillium" w:eastAsiaTheme="majorEastAsia" w:hAnsi="Titillium" w:cstheme="minorHAnsi"/>
          <w:sz w:val="18"/>
          <w:szCs w:val="18"/>
        </w:rPr>
        <w:t>o d</w:t>
      </w:r>
      <w:r w:rsidR="009F2D7F" w:rsidRPr="00C176F7">
        <w:rPr>
          <w:rFonts w:ascii="Titillium" w:eastAsiaTheme="majorEastAsia" w:hAnsi="Titillium" w:cstheme="minorHAnsi"/>
          <w:sz w:val="18"/>
          <w:szCs w:val="18"/>
        </w:rPr>
        <w:t>i altra prestazione</w:t>
      </w:r>
      <w:r w:rsidR="00CD2DA4">
        <w:rPr>
          <w:rFonts w:ascii="Titillium" w:eastAsiaTheme="majorEastAsia" w:hAnsi="Titillium" w:cstheme="minorHAnsi"/>
          <w:sz w:val="18"/>
          <w:szCs w:val="18"/>
        </w:rPr>
        <w:t xml:space="preserve"> </w:t>
      </w:r>
      <w:r w:rsidR="009F2D7F" w:rsidRPr="00291754">
        <w:rPr>
          <w:rFonts w:ascii="Titillium" w:eastAsiaTheme="majorEastAsia" w:hAnsi="Titillium" w:cstheme="minorHAnsi"/>
          <w:sz w:val="18"/>
          <w:szCs w:val="18"/>
        </w:rPr>
        <w:t>ch</w:t>
      </w:r>
      <w:r w:rsidR="009F2D7F" w:rsidRPr="00C176F7">
        <w:rPr>
          <w:rFonts w:ascii="Titillium" w:eastAsiaTheme="majorEastAsia" w:hAnsi="Titillium" w:cstheme="minorHAnsi"/>
          <w:sz w:val="18"/>
          <w:szCs w:val="18"/>
        </w:rPr>
        <w:t xml:space="preserve">e richiede comunque la predisposizione e la sottoscrizione di un elaborato specialistico quale </w:t>
      </w:r>
      <w:r w:rsidR="00B20FC2" w:rsidRPr="00C176F7">
        <w:rPr>
          <w:rFonts w:ascii="Titillium" w:eastAsiaTheme="majorEastAsia" w:hAnsi="Titillium" w:cstheme="minorHAnsi"/>
          <w:sz w:val="18"/>
          <w:szCs w:val="18"/>
        </w:rPr>
        <w:t>anche</w:t>
      </w:r>
      <w:r w:rsidR="00B20FC2">
        <w:rPr>
          <w:rFonts w:ascii="Titillium" w:eastAsiaTheme="majorEastAsia" w:hAnsi="Titillium" w:cstheme="minorHAnsi"/>
          <w:sz w:val="18"/>
          <w:szCs w:val="18"/>
        </w:rPr>
        <w:t xml:space="preserve"> </w:t>
      </w:r>
      <w:r w:rsidR="00B20FC2" w:rsidRPr="00C176F7">
        <w:rPr>
          <w:rFonts w:ascii="Titillium" w:eastAsiaTheme="majorEastAsia" w:hAnsi="Titillium" w:cstheme="minorHAnsi"/>
          <w:sz w:val="18"/>
          <w:szCs w:val="18"/>
        </w:rPr>
        <w:t>la</w:t>
      </w:r>
      <w:r w:rsidR="009F2D7F" w:rsidRPr="00C176F7">
        <w:rPr>
          <w:rFonts w:ascii="Titillium" w:eastAsiaTheme="majorEastAsia" w:hAnsi="Titillium" w:cstheme="minorHAnsi"/>
          <w:sz w:val="18"/>
          <w:szCs w:val="18"/>
        </w:rPr>
        <w:t xml:space="preserve"> </w:t>
      </w:r>
      <w:r w:rsidR="00F423A0" w:rsidRPr="00C176F7">
        <w:rPr>
          <w:rFonts w:ascii="Titillium" w:eastAsiaTheme="majorEastAsia" w:hAnsi="Titillium" w:cstheme="minorHAnsi"/>
          <w:sz w:val="18"/>
          <w:szCs w:val="18"/>
        </w:rPr>
        <w:t>pr</w:t>
      </w:r>
      <w:r w:rsidR="009F2D7F" w:rsidRPr="00C176F7">
        <w:rPr>
          <w:rFonts w:ascii="Titillium" w:eastAsiaTheme="majorEastAsia" w:hAnsi="Titillium" w:cstheme="minorHAnsi"/>
          <w:sz w:val="18"/>
          <w:szCs w:val="18"/>
        </w:rPr>
        <w:t xml:space="preserve">ogettazione </w:t>
      </w:r>
      <w:r w:rsidR="00F423A0" w:rsidRPr="00C176F7">
        <w:rPr>
          <w:rFonts w:ascii="Titillium" w:eastAsiaTheme="majorEastAsia" w:hAnsi="Titillium" w:cstheme="minorHAnsi"/>
          <w:sz w:val="18"/>
          <w:szCs w:val="18"/>
        </w:rPr>
        <w:t>anti</w:t>
      </w:r>
      <w:r w:rsidR="009F2D7F" w:rsidRPr="00C176F7">
        <w:rPr>
          <w:rFonts w:ascii="Titillium" w:eastAsiaTheme="majorEastAsia" w:hAnsi="Titillium" w:cstheme="minorHAnsi"/>
          <w:sz w:val="18"/>
          <w:szCs w:val="18"/>
        </w:rPr>
        <w:t>n</w:t>
      </w:r>
      <w:r w:rsidR="00F423A0" w:rsidRPr="00C176F7">
        <w:rPr>
          <w:rFonts w:ascii="Titillium" w:eastAsiaTheme="majorEastAsia" w:hAnsi="Titillium" w:cstheme="minorHAnsi"/>
          <w:sz w:val="18"/>
          <w:szCs w:val="18"/>
        </w:rPr>
        <w:t>cendio</w:t>
      </w:r>
      <w:r w:rsidR="009F2D7F" w:rsidRPr="00C176F7">
        <w:rPr>
          <w:rFonts w:ascii="Titillium" w:eastAsiaTheme="majorEastAsia" w:hAnsi="Titillium" w:cstheme="minorHAnsi"/>
          <w:sz w:val="18"/>
          <w:szCs w:val="18"/>
        </w:rPr>
        <w:t xml:space="preserve"> o acustica</w:t>
      </w:r>
      <w:r w:rsidR="004D5D36" w:rsidRPr="00C176F7">
        <w:rPr>
          <w:rFonts w:ascii="Titillium" w:eastAsiaTheme="majorEastAsia" w:hAnsi="Titillium" w:cstheme="minorHAnsi"/>
          <w:sz w:val="18"/>
          <w:szCs w:val="18"/>
        </w:rPr>
        <w:t>, dovrà</w:t>
      </w:r>
      <w:r w:rsidR="004D5D36" w:rsidRPr="00820F73">
        <w:rPr>
          <w:rFonts w:ascii="Titillium" w:eastAsiaTheme="majorEastAsia" w:hAnsi="Titillium" w:cstheme="minorHAnsi"/>
          <w:sz w:val="18"/>
          <w:szCs w:val="18"/>
        </w:rPr>
        <w:t xml:space="preserve"> esserne fatta specifica ed espressa menzione nel DGUE</w:t>
      </w:r>
      <w:r w:rsidR="00820F73">
        <w:rPr>
          <w:rFonts w:ascii="Titillium" w:eastAsiaTheme="majorEastAsia" w:hAnsi="Titillium" w:cstheme="minorHAnsi"/>
          <w:sz w:val="18"/>
          <w:szCs w:val="18"/>
        </w:rPr>
        <w:t xml:space="preserve"> e nella domanda di partecipazione</w:t>
      </w:r>
      <w:r w:rsidR="004D5D36" w:rsidRPr="00820F73">
        <w:rPr>
          <w:rFonts w:ascii="Titillium" w:eastAsiaTheme="majorEastAsia" w:hAnsi="Titillium" w:cstheme="minorHAnsi"/>
          <w:sz w:val="18"/>
          <w:szCs w:val="18"/>
        </w:rPr>
        <w:t>, manifestando</w:t>
      </w:r>
      <w:r w:rsidR="00820F73">
        <w:rPr>
          <w:rFonts w:ascii="Titillium" w:eastAsiaTheme="majorEastAsia" w:hAnsi="Titillium" w:cstheme="minorHAnsi"/>
          <w:sz w:val="18"/>
          <w:szCs w:val="18"/>
        </w:rPr>
        <w:t xml:space="preserve"> </w:t>
      </w:r>
      <w:r w:rsidR="004D5D36" w:rsidRPr="00820F73">
        <w:rPr>
          <w:rFonts w:ascii="Titillium" w:eastAsiaTheme="majorEastAsia" w:hAnsi="Titillium" w:cstheme="minorHAnsi"/>
          <w:sz w:val="18"/>
          <w:szCs w:val="18"/>
        </w:rPr>
        <w:t xml:space="preserve">la volontà di subappaltare ad </w:t>
      </w:r>
      <w:r w:rsidR="00963BE3" w:rsidRPr="00820F73">
        <w:rPr>
          <w:rFonts w:ascii="Titillium" w:eastAsiaTheme="majorEastAsia" w:hAnsi="Titillium" w:cstheme="minorHAnsi"/>
          <w:sz w:val="18"/>
          <w:szCs w:val="18"/>
        </w:rPr>
        <w:t xml:space="preserve">un professionista </w:t>
      </w:r>
      <w:r w:rsidR="0069671D" w:rsidRPr="00820F73">
        <w:rPr>
          <w:rFonts w:ascii="Titillium" w:eastAsiaTheme="majorEastAsia" w:hAnsi="Titillium" w:cstheme="minorHAnsi"/>
          <w:sz w:val="18"/>
          <w:szCs w:val="18"/>
        </w:rPr>
        <w:t>in possesso dei requisiti di cui al p</w:t>
      </w:r>
      <w:r w:rsidR="00345E8A">
        <w:rPr>
          <w:rFonts w:ascii="Titillium" w:eastAsiaTheme="majorEastAsia" w:hAnsi="Titillium" w:cstheme="minorHAnsi"/>
          <w:sz w:val="18"/>
          <w:szCs w:val="18"/>
        </w:rPr>
        <w:t xml:space="preserve">aragrafo </w:t>
      </w:r>
      <w:r w:rsidR="00565CC6">
        <w:rPr>
          <w:rFonts w:ascii="Titillium" w:eastAsiaTheme="majorEastAsia" w:hAnsi="Titillium" w:cstheme="minorHAnsi"/>
          <w:sz w:val="18"/>
          <w:szCs w:val="18"/>
        </w:rPr>
        <w:t>6</w:t>
      </w:r>
      <w:r w:rsidR="00820F73">
        <w:rPr>
          <w:rFonts w:ascii="Titillium" w:eastAsiaTheme="majorEastAsia" w:hAnsi="Titillium" w:cstheme="minorHAnsi"/>
          <w:sz w:val="18"/>
          <w:szCs w:val="18"/>
        </w:rPr>
        <w:t>.1 lett. f)</w:t>
      </w:r>
      <w:r w:rsidR="00682ECB">
        <w:rPr>
          <w:rFonts w:ascii="Titillium" w:eastAsiaTheme="majorEastAsia" w:hAnsi="Titillium" w:cstheme="minorHAnsi"/>
          <w:sz w:val="18"/>
          <w:szCs w:val="18"/>
        </w:rPr>
        <w:t>, e) g)</w:t>
      </w:r>
      <w:r w:rsidR="004C1378">
        <w:rPr>
          <w:rFonts w:ascii="Titillium" w:eastAsiaTheme="majorEastAsia" w:hAnsi="Titillium" w:cstheme="minorHAnsi"/>
          <w:sz w:val="18"/>
          <w:szCs w:val="18"/>
        </w:rPr>
        <w:t xml:space="preserve"> (</w:t>
      </w:r>
      <w:r w:rsidR="004C1378" w:rsidRPr="004C1378">
        <w:rPr>
          <w:rFonts w:ascii="Titillium" w:eastAsiaTheme="majorEastAsia" w:hAnsi="Titillium" w:cstheme="minorHAnsi"/>
          <w:i/>
          <w:iCs/>
          <w:sz w:val="18"/>
          <w:szCs w:val="18"/>
        </w:rPr>
        <w:t>cd. subappalto necessario</w:t>
      </w:r>
      <w:r w:rsidR="004C1378">
        <w:rPr>
          <w:rFonts w:ascii="Titillium" w:eastAsiaTheme="majorEastAsia" w:hAnsi="Titillium" w:cstheme="minorHAnsi"/>
          <w:sz w:val="18"/>
          <w:szCs w:val="18"/>
        </w:rPr>
        <w:t>)</w:t>
      </w:r>
      <w:r w:rsidR="00682ECB">
        <w:rPr>
          <w:rFonts w:ascii="Titillium" w:eastAsiaTheme="majorEastAsia" w:hAnsi="Titillium" w:cstheme="minorHAnsi"/>
          <w:sz w:val="18"/>
          <w:szCs w:val="18"/>
        </w:rPr>
        <w:t xml:space="preserve">. </w:t>
      </w:r>
      <w:r w:rsidR="00963BE3" w:rsidRPr="00820F73">
        <w:rPr>
          <w:rFonts w:ascii="Titillium" w:eastAsiaTheme="majorEastAsia" w:hAnsi="Titillium" w:cstheme="minorHAnsi"/>
          <w:sz w:val="18"/>
          <w:szCs w:val="18"/>
        </w:rPr>
        <w:t xml:space="preserve"> In caso di mancata espressa dichiarazione </w:t>
      </w:r>
      <w:r w:rsidR="004D5D36" w:rsidRPr="00820F73">
        <w:rPr>
          <w:rFonts w:ascii="Titillium" w:eastAsiaTheme="majorEastAsia" w:hAnsi="Titillium" w:cstheme="minorHAnsi"/>
          <w:sz w:val="18"/>
          <w:szCs w:val="18"/>
        </w:rPr>
        <w:t>non potrà essere attivato il soccorso istruttorio</w:t>
      </w:r>
      <w:r w:rsidR="00963BE3" w:rsidRPr="00820F73">
        <w:rPr>
          <w:rFonts w:asciiTheme="minorHAnsi" w:eastAsiaTheme="majorEastAsia" w:hAnsiTheme="minorHAnsi" w:cstheme="minorHAnsi"/>
          <w:sz w:val="20"/>
          <w:szCs w:val="20"/>
        </w:rPr>
        <w:t>.</w:t>
      </w:r>
      <w:r w:rsidR="004D5D36" w:rsidRPr="00820F73">
        <w:rPr>
          <w:rFonts w:asciiTheme="minorHAnsi" w:eastAsiaTheme="majorEastAsia" w:hAnsiTheme="minorHAnsi" w:cstheme="minorHAnsi"/>
          <w:sz w:val="20"/>
          <w:szCs w:val="20"/>
        </w:rPr>
        <w:t xml:space="preserve"> </w:t>
      </w:r>
    </w:p>
    <w:p w14:paraId="13E6E5CF" w14:textId="0AA099A9" w:rsidR="005A0842" w:rsidRPr="000B0E59" w:rsidRDefault="00043F0B" w:rsidP="00583787">
      <w:pPr>
        <w:spacing w:before="60" w:after="60"/>
        <w:rPr>
          <w:rFonts w:ascii="Titillium" w:eastAsiaTheme="majorEastAsia" w:hAnsi="Titillium" w:cstheme="minorHAnsi"/>
          <w:sz w:val="18"/>
          <w:szCs w:val="18"/>
        </w:rPr>
      </w:pPr>
      <w:bookmarkStart w:id="1644" w:name="_Hlk209430073"/>
      <w:r w:rsidRPr="000B0E59">
        <w:rPr>
          <w:rFonts w:ascii="Titillium" w:eastAsiaTheme="majorEastAsia" w:hAnsi="Titillium" w:cstheme="minorHAnsi"/>
          <w:b/>
          <w:bCs/>
          <w:sz w:val="18"/>
          <w:szCs w:val="18"/>
        </w:rPr>
        <w:t>[</w:t>
      </w:r>
      <w:r w:rsidR="00437499" w:rsidRPr="00771E4A">
        <w:rPr>
          <w:rFonts w:ascii="Titillium" w:eastAsiaTheme="majorEastAsia" w:hAnsi="Titillium" w:cstheme="minorHAnsi"/>
          <w:b/>
          <w:bCs/>
          <w:i/>
          <w:iCs/>
          <w:sz w:val="18"/>
          <w:szCs w:val="18"/>
        </w:rPr>
        <w:t>Facoltativo ed in alternativa</w:t>
      </w:r>
      <w:r w:rsidR="00541B13" w:rsidRPr="00771E4A">
        <w:rPr>
          <w:rFonts w:ascii="Titillium" w:eastAsiaTheme="majorEastAsia" w:hAnsi="Titillium" w:cstheme="minorHAnsi"/>
          <w:b/>
          <w:bCs/>
          <w:i/>
          <w:iCs/>
          <w:sz w:val="18"/>
          <w:szCs w:val="18"/>
        </w:rPr>
        <w:t>, nel caso in cui la stazione appaltante</w:t>
      </w:r>
      <w:r w:rsidRPr="00771E4A">
        <w:rPr>
          <w:rFonts w:ascii="Titillium" w:eastAsiaTheme="majorEastAsia" w:hAnsi="Titillium" w:cstheme="minorHAnsi"/>
          <w:b/>
          <w:bCs/>
          <w:i/>
          <w:iCs/>
          <w:sz w:val="18"/>
          <w:szCs w:val="18"/>
        </w:rPr>
        <w:t xml:space="preserve"> </w:t>
      </w:r>
      <w:r w:rsidR="00541B13" w:rsidRPr="00771E4A">
        <w:rPr>
          <w:rFonts w:ascii="Titillium" w:eastAsiaTheme="majorEastAsia" w:hAnsi="Titillium" w:cstheme="minorHAnsi"/>
          <w:b/>
          <w:bCs/>
          <w:i/>
          <w:iCs/>
          <w:sz w:val="18"/>
          <w:szCs w:val="18"/>
        </w:rPr>
        <w:t>non intenda consentire il subappalto necessario per la relazione geologica o per la predisposizione e sottoscrizione di un altro elaborato specialistico quale anche la progettazione antincendio o acustica</w:t>
      </w:r>
      <w:r w:rsidR="00541B13" w:rsidRPr="000B0E59">
        <w:rPr>
          <w:rFonts w:ascii="Titillium" w:eastAsiaTheme="majorEastAsia" w:hAnsi="Titillium" w:cstheme="minorHAnsi"/>
          <w:b/>
          <w:bCs/>
          <w:sz w:val="18"/>
          <w:szCs w:val="18"/>
        </w:rPr>
        <w:t xml:space="preserve">]: </w:t>
      </w:r>
      <w:bookmarkStart w:id="1645" w:name="_Hlk209430241"/>
      <w:bookmarkEnd w:id="1644"/>
      <w:r w:rsidRPr="000B0E59">
        <w:rPr>
          <w:rFonts w:ascii="Titillium" w:eastAsiaTheme="majorEastAsia" w:hAnsi="Titillium" w:cstheme="minorHAnsi"/>
          <w:sz w:val="18"/>
          <w:szCs w:val="18"/>
        </w:rPr>
        <w:t xml:space="preserve">L’affidatario deve eseguire direttamente le seguenti prestazioni: </w:t>
      </w:r>
      <w:r w:rsidRPr="000B0E59">
        <w:rPr>
          <w:rFonts w:ascii="Titillium" w:eastAsiaTheme="majorEastAsia" w:hAnsi="Titillium" w:cstheme="minorHAnsi"/>
          <w:i/>
          <w:iCs/>
          <w:sz w:val="18"/>
          <w:szCs w:val="18"/>
        </w:rPr>
        <w:t xml:space="preserve">… [indicare </w:t>
      </w:r>
      <w:r w:rsidR="00437499" w:rsidRPr="000B0E59">
        <w:rPr>
          <w:rFonts w:ascii="Titillium" w:eastAsiaTheme="majorEastAsia" w:hAnsi="Titillium" w:cstheme="minorHAnsi"/>
          <w:i/>
          <w:iCs/>
          <w:sz w:val="18"/>
          <w:szCs w:val="18"/>
        </w:rPr>
        <w:t xml:space="preserve">le </w:t>
      </w:r>
      <w:r w:rsidR="00771E4A" w:rsidRPr="000B0E59">
        <w:rPr>
          <w:rFonts w:ascii="Titillium" w:eastAsiaTheme="majorEastAsia" w:hAnsi="Titillium" w:cstheme="minorHAnsi"/>
          <w:i/>
          <w:iCs/>
          <w:sz w:val="18"/>
          <w:szCs w:val="18"/>
        </w:rPr>
        <w:t xml:space="preserve">prestazioni] </w:t>
      </w:r>
      <w:r w:rsidR="00771E4A" w:rsidRPr="00771E4A">
        <w:rPr>
          <w:rFonts w:ascii="Titillium" w:eastAsiaTheme="majorEastAsia" w:hAnsi="Titillium" w:cstheme="minorHAnsi"/>
          <w:sz w:val="18"/>
          <w:szCs w:val="18"/>
        </w:rPr>
        <w:t>tramite</w:t>
      </w:r>
      <w:r w:rsidRPr="00771E4A">
        <w:rPr>
          <w:rFonts w:ascii="Titillium" w:eastAsiaTheme="majorEastAsia" w:hAnsi="Titillium" w:cstheme="minorHAnsi"/>
          <w:sz w:val="18"/>
          <w:szCs w:val="18"/>
        </w:rPr>
        <w:t xml:space="preserve"> </w:t>
      </w:r>
      <w:r w:rsidRPr="000B0E59">
        <w:rPr>
          <w:rFonts w:ascii="Titillium" w:eastAsiaTheme="majorEastAsia" w:hAnsi="Titillium" w:cstheme="minorHAnsi"/>
          <w:sz w:val="18"/>
          <w:szCs w:val="18"/>
        </w:rPr>
        <w:t>le figure specificatamente indicate nel gruppo di lavoro. Ciò in ragione dell’esigenza di garantire … [</w:t>
      </w:r>
      <w:r w:rsidRPr="000B0E59">
        <w:rPr>
          <w:rFonts w:ascii="Titillium" w:eastAsiaTheme="majorEastAsia" w:hAnsi="Titillium" w:cstheme="minorHAnsi"/>
          <w:i/>
          <w:iCs/>
          <w:sz w:val="18"/>
          <w:szCs w:val="18"/>
        </w:rPr>
        <w:t>indicare le motivazioni</w:t>
      </w:r>
      <w:r w:rsidRPr="000B0E59">
        <w:rPr>
          <w:rFonts w:ascii="Titillium" w:eastAsiaTheme="majorEastAsia" w:hAnsi="Titillium" w:cstheme="minorHAnsi"/>
          <w:sz w:val="18"/>
          <w:szCs w:val="18"/>
        </w:rPr>
        <w:t>].</w:t>
      </w:r>
    </w:p>
    <w:p w14:paraId="3A6F8387" w14:textId="77777777" w:rsidR="00C95987" w:rsidRPr="000B0E59" w:rsidRDefault="00C95987" w:rsidP="00583787">
      <w:pPr>
        <w:spacing w:before="60" w:after="60"/>
        <w:rPr>
          <w:rFonts w:ascii="Titillium" w:eastAsiaTheme="majorEastAsia" w:hAnsi="Titillium" w:cstheme="minorHAnsi"/>
          <w:sz w:val="18"/>
          <w:szCs w:val="18"/>
        </w:rPr>
      </w:pPr>
    </w:p>
    <w:tbl>
      <w:tblPr>
        <w:tblStyle w:val="Grigliatabella"/>
        <w:tblW w:w="0" w:type="auto"/>
        <w:tblLook w:val="04A0" w:firstRow="1" w:lastRow="0" w:firstColumn="1" w:lastColumn="0" w:noHBand="0" w:noVBand="1"/>
      </w:tblPr>
      <w:tblGrid>
        <w:gridCol w:w="9214"/>
      </w:tblGrid>
      <w:tr w:rsidR="00541B13" w:rsidRPr="000B0E59" w14:paraId="718AE16E" w14:textId="77777777" w:rsidTr="00541B13">
        <w:tc>
          <w:tcPr>
            <w:tcW w:w="9214" w:type="dxa"/>
          </w:tcPr>
          <w:p w14:paraId="091E7C15" w14:textId="69DC2D14" w:rsidR="00541B13" w:rsidRPr="00771E4A" w:rsidRDefault="00284AA5" w:rsidP="00583787">
            <w:pPr>
              <w:spacing w:before="60" w:after="60"/>
              <w:rPr>
                <w:rFonts w:ascii="Titillium" w:eastAsiaTheme="majorEastAsia" w:hAnsi="Titillium" w:cstheme="minorHAnsi"/>
                <w:i/>
                <w:iCs/>
                <w:sz w:val="18"/>
                <w:szCs w:val="18"/>
              </w:rPr>
            </w:pPr>
            <w:r w:rsidRPr="00771E4A">
              <w:rPr>
                <w:rFonts w:ascii="Titillium" w:eastAsiaTheme="majorEastAsia" w:hAnsi="Titillium" w:cstheme="minorHAnsi"/>
                <w:i/>
                <w:iCs/>
                <w:sz w:val="18"/>
                <w:szCs w:val="18"/>
              </w:rPr>
              <w:t>N.B. La stazione appaltante può mantenere entrambe le formulazioni nel caso in cui intenda consentire il subappalto necessario per alcune prestazioni specialistiche e</w:t>
            </w:r>
            <w:r w:rsidR="00437499" w:rsidRPr="00771E4A">
              <w:rPr>
                <w:rFonts w:ascii="Titillium" w:eastAsiaTheme="majorEastAsia" w:hAnsi="Titillium" w:cstheme="minorHAnsi"/>
                <w:i/>
                <w:iCs/>
                <w:sz w:val="18"/>
                <w:szCs w:val="18"/>
              </w:rPr>
              <w:t xml:space="preserve">d escluderlo </w:t>
            </w:r>
            <w:r w:rsidRPr="00771E4A">
              <w:rPr>
                <w:rFonts w:ascii="Titillium" w:eastAsiaTheme="majorEastAsia" w:hAnsi="Titillium" w:cstheme="minorHAnsi"/>
                <w:i/>
                <w:iCs/>
                <w:sz w:val="18"/>
                <w:szCs w:val="18"/>
              </w:rPr>
              <w:t xml:space="preserve">per altre.    </w:t>
            </w:r>
          </w:p>
        </w:tc>
      </w:tr>
    </w:tbl>
    <w:p w14:paraId="454BCF1A" w14:textId="77777777" w:rsidR="00541B13" w:rsidRPr="000B0E59" w:rsidRDefault="00541B13" w:rsidP="00583787">
      <w:pPr>
        <w:spacing w:before="60" w:after="60"/>
        <w:rPr>
          <w:rFonts w:ascii="Titillium" w:eastAsiaTheme="majorEastAsia" w:hAnsi="Titillium" w:cstheme="minorHAnsi"/>
          <w:sz w:val="18"/>
          <w:szCs w:val="18"/>
        </w:rPr>
      </w:pPr>
    </w:p>
    <w:bookmarkEnd w:id="1645"/>
    <w:p w14:paraId="277C1E18" w14:textId="6273990B" w:rsidR="00043F0B" w:rsidRPr="000B0E59" w:rsidRDefault="00495E44" w:rsidP="0000513E">
      <w:pPr>
        <w:spacing w:before="60" w:after="60" w:line="240" w:lineRule="auto"/>
        <w:rPr>
          <w:rFonts w:ascii="Titillium" w:eastAsiaTheme="majorEastAsia" w:hAnsi="Titillium" w:cstheme="minorHAnsi"/>
          <w:sz w:val="18"/>
          <w:szCs w:val="18"/>
        </w:rPr>
      </w:pPr>
      <w:r w:rsidRPr="00771E4A">
        <w:rPr>
          <w:rFonts w:ascii="Titillium" w:eastAsiaTheme="majorEastAsia" w:hAnsi="Titillium" w:cstheme="minorHAnsi"/>
          <w:b/>
          <w:bCs/>
          <w:i/>
          <w:iCs/>
          <w:sz w:val="18"/>
          <w:szCs w:val="18"/>
        </w:rPr>
        <w:t>[Facoltativo, nel caso in cui la stazione appaltante intenda vietare il subappalto a cascata in determinate prestazioni, in ragione delle specifiche caratteristiche dell’appalto</w:t>
      </w:r>
      <w:r w:rsidRPr="000B0E59">
        <w:rPr>
          <w:rFonts w:ascii="Titillium" w:eastAsiaTheme="majorEastAsia" w:hAnsi="Titillium" w:cstheme="minorHAnsi"/>
          <w:sz w:val="18"/>
          <w:szCs w:val="18"/>
        </w:rPr>
        <w:t>] Le seguenti prestazioni possono essere subappaltate ma non possono, a loro volta, essere oggetto di ulteriore subappalto: … [</w:t>
      </w:r>
      <w:r w:rsidRPr="000B0E59">
        <w:rPr>
          <w:rFonts w:ascii="Titillium" w:eastAsiaTheme="majorEastAsia" w:hAnsi="Titillium" w:cstheme="minorHAnsi"/>
          <w:i/>
          <w:iCs/>
          <w:sz w:val="18"/>
          <w:szCs w:val="18"/>
        </w:rPr>
        <w:t>indicare le prestazioni</w:t>
      </w:r>
      <w:r w:rsidRPr="000B0E59">
        <w:rPr>
          <w:rFonts w:ascii="Titillium" w:eastAsiaTheme="majorEastAsia" w:hAnsi="Titillium" w:cstheme="minorHAnsi"/>
          <w:sz w:val="18"/>
          <w:szCs w:val="18"/>
        </w:rPr>
        <w:t>]. Ciò in ragione dell’esigenza di garantire … [</w:t>
      </w:r>
      <w:r w:rsidRPr="000B0E59">
        <w:rPr>
          <w:rFonts w:ascii="Titillium" w:eastAsiaTheme="majorEastAsia" w:hAnsi="Titillium" w:cstheme="minorHAnsi"/>
          <w:i/>
          <w:iCs/>
          <w:sz w:val="18"/>
          <w:szCs w:val="18"/>
        </w:rPr>
        <w:t>indicare le motivazioni</w:t>
      </w:r>
      <w:r w:rsidRPr="000B0E59">
        <w:rPr>
          <w:rFonts w:ascii="Titillium" w:eastAsiaTheme="majorEastAsia" w:hAnsi="Titillium" w:cstheme="minorHAnsi"/>
          <w:sz w:val="18"/>
          <w:szCs w:val="18"/>
        </w:rPr>
        <w:t>].</w:t>
      </w:r>
    </w:p>
    <w:p w14:paraId="35A1548D" w14:textId="77777777" w:rsidR="00E75870" w:rsidRPr="000B0E59" w:rsidRDefault="00E75870" w:rsidP="0000513E">
      <w:pPr>
        <w:spacing w:before="60" w:after="60" w:line="240" w:lineRule="auto"/>
        <w:rPr>
          <w:rFonts w:ascii="Titillium" w:eastAsiaTheme="majorEastAsia" w:hAnsi="Titillium" w:cstheme="minorHAnsi"/>
          <w:i/>
          <w:iCs/>
          <w:sz w:val="18"/>
          <w:szCs w:val="18"/>
        </w:rPr>
      </w:pPr>
    </w:p>
    <w:p w14:paraId="64707C5A" w14:textId="6BE46FC9" w:rsidR="00C81969" w:rsidRPr="000B0E59" w:rsidRDefault="0078011D" w:rsidP="0000513E">
      <w:pPr>
        <w:spacing w:before="60" w:after="60" w:line="240" w:lineRule="auto"/>
        <w:rPr>
          <w:rFonts w:ascii="Titillium" w:eastAsiaTheme="majorEastAsia" w:hAnsi="Titillium" w:cstheme="minorHAnsi"/>
          <w:sz w:val="18"/>
          <w:szCs w:val="18"/>
        </w:rPr>
      </w:pPr>
      <w:r w:rsidRPr="000B0E59">
        <w:rPr>
          <w:rFonts w:ascii="Titillium" w:eastAsiaTheme="majorEastAsia" w:hAnsi="Titillium" w:cstheme="minorHAnsi"/>
          <w:i/>
          <w:iCs/>
          <w:sz w:val="18"/>
          <w:szCs w:val="18"/>
        </w:rPr>
        <w:t>[</w:t>
      </w:r>
      <w:r w:rsidRPr="000B0E59">
        <w:rPr>
          <w:rFonts w:ascii="Titillium" w:eastAsiaTheme="majorEastAsia" w:hAnsi="Titillium" w:cstheme="minorHAnsi"/>
          <w:b/>
          <w:bCs/>
          <w:i/>
          <w:iCs/>
          <w:sz w:val="18"/>
          <w:szCs w:val="18"/>
        </w:rPr>
        <w:t>Nel caso in cui l’appalto comprenda anche altre prestazioni non riconducibili ai servizi di ingegneria e architettura]</w:t>
      </w:r>
      <w:r w:rsidRPr="000B0E59">
        <w:rPr>
          <w:rFonts w:ascii="Titillium" w:eastAsiaTheme="majorEastAsia" w:hAnsi="Titillium" w:cstheme="minorHAnsi"/>
          <w:sz w:val="18"/>
          <w:szCs w:val="18"/>
        </w:rPr>
        <w:t xml:space="preserve"> </w:t>
      </w:r>
      <w:r w:rsidR="00C81969" w:rsidRPr="000B0E59">
        <w:rPr>
          <w:rFonts w:ascii="Titillium" w:eastAsiaTheme="majorEastAsia" w:hAnsi="Titillium" w:cstheme="minorHAnsi"/>
          <w:sz w:val="18"/>
          <w:szCs w:val="18"/>
        </w:rPr>
        <w:t>Nella domanda di partecipazione il concorrente si impegna a subappaltare alle piccole e medie imprese una quota non inferiore al 20 per cento delle prestazioni</w:t>
      </w:r>
      <w:r w:rsidR="00BD432F" w:rsidRPr="000B0E59">
        <w:rPr>
          <w:rFonts w:ascii="Titillium" w:eastAsiaTheme="majorEastAsia" w:hAnsi="Titillium" w:cstheme="minorHAnsi"/>
          <w:sz w:val="18"/>
          <w:szCs w:val="18"/>
        </w:rPr>
        <w:t xml:space="preserve"> non riconducibili ai servizi di ingegneria e architettura</w:t>
      </w:r>
      <w:r w:rsidR="00C81969" w:rsidRPr="000B0E59">
        <w:rPr>
          <w:rFonts w:ascii="Titillium" w:eastAsiaTheme="majorEastAsia" w:hAnsi="Titillium" w:cstheme="minorHAnsi"/>
          <w:sz w:val="18"/>
          <w:szCs w:val="18"/>
        </w:rPr>
        <w:t xml:space="preserve"> che intende subappaltare, oppure una quota inferiore, dandone nel caso adeguata motivazione con riferimento all'oggetto, alle caratteristiche delle prestazioni o al mercato di riferimento.</w:t>
      </w:r>
    </w:p>
    <w:p w14:paraId="29A1F89E" w14:textId="77777777" w:rsidR="00345E8A" w:rsidRDefault="00345E8A" w:rsidP="0000513E">
      <w:pPr>
        <w:spacing w:before="60" w:after="60" w:line="240" w:lineRule="auto"/>
        <w:rPr>
          <w:rFonts w:ascii="Titillium" w:eastAsiaTheme="majorEastAsia" w:hAnsi="Titillium" w:cstheme="minorHAnsi"/>
          <w:sz w:val="18"/>
          <w:szCs w:val="18"/>
        </w:rPr>
      </w:pPr>
    </w:p>
    <w:p w14:paraId="5885FDFA" w14:textId="7D7C6E57" w:rsidR="00043F0B" w:rsidRPr="009D0B6E" w:rsidRDefault="005E1E84" w:rsidP="0000513E">
      <w:pPr>
        <w:spacing w:before="60" w:after="60" w:line="240" w:lineRule="auto"/>
        <w:rPr>
          <w:rFonts w:ascii="Titillium" w:eastAsiaTheme="majorEastAsia" w:hAnsi="Titillium" w:cstheme="minorHAnsi"/>
          <w:sz w:val="18"/>
          <w:szCs w:val="18"/>
        </w:rPr>
      </w:pPr>
      <w:r w:rsidRPr="00495E44">
        <w:rPr>
          <w:rFonts w:ascii="Titillium" w:eastAsiaTheme="majorEastAsia" w:hAnsi="Titillium" w:cstheme="minorHAnsi"/>
          <w:sz w:val="18"/>
          <w:szCs w:val="18"/>
        </w:rPr>
        <w:t>L’aggiudicatario e il subappaltatore sono responsabili in solido nei confronti della stazione appaltante dell’esecuzione delle prestazioni oggetto del contratto di subappalto</w:t>
      </w:r>
    </w:p>
    <w:p w14:paraId="570E8762" w14:textId="194D49FF" w:rsidR="006842EE" w:rsidRPr="00B544E7" w:rsidRDefault="008F2625" w:rsidP="00D26F03">
      <w:pPr>
        <w:pStyle w:val="Titolo2"/>
        <w:numPr>
          <w:ilvl w:val="0"/>
          <w:numId w:val="54"/>
        </w:numPr>
        <w:ind w:left="357" w:hanging="357"/>
        <w:rPr>
          <w:rFonts w:ascii="Titillium" w:hAnsi="Titillium"/>
          <w:caps w:val="0"/>
          <w:sz w:val="18"/>
          <w:szCs w:val="18"/>
        </w:rPr>
      </w:pPr>
      <w:bookmarkStart w:id="1646" w:name="_Ref132050689"/>
      <w:bookmarkStart w:id="1647" w:name="_Toc227921632"/>
      <w:bookmarkStart w:id="1648" w:name="_Ref531264739"/>
      <w:bookmarkStart w:id="1649" w:name="_Ref531346857"/>
      <w:bookmarkStart w:id="1650" w:name="_Ref531346843"/>
      <w:r w:rsidRPr="00B544E7">
        <w:rPr>
          <w:rFonts w:ascii="Titillium" w:hAnsi="Titillium"/>
          <w:caps w:val="0"/>
          <w:sz w:val="18"/>
          <w:szCs w:val="18"/>
        </w:rPr>
        <w:t>REQUISITI DI PARTECIPAZIONE E/O CONDIZIONI DI ESECUZIONE</w:t>
      </w:r>
      <w:bookmarkEnd w:id="1646"/>
      <w:bookmarkEnd w:id="1647"/>
      <w:r w:rsidRPr="00B544E7">
        <w:rPr>
          <w:rFonts w:ascii="Titillium" w:hAnsi="Titillium"/>
          <w:caps w:val="0"/>
          <w:sz w:val="18"/>
          <w:szCs w:val="18"/>
        </w:rPr>
        <w:t xml:space="preserve"> </w:t>
      </w:r>
    </w:p>
    <w:p w14:paraId="636C97CF" w14:textId="256E0FD0" w:rsidR="006842EE" w:rsidRPr="00042594" w:rsidRDefault="008F2625">
      <w:pPr>
        <w:spacing w:after="120"/>
        <w:rPr>
          <w:rFonts w:ascii="Titillium" w:hAnsi="Titillium" w:cs="Arial"/>
          <w:sz w:val="18"/>
          <w:szCs w:val="18"/>
        </w:rPr>
      </w:pPr>
      <w:bookmarkStart w:id="1651" w:name="_Toc483571518"/>
      <w:bookmarkStart w:id="1652" w:name="_Toc483474087"/>
      <w:bookmarkStart w:id="1653" w:name="_Toc483401291"/>
      <w:bookmarkStart w:id="1654" w:name="_Toc483325813"/>
      <w:bookmarkStart w:id="1655" w:name="_Toc483316520"/>
      <w:bookmarkStart w:id="1656" w:name="_Toc483316389"/>
      <w:bookmarkStart w:id="1657" w:name="_Toc483316257"/>
      <w:bookmarkStart w:id="1658" w:name="_Toc483316052"/>
      <w:bookmarkStart w:id="1659" w:name="_Toc483302431"/>
      <w:bookmarkStart w:id="1660" w:name="_Toc483233704"/>
      <w:bookmarkStart w:id="1661" w:name="_Toc482979744"/>
      <w:bookmarkStart w:id="1662" w:name="_Toc482979646"/>
      <w:bookmarkStart w:id="1663" w:name="_Toc482979548"/>
      <w:bookmarkStart w:id="1664" w:name="_Toc482979440"/>
      <w:bookmarkStart w:id="1665" w:name="_Toc482979331"/>
      <w:bookmarkStart w:id="1666" w:name="_Toc482979222"/>
      <w:bookmarkStart w:id="1667" w:name="_Toc482979111"/>
      <w:bookmarkStart w:id="1668" w:name="_Toc482979003"/>
      <w:bookmarkStart w:id="1669" w:name="_Toc482978894"/>
      <w:bookmarkStart w:id="1670" w:name="_Toc482959775"/>
      <w:bookmarkStart w:id="1671" w:name="_Toc482959665"/>
      <w:bookmarkStart w:id="1672" w:name="_Toc482959555"/>
      <w:bookmarkStart w:id="1673" w:name="_Toc482712767"/>
      <w:bookmarkStart w:id="1674" w:name="_Toc482641321"/>
      <w:bookmarkStart w:id="1675" w:name="_Toc483907018"/>
      <w:bookmarkStart w:id="1676" w:name="_Toc48357164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r w:rsidRPr="00042594">
        <w:rPr>
          <w:rFonts w:ascii="Titillium" w:hAnsi="Titillium" w:cs="Calibri"/>
          <w:i/>
          <w:sz w:val="18"/>
          <w:szCs w:val="18"/>
        </w:rPr>
        <w:t>[</w:t>
      </w:r>
      <w:r w:rsidRPr="00042594">
        <w:rPr>
          <w:rFonts w:ascii="Titillium" w:hAnsi="Titillium" w:cs="Arial"/>
          <w:b/>
          <w:bCs/>
          <w:i/>
          <w:sz w:val="18"/>
          <w:szCs w:val="18"/>
        </w:rPr>
        <w:t xml:space="preserve">Per le </w:t>
      </w:r>
      <w:r w:rsidR="004C4B39">
        <w:rPr>
          <w:rFonts w:ascii="Titillium" w:hAnsi="Titillium" w:cs="Arial"/>
          <w:b/>
          <w:bCs/>
          <w:i/>
          <w:sz w:val="18"/>
          <w:szCs w:val="18"/>
        </w:rPr>
        <w:t xml:space="preserve">sole </w:t>
      </w:r>
      <w:r w:rsidRPr="00042594">
        <w:rPr>
          <w:rFonts w:ascii="Titillium" w:hAnsi="Titillium" w:cs="Arial"/>
          <w:b/>
          <w:bCs/>
          <w:i/>
          <w:sz w:val="18"/>
          <w:szCs w:val="18"/>
        </w:rPr>
        <w:t xml:space="preserve">procedure di gara afferenti agli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w:t>
      </w:r>
      <w:r w:rsidRPr="00042594">
        <w:rPr>
          <w:rFonts w:ascii="Titillium" w:hAnsi="Titillium" w:cs="Courier New"/>
          <w:b/>
          <w:i/>
          <w:sz w:val="18"/>
          <w:szCs w:val="18"/>
        </w:rPr>
        <w:t>decreto legge 31 maggio 2021, n. 77, convertito, con modificazioni, dalla legge 29 luglio 2021, n. 108</w:t>
      </w:r>
      <w:r w:rsidR="004C4B39">
        <w:rPr>
          <w:rFonts w:ascii="Titillium" w:hAnsi="Titillium" w:cs="Courier New"/>
          <w:b/>
          <w:i/>
          <w:sz w:val="18"/>
          <w:szCs w:val="18"/>
        </w:rPr>
        <w:t>]</w:t>
      </w:r>
      <w:r w:rsidRPr="00042594">
        <w:rPr>
          <w:rFonts w:ascii="Titillium" w:hAnsi="Titillium" w:cs="Courier New"/>
          <w:b/>
          <w:i/>
          <w:sz w:val="18"/>
          <w:szCs w:val="18"/>
        </w:rPr>
        <w:t xml:space="preserve"> </w:t>
      </w:r>
    </w:p>
    <w:p w14:paraId="5808DEE7" w14:textId="77777777" w:rsidR="006842EE" w:rsidRDefault="008F2625">
      <w:pPr>
        <w:spacing w:after="120"/>
        <w:rPr>
          <w:rFonts w:ascii="Titillium" w:hAnsi="Titillium" w:cs="Arial"/>
          <w:b/>
          <w:bCs/>
          <w:i/>
          <w:sz w:val="18"/>
          <w:szCs w:val="18"/>
        </w:rPr>
      </w:pPr>
      <w:r>
        <w:rPr>
          <w:rFonts w:ascii="Titillium" w:hAnsi="Titillium" w:cs="Calibri"/>
          <w:sz w:val="18"/>
          <w:szCs w:val="18"/>
        </w:rPr>
        <w:t xml:space="preserve">Il concorrente si impegna, </w:t>
      </w:r>
      <w:r>
        <w:rPr>
          <w:rFonts w:ascii="Titillium" w:hAnsi="Titillium" w:cs="Calibri"/>
          <w:sz w:val="18"/>
          <w:szCs w:val="18"/>
          <w:u w:val="single"/>
        </w:rPr>
        <w:t>a pena di esclusione</w:t>
      </w:r>
      <w:r>
        <w:rPr>
          <w:rFonts w:ascii="Titillium" w:hAnsi="Titillium" w:cs="Arial"/>
          <w:sz w:val="18"/>
          <w:szCs w:val="18"/>
        </w:rPr>
        <w:t>, in caso di aggiudicazione del contratto, ad assicurare:</w:t>
      </w:r>
    </w:p>
    <w:p w14:paraId="675C23AD" w14:textId="6BB1E04B" w:rsidR="006842EE" w:rsidRPr="00B620AF" w:rsidRDefault="008F2625" w:rsidP="00D26F03">
      <w:pPr>
        <w:pStyle w:val="Paragrafoelenco"/>
        <w:widowControl w:val="0"/>
        <w:numPr>
          <w:ilvl w:val="0"/>
          <w:numId w:val="22"/>
        </w:numPr>
        <w:rPr>
          <w:rFonts w:ascii="Titillium" w:hAnsi="Titillium" w:cs="Arial"/>
          <w:sz w:val="18"/>
          <w:szCs w:val="18"/>
        </w:rPr>
      </w:pPr>
      <w:r w:rsidRPr="00B620AF">
        <w:rPr>
          <w:rFonts w:ascii="Titillium" w:hAnsi="Titillium" w:cs="Arial"/>
          <w:sz w:val="18"/>
          <w:szCs w:val="18"/>
        </w:rPr>
        <w:t>una quota pari</w:t>
      </w:r>
      <w:r w:rsidR="000C1D84" w:rsidRPr="00B620AF">
        <w:rPr>
          <w:rFonts w:ascii="Titillium" w:hAnsi="Titillium" w:cs="Arial"/>
          <w:color w:val="5B9BD5" w:themeColor="accent1"/>
          <w:sz w:val="18"/>
          <w:szCs w:val="18"/>
        </w:rPr>
        <w:t xml:space="preserve"> </w:t>
      </w:r>
      <w:r w:rsidR="000C1D84" w:rsidRPr="007D2F3A">
        <w:rPr>
          <w:rFonts w:ascii="Titillium" w:hAnsi="Titillium" w:cs="Arial"/>
          <w:sz w:val="18"/>
          <w:szCs w:val="18"/>
        </w:rPr>
        <w:t>almeno</w:t>
      </w:r>
      <w:r w:rsidRPr="007D2F3A">
        <w:rPr>
          <w:rFonts w:ascii="Titillium" w:hAnsi="Titillium" w:cs="Arial"/>
          <w:sz w:val="18"/>
          <w:szCs w:val="18"/>
        </w:rPr>
        <w:t xml:space="preserve"> al …</w:t>
      </w:r>
      <w:r w:rsidR="00441D13">
        <w:rPr>
          <w:rFonts w:ascii="Titillium" w:hAnsi="Titillium" w:cs="Arial"/>
          <w:sz w:val="18"/>
          <w:szCs w:val="18"/>
        </w:rPr>
        <w:t xml:space="preserve"> </w:t>
      </w:r>
      <w:r w:rsidRPr="007D2F3A">
        <w:rPr>
          <w:rFonts w:ascii="Titillium" w:hAnsi="Titillium" w:cs="Arial"/>
          <w:sz w:val="18"/>
          <w:szCs w:val="18"/>
        </w:rPr>
        <w:t xml:space="preserve">per cento delle assunzioni necessarie </w:t>
      </w:r>
      <w:r w:rsidRPr="007D2F3A">
        <w:rPr>
          <w:rFonts w:ascii="Titillium" w:hAnsi="Titillium" w:cs="Arial"/>
          <w:i/>
          <w:iCs/>
          <w:sz w:val="18"/>
          <w:szCs w:val="18"/>
        </w:rPr>
        <w:t>[indicare la quota percentuale scelta</w:t>
      </w:r>
      <w:r w:rsidR="00B620AF" w:rsidRPr="007D2F3A">
        <w:t xml:space="preserve"> </w:t>
      </w:r>
      <w:r w:rsidR="00B620AF" w:rsidRPr="007D2F3A">
        <w:rPr>
          <w:rFonts w:ascii="Titillium" w:hAnsi="Titillium" w:cs="Arial"/>
          <w:i/>
          <w:iCs/>
          <w:sz w:val="18"/>
          <w:szCs w:val="18"/>
        </w:rPr>
        <w:t xml:space="preserve">pari o superiore al 30% indicata dalla stazione appaltante ovvero quella inferiore in caso di deroga, ai </w:t>
      </w:r>
      <w:r w:rsidR="001B6605" w:rsidRPr="007D2F3A">
        <w:rPr>
          <w:rFonts w:ascii="Titillium" w:hAnsi="Titillium" w:cs="Arial"/>
          <w:i/>
          <w:iCs/>
          <w:sz w:val="18"/>
          <w:szCs w:val="18"/>
        </w:rPr>
        <w:t>sensi dell’articolo</w:t>
      </w:r>
      <w:r w:rsidR="00B620AF" w:rsidRPr="007D2F3A">
        <w:rPr>
          <w:rFonts w:ascii="Titillium" w:hAnsi="Titillium" w:cs="Arial"/>
          <w:i/>
          <w:iCs/>
          <w:sz w:val="18"/>
          <w:szCs w:val="18"/>
        </w:rPr>
        <w:t xml:space="preserve"> 47, comma 7, decreto</w:t>
      </w:r>
      <w:r w:rsidR="00841093">
        <w:rPr>
          <w:rFonts w:ascii="Titillium" w:hAnsi="Titillium" w:cs="Arial"/>
          <w:i/>
          <w:iCs/>
          <w:sz w:val="18"/>
          <w:szCs w:val="18"/>
        </w:rPr>
        <w:t>-l</w:t>
      </w:r>
      <w:r w:rsidR="00B620AF" w:rsidRPr="007D2F3A">
        <w:rPr>
          <w:rFonts w:ascii="Titillium" w:hAnsi="Titillium" w:cs="Arial"/>
          <w:i/>
          <w:iCs/>
          <w:sz w:val="18"/>
          <w:szCs w:val="18"/>
        </w:rPr>
        <w:t>egge n. 77/2021</w:t>
      </w:r>
      <w:r w:rsidRPr="007D2F3A">
        <w:rPr>
          <w:rFonts w:ascii="Titillium" w:hAnsi="Titillium" w:cs="Arial"/>
          <w:i/>
          <w:iCs/>
          <w:sz w:val="18"/>
          <w:szCs w:val="18"/>
        </w:rPr>
        <w:t>]</w:t>
      </w:r>
      <w:r w:rsidRPr="007D2F3A">
        <w:rPr>
          <w:rFonts w:ascii="Titillium" w:hAnsi="Titillium" w:cs="Arial"/>
          <w:sz w:val="18"/>
          <w:szCs w:val="18"/>
        </w:rPr>
        <w:t xml:space="preserve"> </w:t>
      </w:r>
      <w:r w:rsidRPr="00B620AF">
        <w:rPr>
          <w:rFonts w:ascii="Titillium" w:hAnsi="Titillium" w:cs="Arial"/>
          <w:sz w:val="18"/>
          <w:szCs w:val="18"/>
        </w:rPr>
        <w:t>di occupazione giovanile</w:t>
      </w:r>
      <w:r w:rsidR="008A5422">
        <w:rPr>
          <w:rFonts w:ascii="Titillium" w:hAnsi="Titillium" w:cs="Arial"/>
          <w:sz w:val="18"/>
          <w:szCs w:val="18"/>
        </w:rPr>
        <w:t>:</w:t>
      </w:r>
    </w:p>
    <w:p w14:paraId="54D182EE" w14:textId="21F68D6A" w:rsidR="006842EE" w:rsidRPr="00B620AF" w:rsidRDefault="008F2625" w:rsidP="00D26F03">
      <w:pPr>
        <w:pStyle w:val="Paragrafoelenco"/>
        <w:widowControl w:val="0"/>
        <w:numPr>
          <w:ilvl w:val="0"/>
          <w:numId w:val="22"/>
        </w:numPr>
        <w:rPr>
          <w:rFonts w:ascii="Titillium" w:hAnsi="Titillium" w:cs="Arial"/>
          <w:sz w:val="18"/>
          <w:szCs w:val="18"/>
        </w:rPr>
      </w:pPr>
      <w:r w:rsidRPr="00B620AF">
        <w:rPr>
          <w:rFonts w:ascii="Titillium" w:hAnsi="Titillium" w:cs="Arial"/>
          <w:sz w:val="18"/>
          <w:szCs w:val="18"/>
        </w:rPr>
        <w:t xml:space="preserve">una quota pari </w:t>
      </w:r>
      <w:r w:rsidR="000C1D84" w:rsidRPr="007D2F3A">
        <w:rPr>
          <w:rFonts w:ascii="Titillium" w:hAnsi="Titillium" w:cs="Arial"/>
          <w:sz w:val="18"/>
          <w:szCs w:val="18"/>
        </w:rPr>
        <w:t xml:space="preserve">almeno </w:t>
      </w:r>
      <w:r w:rsidRPr="007D2F3A">
        <w:rPr>
          <w:rFonts w:ascii="Titillium" w:hAnsi="Titillium" w:cs="Arial"/>
          <w:sz w:val="18"/>
          <w:szCs w:val="18"/>
        </w:rPr>
        <w:t xml:space="preserve">al … per cento delle assunzioni necessarie </w:t>
      </w:r>
      <w:r w:rsidRPr="007D2F3A">
        <w:rPr>
          <w:rFonts w:ascii="Titillium" w:hAnsi="Titillium" w:cs="Arial"/>
          <w:i/>
          <w:iCs/>
          <w:sz w:val="18"/>
          <w:szCs w:val="18"/>
        </w:rPr>
        <w:t>[indicare la quota percentuale scelta</w:t>
      </w:r>
      <w:r w:rsidR="00B620AF" w:rsidRPr="007D2F3A">
        <w:t xml:space="preserve"> </w:t>
      </w:r>
      <w:r w:rsidR="00B620AF" w:rsidRPr="007D2F3A">
        <w:rPr>
          <w:rFonts w:ascii="Titillium" w:hAnsi="Titillium" w:cs="Arial"/>
          <w:i/>
          <w:iCs/>
          <w:sz w:val="18"/>
          <w:szCs w:val="18"/>
        </w:rPr>
        <w:t xml:space="preserve">pari o superiore al 30% indicata dalla stazione appaltante ovvero quella inferiore in caso di deroga, ai sensi dell’articolo 47, comma 7, </w:t>
      </w:r>
      <w:r w:rsidR="00841093" w:rsidRPr="007D2F3A">
        <w:rPr>
          <w:rFonts w:ascii="Titillium" w:hAnsi="Titillium" w:cs="Arial"/>
          <w:i/>
          <w:iCs/>
          <w:sz w:val="18"/>
          <w:szCs w:val="18"/>
        </w:rPr>
        <w:t>decreto-legge</w:t>
      </w:r>
      <w:r w:rsidR="00B620AF" w:rsidRPr="007D2F3A">
        <w:rPr>
          <w:rFonts w:ascii="Titillium" w:hAnsi="Titillium" w:cs="Arial"/>
          <w:i/>
          <w:iCs/>
          <w:sz w:val="18"/>
          <w:szCs w:val="18"/>
        </w:rPr>
        <w:t xml:space="preserve"> n. 77/2021</w:t>
      </w:r>
      <w:r w:rsidRPr="007D2F3A">
        <w:rPr>
          <w:rFonts w:ascii="Titillium" w:hAnsi="Titillium" w:cs="Arial"/>
          <w:i/>
          <w:iCs/>
          <w:sz w:val="18"/>
          <w:szCs w:val="18"/>
        </w:rPr>
        <w:t>]</w:t>
      </w:r>
      <w:r w:rsidRPr="007D2F3A">
        <w:rPr>
          <w:rFonts w:ascii="Titillium" w:hAnsi="Titillium" w:cs="Arial"/>
          <w:sz w:val="18"/>
          <w:szCs w:val="18"/>
        </w:rPr>
        <w:t xml:space="preserve"> di occupazione femminile</w:t>
      </w:r>
      <w:r w:rsidR="008A5422">
        <w:rPr>
          <w:rFonts w:ascii="Titillium" w:hAnsi="Titillium" w:cs="Arial"/>
          <w:sz w:val="18"/>
          <w:szCs w:val="18"/>
        </w:rPr>
        <w:t>.</w:t>
      </w:r>
    </w:p>
    <w:p w14:paraId="36A60976" w14:textId="3D5B8ED2" w:rsidR="00B620AF" w:rsidRDefault="008F2625" w:rsidP="007D2F3A">
      <w:pPr>
        <w:widowControl w:val="0"/>
        <w:rPr>
          <w:rFonts w:ascii="Titillium" w:hAnsi="Titillium" w:cs="Courier New"/>
          <w:sz w:val="18"/>
          <w:szCs w:val="18"/>
        </w:rPr>
      </w:pPr>
      <w:r>
        <w:rPr>
          <w:rFonts w:ascii="Titillium" w:hAnsi="Titillium" w:cs="Arial"/>
          <w:i/>
          <w:sz w:val="18"/>
          <w:szCs w:val="18"/>
        </w:rPr>
        <w:t>[</w:t>
      </w:r>
      <w:r w:rsidR="008F217F">
        <w:rPr>
          <w:rFonts w:ascii="Titillium" w:hAnsi="Titillium" w:cs="Arial"/>
          <w:i/>
          <w:sz w:val="18"/>
          <w:szCs w:val="18"/>
        </w:rPr>
        <w:t>N.B. L</w:t>
      </w:r>
      <w:r>
        <w:rPr>
          <w:rFonts w:ascii="Titillium" w:hAnsi="Titillium" w:cs="Arial"/>
          <w:i/>
          <w:sz w:val="18"/>
          <w:szCs w:val="18"/>
        </w:rPr>
        <w:t>a quota percentuale scelta, deve essere almeno pari al 30 per cento</w:t>
      </w:r>
      <w:r>
        <w:rPr>
          <w:rFonts w:ascii="Titillium" w:hAnsi="Titillium" w:cs="Arial"/>
          <w:sz w:val="18"/>
          <w:szCs w:val="18"/>
        </w:rPr>
        <w:t xml:space="preserve">, ovvero </w:t>
      </w:r>
      <w:r>
        <w:rPr>
          <w:rFonts w:ascii="Titillium" w:hAnsi="Titillium" w:cs="Arial"/>
          <w:i/>
          <w:sz w:val="18"/>
          <w:szCs w:val="18"/>
        </w:rPr>
        <w:t>inferiore; in tal caso le stazioni appaltanti motivano le ragioni della deroga, richiamando espressamente la determina a contrarre o l’atto immediatamente esecutivo della stessa ovvero l’atto espresso del responsabile della stazione appaltante adottato prima o contestualmente all'avvio della procedura ad evidenza pubblica, contenenti adeguata e specifica motivazione della deroga</w:t>
      </w:r>
      <w:r>
        <w:rPr>
          <w:rFonts w:ascii="Titillium" w:hAnsi="Titillium" w:cs="Arial"/>
          <w:i/>
          <w:iCs/>
          <w:sz w:val="18"/>
          <w:szCs w:val="18"/>
        </w:rPr>
        <w:t xml:space="preserve">] </w:t>
      </w:r>
      <w:r>
        <w:rPr>
          <w:rFonts w:ascii="Titillium" w:hAnsi="Titillium" w:cs="Arial"/>
          <w:sz w:val="18"/>
          <w:szCs w:val="18"/>
        </w:rPr>
        <w:t xml:space="preserve">delle assunzioni necessarie per l'esecuzione del contratto o per la realizzazione di attività ad esso connesse o strumentali </w:t>
      </w:r>
      <w:r>
        <w:rPr>
          <w:rFonts w:ascii="Titillium" w:hAnsi="Titillium" w:cs="Arial"/>
          <w:i/>
          <w:iCs/>
          <w:sz w:val="18"/>
          <w:szCs w:val="18"/>
        </w:rPr>
        <w:t xml:space="preserve">[calcolate secondo le modalità di cui alle linee </w:t>
      </w:r>
      <w:r>
        <w:rPr>
          <w:rFonts w:ascii="Titillium" w:hAnsi="Titillium" w:cs="Arial"/>
          <w:i/>
          <w:sz w:val="18"/>
          <w:szCs w:val="18"/>
        </w:rPr>
        <w:t>guida approvate con Decreto ministeriale della Presidenza del Consiglio dei Ministri, Dipartimento delle pari opportunità, del 7 dicembre 2021 (Adozione delle linee guida volte a favorire la pari opportunità di genere e generazionali, nonché l'inclusione lavorativa delle persone con disabilità nei contratti pubblici finanziati con le risorse del PNRR e del PNC), pubblicato nella Gazzetta Ufficiale del 30 dicembre 2021</w:t>
      </w:r>
      <w:r>
        <w:rPr>
          <w:rFonts w:ascii="Titillium" w:hAnsi="Titillium" w:cs="Calibri"/>
          <w:i/>
          <w:sz w:val="18"/>
          <w:szCs w:val="18"/>
        </w:rPr>
        <w:t>, n. 309</w:t>
      </w:r>
      <w:r w:rsidR="007D2F3A">
        <w:rPr>
          <w:rFonts w:ascii="Titillium" w:hAnsi="Titillium" w:cs="Calibri"/>
          <w:i/>
          <w:sz w:val="18"/>
          <w:szCs w:val="18"/>
        </w:rPr>
        <w:t>].</w:t>
      </w:r>
    </w:p>
    <w:p w14:paraId="75AC2068" w14:textId="4204EDB7" w:rsidR="006842EE" w:rsidRDefault="008F26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tillium" w:hAnsi="Titillium" w:cs="Calibri"/>
          <w:sz w:val="18"/>
          <w:szCs w:val="18"/>
        </w:rPr>
      </w:pPr>
      <w:r>
        <w:rPr>
          <w:rFonts w:ascii="Titillium" w:hAnsi="Titillium" w:cs="Courier New"/>
          <w:sz w:val="18"/>
          <w:szCs w:val="18"/>
        </w:rPr>
        <w:t xml:space="preserve">Gli operatori economici che occupano </w:t>
      </w:r>
      <w:r w:rsidR="00AC16D3" w:rsidRPr="00AC16D3">
        <w:rPr>
          <w:rFonts w:ascii="Titillium" w:hAnsi="Titillium" w:cs="Courier New"/>
          <w:sz w:val="18"/>
          <w:szCs w:val="18"/>
        </w:rPr>
        <w:t>un numero pari o superiore a quindici dipendenti e non superiore a cinquanta</w:t>
      </w:r>
      <w:r>
        <w:rPr>
          <w:rFonts w:ascii="Titillium" w:hAnsi="Titillium" w:cs="Courier New"/>
          <w:sz w:val="18"/>
          <w:szCs w:val="18"/>
        </w:rPr>
        <w:t>, non tenuti alla redazione del rapporto sulla situazione del personale, ai sensi dell'articolo 46 del decreto legislativo 11 aprile 2006, n. 198, sono tenuti, entro sei mesi dalla conclusione del contratto, a consegnare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L'operatore economico è altresì tenuto a trasmettere la relazione alle rappresentanze sindacali aziendali e alla consigliera e al consigliere regionale di parità</w:t>
      </w:r>
      <w:r>
        <w:rPr>
          <w:rFonts w:ascii="Titillium" w:hAnsi="Titillium" w:cs="Calibri"/>
          <w:sz w:val="18"/>
          <w:szCs w:val="18"/>
        </w:rPr>
        <w:t>.</w:t>
      </w:r>
    </w:p>
    <w:p w14:paraId="67641E3B" w14:textId="200A0F95" w:rsidR="006842EE" w:rsidRDefault="008F26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tillium" w:hAnsi="Titillium" w:cs="Calibri"/>
          <w:sz w:val="18"/>
          <w:szCs w:val="18"/>
        </w:rPr>
      </w:pPr>
      <w:r>
        <w:rPr>
          <w:rFonts w:ascii="Titillium" w:hAnsi="Titillium" w:cs="Courier New"/>
          <w:sz w:val="18"/>
          <w:szCs w:val="18"/>
        </w:rPr>
        <w:t xml:space="preserve">Gli operatori economici che occupano un numero </w:t>
      </w:r>
      <w:r w:rsidR="00AC16D3">
        <w:rPr>
          <w:rFonts w:ascii="Titillium" w:hAnsi="Titillium" w:cs="Courier New"/>
          <w:sz w:val="18"/>
          <w:szCs w:val="18"/>
        </w:rPr>
        <w:t xml:space="preserve">di </w:t>
      </w:r>
      <w:r w:rsidRPr="00912370">
        <w:rPr>
          <w:rFonts w:ascii="Titillium" w:hAnsi="Titillium" w:cs="Courier New"/>
          <w:sz w:val="18"/>
          <w:szCs w:val="18"/>
        </w:rPr>
        <w:t xml:space="preserve">dipendenti </w:t>
      </w:r>
      <w:r w:rsidR="00AC16D3" w:rsidRPr="00AC16D3">
        <w:rPr>
          <w:rFonts w:ascii="Titillium" w:hAnsi="Titillium" w:cs="Courier New"/>
          <w:sz w:val="18"/>
          <w:szCs w:val="18"/>
        </w:rPr>
        <w:t xml:space="preserve">pari o superiore a quindici </w:t>
      </w:r>
      <w:r>
        <w:rPr>
          <w:rFonts w:ascii="Titillium" w:hAnsi="Titillium" w:cs="Courier New"/>
          <w:sz w:val="18"/>
          <w:szCs w:val="18"/>
        </w:rPr>
        <w:t>sono tenuti, entro sei mesi dalla conclusione del contratto, a consegnare alla stazione appaltante una relazione che chiarisca l'avvenuto assolvimento degli obblighi previsti a carico delle imprese dalla legge 12 marzo 1999, n. 68, e illustri eventuali sanzioni e provvedimenti imposti a carico delle imprese nel triennio precedente la data di scadenza della presentazione delle offerte. L'operatore economico è altresì tenuto a trasmettere la relazione alle rappresentanze sindacali aziendali.</w:t>
      </w:r>
    </w:p>
    <w:p w14:paraId="3B10AD07" w14:textId="77777777" w:rsidR="006842EE" w:rsidRDefault="006842EE">
      <w:pPr>
        <w:spacing w:before="60" w:after="60"/>
        <w:rPr>
          <w:rFonts w:ascii="Titillium" w:hAnsi="Titillium" w:cs="Calibri"/>
          <w:b/>
          <w:i/>
          <w:sz w:val="18"/>
          <w:szCs w:val="18"/>
        </w:rPr>
      </w:pPr>
    </w:p>
    <w:p w14:paraId="4D491F20" w14:textId="35AB94AA" w:rsidR="007D2F3A" w:rsidRDefault="008F2625" w:rsidP="00B80779">
      <w:pPr>
        <w:spacing w:before="60" w:after="60"/>
        <w:rPr>
          <w:rFonts w:ascii="Titillium" w:hAnsi="Titillium" w:cs="Calibri"/>
          <w:i/>
          <w:iCs/>
          <w:sz w:val="18"/>
          <w:szCs w:val="18"/>
        </w:rPr>
      </w:pPr>
      <w:r w:rsidRPr="007E1E23">
        <w:rPr>
          <w:rFonts w:ascii="Titillium" w:hAnsi="Titillium" w:cs="Calibri"/>
          <w:b/>
          <w:iCs/>
          <w:sz w:val="18"/>
          <w:szCs w:val="18"/>
        </w:rPr>
        <w:t>[</w:t>
      </w:r>
      <w:r w:rsidRPr="00052B69">
        <w:rPr>
          <w:rFonts w:ascii="Titillium" w:hAnsi="Titillium" w:cs="Calibri"/>
          <w:b/>
          <w:i/>
          <w:sz w:val="18"/>
          <w:szCs w:val="18"/>
        </w:rPr>
        <w:t>Se la stazione appaltante richiede requisiti particolari per l'esecuzione del contratto ai sensi dell’articolo 113 del Codice</w:t>
      </w:r>
      <w:r w:rsidR="00B47061" w:rsidRPr="00052B69">
        <w:rPr>
          <w:rFonts w:ascii="Titillium" w:hAnsi="Titillium" w:cs="Calibri"/>
          <w:b/>
          <w:i/>
          <w:color w:val="5B9BD5" w:themeColor="accent1"/>
          <w:sz w:val="18"/>
          <w:szCs w:val="18"/>
        </w:rPr>
        <w:t xml:space="preserve"> </w:t>
      </w:r>
      <w:r w:rsidR="00B47061" w:rsidRPr="00052B69">
        <w:rPr>
          <w:rFonts w:ascii="Titillium" w:hAnsi="Titillium" w:cs="Calibri"/>
          <w:b/>
          <w:i/>
          <w:sz w:val="18"/>
          <w:szCs w:val="18"/>
        </w:rPr>
        <w:t>applicabile a tutti i contratti</w:t>
      </w:r>
      <w:r w:rsidRPr="007E1E23">
        <w:rPr>
          <w:rFonts w:ascii="Titillium" w:hAnsi="Titillium" w:cs="Calibri"/>
          <w:b/>
          <w:iCs/>
          <w:sz w:val="18"/>
          <w:szCs w:val="18"/>
        </w:rPr>
        <w:t>]</w:t>
      </w:r>
      <w:r w:rsidRPr="007D2F3A">
        <w:rPr>
          <w:rFonts w:ascii="Titillium" w:hAnsi="Titillium" w:cs="Calibri"/>
          <w:sz w:val="18"/>
          <w:szCs w:val="18"/>
        </w:rPr>
        <w:t xml:space="preserve"> </w:t>
      </w:r>
      <w:r>
        <w:rPr>
          <w:rFonts w:ascii="Titillium" w:hAnsi="Titillium" w:cs="Calibri"/>
          <w:sz w:val="18"/>
          <w:szCs w:val="18"/>
        </w:rPr>
        <w:t xml:space="preserve">Per l’esecuzione del servizio oggetto del presente appalto, ai sensi dell’articolo 113 del Codice, è richiesto … </w:t>
      </w:r>
      <w:r>
        <w:rPr>
          <w:rFonts w:ascii="Titillium" w:hAnsi="Titillium" w:cs="Calibri"/>
          <w:i/>
          <w:iCs/>
          <w:sz w:val="18"/>
          <w:szCs w:val="18"/>
        </w:rPr>
        <w:t xml:space="preserve">[specificare]. </w:t>
      </w:r>
    </w:p>
    <w:p w14:paraId="40AFD4B3" w14:textId="29A1EA1A" w:rsidR="006842EE" w:rsidRPr="00A36142" w:rsidRDefault="008F2625" w:rsidP="00D26F03">
      <w:pPr>
        <w:pStyle w:val="Titolo2"/>
        <w:numPr>
          <w:ilvl w:val="0"/>
          <w:numId w:val="54"/>
        </w:numPr>
        <w:ind w:left="357" w:hanging="357"/>
        <w:rPr>
          <w:rFonts w:ascii="Titillium" w:hAnsi="Titillium"/>
          <w:caps w:val="0"/>
          <w:sz w:val="18"/>
          <w:szCs w:val="18"/>
        </w:rPr>
      </w:pPr>
      <w:bookmarkStart w:id="1677" w:name="_Toc227921633"/>
      <w:r w:rsidRPr="00A36142">
        <w:rPr>
          <w:rFonts w:ascii="Titillium" w:hAnsi="Titillium"/>
          <w:caps w:val="0"/>
          <w:sz w:val="18"/>
          <w:szCs w:val="18"/>
        </w:rPr>
        <w:t>GARANZIA PROVVISORIA</w:t>
      </w:r>
      <w:bookmarkEnd w:id="1648"/>
      <w:bookmarkEnd w:id="1649"/>
      <w:bookmarkEnd w:id="1650"/>
      <w:bookmarkEnd w:id="1677"/>
    </w:p>
    <w:p w14:paraId="347FA2B5" w14:textId="08EDD30F" w:rsidR="006842EE" w:rsidRPr="007E1E23" w:rsidRDefault="008F2625">
      <w:pPr>
        <w:spacing w:before="60" w:after="60"/>
        <w:rPr>
          <w:rFonts w:ascii="Titillium" w:hAnsi="Titillium" w:cs="Calibri"/>
          <w:sz w:val="18"/>
          <w:szCs w:val="18"/>
        </w:rPr>
      </w:pPr>
      <w:r w:rsidRPr="007E1E23">
        <w:rPr>
          <w:rFonts w:ascii="Titillium" w:hAnsi="Titillium" w:cs="Calibri"/>
          <w:b/>
          <w:iCs/>
          <w:sz w:val="18"/>
          <w:szCs w:val="18"/>
        </w:rPr>
        <w:t>[</w:t>
      </w:r>
      <w:r w:rsidR="006A4184" w:rsidRPr="00052B69">
        <w:rPr>
          <w:rFonts w:ascii="Titillium" w:hAnsi="Titillium" w:cs="Calibri"/>
          <w:b/>
          <w:i/>
          <w:sz w:val="18"/>
          <w:szCs w:val="18"/>
        </w:rPr>
        <w:t xml:space="preserve">Nel </w:t>
      </w:r>
      <w:r w:rsidRPr="00052B69">
        <w:rPr>
          <w:rFonts w:ascii="Titillium" w:hAnsi="Titillium" w:cs="Calibri"/>
          <w:b/>
          <w:i/>
          <w:sz w:val="18"/>
          <w:szCs w:val="18"/>
        </w:rPr>
        <w:t xml:space="preserve">caso in cui l’appalto </w:t>
      </w:r>
      <w:r w:rsidR="008E1C3C" w:rsidRPr="00052B69">
        <w:rPr>
          <w:rFonts w:ascii="Titillium" w:hAnsi="Titillium" w:cs="Calibri"/>
          <w:b/>
          <w:i/>
          <w:sz w:val="18"/>
          <w:szCs w:val="18"/>
        </w:rPr>
        <w:t>comprende esclusivamente</w:t>
      </w:r>
      <w:r w:rsidRPr="00052B69">
        <w:rPr>
          <w:rFonts w:ascii="Titillium" w:hAnsi="Titillium" w:cs="Calibri"/>
          <w:b/>
          <w:i/>
          <w:sz w:val="18"/>
          <w:szCs w:val="18"/>
        </w:rPr>
        <w:t xml:space="preserve"> servizi di progettazione, redazione del piano della sicurezza e coordinamento e compiti di supporto al </w:t>
      </w:r>
      <w:r w:rsidR="008E1C3C" w:rsidRPr="00052B69">
        <w:rPr>
          <w:rFonts w:ascii="Titillium" w:hAnsi="Titillium" w:cs="Calibri"/>
          <w:b/>
          <w:i/>
          <w:sz w:val="18"/>
          <w:szCs w:val="18"/>
        </w:rPr>
        <w:t>RUP</w:t>
      </w:r>
      <w:r w:rsidR="008E1C3C" w:rsidRPr="007E1E23">
        <w:rPr>
          <w:rFonts w:ascii="Titillium" w:hAnsi="Titillium" w:cs="Calibri"/>
          <w:b/>
          <w:iCs/>
          <w:sz w:val="18"/>
          <w:szCs w:val="18"/>
        </w:rPr>
        <w:t>]</w:t>
      </w:r>
      <w:r w:rsidR="008E1C3C" w:rsidRPr="00912370">
        <w:rPr>
          <w:rFonts w:ascii="Titillium" w:hAnsi="Titillium" w:cs="Calibri"/>
          <w:sz w:val="18"/>
          <w:szCs w:val="18"/>
        </w:rPr>
        <w:t xml:space="preserve"> La</w:t>
      </w:r>
      <w:r w:rsidRPr="00912370">
        <w:rPr>
          <w:rFonts w:ascii="Titillium" w:hAnsi="Titillium" w:cs="Calibri"/>
          <w:b/>
          <w:bCs/>
          <w:sz w:val="18"/>
          <w:szCs w:val="18"/>
        </w:rPr>
        <w:t xml:space="preserve"> </w:t>
      </w:r>
      <w:r w:rsidRPr="007E1E23">
        <w:rPr>
          <w:rFonts w:ascii="Titillium" w:hAnsi="Titillium" w:cs="Calibri"/>
          <w:sz w:val="18"/>
          <w:szCs w:val="18"/>
        </w:rPr>
        <w:t>garanzia provvisoria non è dovuta, ai sensi dell’articolo 106, comma 11 del Codice.</w:t>
      </w:r>
    </w:p>
    <w:p w14:paraId="48888490" w14:textId="77777777" w:rsidR="00441D13" w:rsidRDefault="00441D13">
      <w:pPr>
        <w:spacing w:before="60" w:after="60"/>
        <w:rPr>
          <w:rFonts w:ascii="Titillium" w:hAnsi="Titillium" w:cs="Calibri"/>
          <w:b/>
          <w:sz w:val="18"/>
          <w:szCs w:val="18"/>
        </w:rPr>
      </w:pPr>
    </w:p>
    <w:p w14:paraId="355023D8" w14:textId="1ADAB72C" w:rsidR="006842EE" w:rsidRDefault="008F2625">
      <w:pPr>
        <w:spacing w:before="60" w:after="60"/>
        <w:rPr>
          <w:rFonts w:ascii="Titillium" w:hAnsi="Titillium" w:cs="Calibri"/>
          <w:b/>
          <w:sz w:val="18"/>
          <w:szCs w:val="18"/>
        </w:rPr>
      </w:pPr>
      <w:r w:rsidRPr="00912370">
        <w:rPr>
          <w:rFonts w:ascii="Titillium" w:hAnsi="Titillium" w:cs="Calibri"/>
          <w:b/>
          <w:sz w:val="18"/>
          <w:szCs w:val="18"/>
        </w:rPr>
        <w:t>[</w:t>
      </w:r>
      <w:r w:rsidR="00441D13" w:rsidRPr="00441D13">
        <w:rPr>
          <w:rFonts w:ascii="Titillium" w:hAnsi="Titillium" w:cs="Calibri"/>
          <w:b/>
          <w:i/>
          <w:iCs/>
          <w:sz w:val="18"/>
          <w:szCs w:val="18"/>
        </w:rPr>
        <w:t>Nel caso in cui</w:t>
      </w:r>
      <w:r w:rsidR="00441D13">
        <w:rPr>
          <w:rFonts w:ascii="Titillium" w:hAnsi="Titillium" w:cs="Calibri"/>
          <w:b/>
          <w:sz w:val="18"/>
          <w:szCs w:val="18"/>
        </w:rPr>
        <w:t xml:space="preserve"> </w:t>
      </w:r>
      <w:r w:rsidR="00683DC6" w:rsidRPr="00052B69">
        <w:rPr>
          <w:rFonts w:ascii="Titillium" w:hAnsi="Titillium" w:cs="Calibri"/>
          <w:b/>
          <w:i/>
          <w:iCs/>
          <w:sz w:val="18"/>
          <w:szCs w:val="18"/>
        </w:rPr>
        <w:t xml:space="preserve">l’appalto comprende anche altre </w:t>
      </w:r>
      <w:r w:rsidR="008E1C3C" w:rsidRPr="00052B69">
        <w:rPr>
          <w:rFonts w:ascii="Titillium" w:hAnsi="Titillium" w:cs="Calibri"/>
          <w:b/>
          <w:i/>
          <w:iCs/>
          <w:sz w:val="18"/>
          <w:szCs w:val="18"/>
        </w:rPr>
        <w:t>prestazioni</w:t>
      </w:r>
      <w:r w:rsidR="008E1C3C" w:rsidRPr="00912370">
        <w:rPr>
          <w:rFonts w:ascii="Titillium" w:hAnsi="Titillium" w:cs="Calibri"/>
          <w:b/>
          <w:sz w:val="18"/>
          <w:szCs w:val="18"/>
        </w:rPr>
        <w:t>]</w:t>
      </w:r>
    </w:p>
    <w:p w14:paraId="07DC65CE" w14:textId="77777777" w:rsidR="0017251C" w:rsidRDefault="008F2625">
      <w:pPr>
        <w:spacing w:before="60" w:after="60"/>
        <w:rPr>
          <w:rFonts w:ascii="Titillium" w:hAnsi="Titillium" w:cs="Calibri"/>
          <w:color w:val="EE0000"/>
          <w:sz w:val="18"/>
          <w:szCs w:val="18"/>
        </w:rPr>
      </w:pPr>
      <w:r>
        <w:rPr>
          <w:rFonts w:ascii="Titillium" w:hAnsi="Titillium" w:cs="Calibri"/>
          <w:sz w:val="18"/>
          <w:szCs w:val="18"/>
        </w:rPr>
        <w:t xml:space="preserve">L’offerta </w:t>
      </w:r>
      <w:r>
        <w:rPr>
          <w:rFonts w:ascii="Titillium" w:hAnsi="Titillium" w:cs="Calibri"/>
          <w:i/>
          <w:sz w:val="18"/>
          <w:szCs w:val="18"/>
        </w:rPr>
        <w:t xml:space="preserve">[eventualmente: </w:t>
      </w:r>
      <w:r>
        <w:rPr>
          <w:rFonts w:ascii="Titillium" w:hAnsi="Titillium" w:cs="Calibri"/>
          <w:sz w:val="18"/>
          <w:szCs w:val="18"/>
        </w:rPr>
        <w:t>“per ciascun lotto”</w:t>
      </w:r>
      <w:r>
        <w:rPr>
          <w:rFonts w:ascii="Titillium" w:hAnsi="Titillium" w:cs="Calibri"/>
          <w:i/>
          <w:sz w:val="18"/>
          <w:szCs w:val="18"/>
        </w:rPr>
        <w:t xml:space="preserve">] </w:t>
      </w:r>
      <w:r>
        <w:rPr>
          <w:rFonts w:ascii="Titillium" w:hAnsi="Titillium" w:cs="Calibri"/>
          <w:sz w:val="18"/>
          <w:szCs w:val="18"/>
        </w:rPr>
        <w:t>è corredata, a pena di esclusione,</w:t>
      </w:r>
      <w:r>
        <w:rPr>
          <w:rFonts w:ascii="Titillium" w:hAnsi="Titillium" w:cs="Calibri"/>
          <w:b/>
          <w:sz w:val="18"/>
          <w:szCs w:val="18"/>
        </w:rPr>
        <w:t xml:space="preserve"> </w:t>
      </w:r>
      <w:r>
        <w:rPr>
          <w:rFonts w:ascii="Titillium" w:hAnsi="Titillium" w:cs="Calibri"/>
          <w:sz w:val="18"/>
          <w:szCs w:val="18"/>
        </w:rPr>
        <w:t xml:space="preserve">da una garanzia provvisoria pari a ... </w:t>
      </w:r>
      <w:r w:rsidRPr="00C176F7">
        <w:rPr>
          <w:rFonts w:ascii="Titillium" w:hAnsi="Titillium" w:cs="Calibri"/>
          <w:i/>
          <w:sz w:val="18"/>
          <w:szCs w:val="18"/>
        </w:rPr>
        <w:t>[2% del valore complessivo dell</w:t>
      </w:r>
      <w:r w:rsidR="00920B5E" w:rsidRPr="00C176F7">
        <w:rPr>
          <w:rFonts w:ascii="Titillium" w:hAnsi="Titillium" w:cs="Calibri"/>
          <w:i/>
          <w:sz w:val="18"/>
          <w:szCs w:val="18"/>
        </w:rPr>
        <w:t xml:space="preserve">e prestazioni diverse dai servizi di progettazione, redazione del piano della sicurezza, e compiti di supporto al </w:t>
      </w:r>
      <w:r w:rsidR="00AD2E95" w:rsidRPr="00C176F7">
        <w:rPr>
          <w:rFonts w:ascii="Titillium" w:hAnsi="Titillium" w:cs="Calibri"/>
          <w:i/>
          <w:sz w:val="18"/>
          <w:szCs w:val="18"/>
        </w:rPr>
        <w:t>RUP ovvero</w:t>
      </w:r>
      <w:r w:rsidRPr="00C176F7">
        <w:rPr>
          <w:rFonts w:ascii="Titillium" w:hAnsi="Titillium" w:cs="Calibri"/>
          <w:i/>
          <w:sz w:val="18"/>
          <w:szCs w:val="18"/>
        </w:rPr>
        <w:t xml:space="preserve"> altra percentuale ai sensi dell’articolo 106, comma 1 del Codice] </w:t>
      </w:r>
      <w:r w:rsidRPr="00C176F7">
        <w:rPr>
          <w:rFonts w:ascii="Titillium" w:hAnsi="Titillium" w:cs="Calibri"/>
          <w:sz w:val="18"/>
          <w:szCs w:val="18"/>
        </w:rPr>
        <w:t>e</w:t>
      </w:r>
      <w:r>
        <w:rPr>
          <w:rFonts w:ascii="Titillium" w:hAnsi="Titillium" w:cs="Calibri"/>
          <w:sz w:val="18"/>
          <w:szCs w:val="18"/>
        </w:rPr>
        <w:t xml:space="preserve"> precisamente di importo pari ad € ... [</w:t>
      </w:r>
      <w:r>
        <w:rPr>
          <w:rFonts w:ascii="Titillium" w:hAnsi="Titillium" w:cs="Calibri"/>
          <w:i/>
          <w:sz w:val="18"/>
          <w:szCs w:val="18"/>
        </w:rPr>
        <w:t>indicare</w:t>
      </w:r>
      <w:r w:rsidRPr="00974C13">
        <w:rPr>
          <w:rFonts w:ascii="Titillium" w:hAnsi="Titillium" w:cs="Calibri"/>
          <w:sz w:val="18"/>
          <w:szCs w:val="18"/>
        </w:rPr>
        <w:t>]</w:t>
      </w:r>
      <w:r w:rsidR="009105D9" w:rsidRPr="00974C13">
        <w:rPr>
          <w:rFonts w:ascii="Titillium" w:hAnsi="Titillium" w:cs="Calibri"/>
          <w:sz w:val="18"/>
          <w:szCs w:val="18"/>
        </w:rPr>
        <w:t xml:space="preserve">, </w:t>
      </w:r>
      <w:r w:rsidR="009105D9" w:rsidRPr="00D87104">
        <w:rPr>
          <w:rFonts w:ascii="Titillium" w:hAnsi="Titillium" w:cs="Calibri"/>
          <w:sz w:val="18"/>
          <w:szCs w:val="18"/>
        </w:rPr>
        <w:t>costituita in data certa anteriore al termine di presentazione delle offerte</w:t>
      </w:r>
      <w:r w:rsidR="00974C13" w:rsidRPr="00D87104">
        <w:rPr>
          <w:rFonts w:ascii="Titillium" w:hAnsi="Titillium" w:cs="Calibri"/>
          <w:sz w:val="18"/>
          <w:szCs w:val="18"/>
        </w:rPr>
        <w:t>.</w:t>
      </w:r>
      <w:r w:rsidR="009105D9" w:rsidRPr="00D87104">
        <w:rPr>
          <w:rFonts w:ascii="Titillium" w:hAnsi="Titillium" w:cs="Calibri"/>
          <w:color w:val="000000" w:themeColor="text1"/>
          <w:sz w:val="18"/>
          <w:szCs w:val="18"/>
        </w:rPr>
        <w:t xml:space="preserve"> re</w:t>
      </w:r>
      <w:r w:rsidR="00F56D21" w:rsidRPr="00D87104">
        <w:rPr>
          <w:rFonts w:ascii="Titillium" w:hAnsi="Titillium" w:cs="Calibri"/>
          <w:color w:val="000000" w:themeColor="text1"/>
          <w:sz w:val="18"/>
          <w:szCs w:val="18"/>
        </w:rPr>
        <w:t>s</w:t>
      </w:r>
      <w:r w:rsidR="009105D9" w:rsidRPr="00D87104">
        <w:rPr>
          <w:rFonts w:ascii="Titillium" w:hAnsi="Titillium" w:cs="Calibri"/>
          <w:color w:val="000000" w:themeColor="text1"/>
          <w:sz w:val="18"/>
          <w:szCs w:val="18"/>
        </w:rPr>
        <w:t xml:space="preserve">a a favore della presente stazione appaltante e sottoscritta da un soggetto legittimato a rilasciare la garanzia e </w:t>
      </w:r>
      <w:r w:rsidR="00A4716E" w:rsidRPr="00D87104">
        <w:rPr>
          <w:rFonts w:ascii="Titillium" w:hAnsi="Titillium" w:cs="Calibri"/>
          <w:color w:val="000000" w:themeColor="text1"/>
          <w:sz w:val="18"/>
          <w:szCs w:val="18"/>
        </w:rPr>
        <w:t xml:space="preserve">da un altro legittimato </w:t>
      </w:r>
      <w:r w:rsidR="008E1C3C" w:rsidRPr="00D87104">
        <w:rPr>
          <w:rFonts w:ascii="Titillium" w:hAnsi="Titillium" w:cs="Calibri"/>
          <w:color w:val="000000" w:themeColor="text1"/>
          <w:sz w:val="18"/>
          <w:szCs w:val="18"/>
        </w:rPr>
        <w:t>ad impegnare</w:t>
      </w:r>
      <w:r w:rsidR="009105D9" w:rsidRPr="00D87104">
        <w:rPr>
          <w:rFonts w:ascii="Titillium" w:hAnsi="Titillium" w:cs="Calibri"/>
          <w:color w:val="000000" w:themeColor="text1"/>
          <w:sz w:val="18"/>
          <w:szCs w:val="18"/>
        </w:rPr>
        <w:t xml:space="preserve"> il concorrente</w:t>
      </w:r>
      <w:r w:rsidR="009105D9" w:rsidRPr="00D87104">
        <w:rPr>
          <w:rFonts w:ascii="Titillium" w:hAnsi="Titillium" w:cs="Calibri"/>
          <w:color w:val="EE0000"/>
          <w:sz w:val="18"/>
          <w:szCs w:val="18"/>
        </w:rPr>
        <w:t>.</w:t>
      </w:r>
      <w:r w:rsidR="0017251C">
        <w:rPr>
          <w:rFonts w:ascii="Titillium" w:hAnsi="Titillium" w:cs="Calibri"/>
          <w:color w:val="EE0000"/>
          <w:sz w:val="18"/>
          <w:szCs w:val="18"/>
        </w:rPr>
        <w:t xml:space="preserve"> </w:t>
      </w:r>
    </w:p>
    <w:p w14:paraId="5E7BE99D" w14:textId="029421AC" w:rsidR="006842EE" w:rsidRDefault="008F2625">
      <w:pPr>
        <w:spacing w:before="60" w:after="60"/>
      </w:pPr>
      <w:r w:rsidRPr="0088769B">
        <w:rPr>
          <w:rFonts w:ascii="Titillium" w:hAnsi="Titillium" w:cs="Calibri"/>
          <w:sz w:val="18"/>
          <w:szCs w:val="18"/>
        </w:rPr>
        <w:t xml:space="preserve"> Si applicano le riduzioni di cui all’articolo 106, comma 8 del Codice.</w:t>
      </w:r>
    </w:p>
    <w:p w14:paraId="52BE0533" w14:textId="77777777" w:rsidR="006842EE" w:rsidRPr="00C21543" w:rsidRDefault="008F2625" w:rsidP="00862788">
      <w:pPr>
        <w:pBdr>
          <w:top w:val="single" w:sz="4" w:space="1" w:color="000000"/>
          <w:left w:val="single" w:sz="4" w:space="0" w:color="000000"/>
          <w:bottom w:val="single" w:sz="4" w:space="1" w:color="000000"/>
          <w:right w:val="single" w:sz="4" w:space="1" w:color="000000"/>
        </w:pBdr>
        <w:spacing w:before="60" w:after="60"/>
        <w:rPr>
          <w:rFonts w:ascii="Titillium" w:eastAsia="Calibri" w:hAnsi="Titillium" w:cs="Calibri"/>
          <w:i/>
          <w:iCs/>
          <w:sz w:val="18"/>
          <w:szCs w:val="18"/>
          <w:lang w:eastAsia="it-IT"/>
        </w:rPr>
      </w:pPr>
      <w:r w:rsidRPr="00C21543">
        <w:rPr>
          <w:rFonts w:ascii="Titillium" w:eastAsia="Calibri" w:hAnsi="Titillium" w:cs="Calibri"/>
          <w:i/>
          <w:iCs/>
          <w:sz w:val="18"/>
          <w:szCs w:val="18"/>
          <w:lang w:eastAsia="it-IT"/>
        </w:rPr>
        <w:t>N.B. Al fine di rendere l’importo della garanzia proporzionato e adeguato alla natura delle prestazioni oggetto del contratto e al grado di rischio ad esso connesso, la stazione appaltante può motivatamente ridurre l’importo della cauzione sino all’1% ovvero incrementarlo sino al 4%.</w:t>
      </w:r>
    </w:p>
    <w:p w14:paraId="5EDA5536" w14:textId="77777777" w:rsidR="006842EE" w:rsidRDefault="008F2625">
      <w:pPr>
        <w:spacing w:before="60" w:after="60"/>
        <w:rPr>
          <w:rFonts w:ascii="Titillium" w:hAnsi="Titillium" w:cs="Calibri"/>
          <w:sz w:val="18"/>
          <w:szCs w:val="18"/>
        </w:rPr>
      </w:pPr>
      <w:r w:rsidRPr="007E1E23">
        <w:rPr>
          <w:rFonts w:ascii="Calibri" w:hAnsi="Calibri" w:cs="Calibri"/>
          <w:b/>
          <w:iCs/>
          <w:sz w:val="20"/>
          <w:szCs w:val="20"/>
        </w:rPr>
        <w:t>[</w:t>
      </w:r>
      <w:r w:rsidRPr="00052B69">
        <w:rPr>
          <w:rFonts w:ascii="Titillium" w:hAnsi="Titillium" w:cs="Calibri"/>
          <w:b/>
          <w:bCs/>
          <w:i/>
          <w:sz w:val="18"/>
          <w:szCs w:val="18"/>
        </w:rPr>
        <w:t>In caso di gara divisa in più lotti</w:t>
      </w:r>
      <w:r w:rsidRPr="007E1E23">
        <w:rPr>
          <w:rFonts w:ascii="Titillium" w:hAnsi="Titillium" w:cs="Calibri"/>
          <w:b/>
          <w:iCs/>
          <w:sz w:val="18"/>
          <w:szCs w:val="18"/>
        </w:rPr>
        <w:t>]</w:t>
      </w:r>
      <w:r>
        <w:rPr>
          <w:rFonts w:ascii="Titillium" w:hAnsi="Titillium" w:cs="Calibri"/>
          <w:sz w:val="18"/>
          <w:szCs w:val="18"/>
        </w:rPr>
        <w:t xml:space="preserve"> In caso di partecipazione a più lotti l’operatore economico può alternativamente:</w:t>
      </w:r>
    </w:p>
    <w:p w14:paraId="7903D0BB" w14:textId="255BFD6F" w:rsidR="006842EE" w:rsidRPr="00AD2E95" w:rsidRDefault="008F2625" w:rsidP="00D26F03">
      <w:pPr>
        <w:pStyle w:val="Paragrafoelenco"/>
        <w:numPr>
          <w:ilvl w:val="0"/>
          <w:numId w:val="43"/>
        </w:numPr>
        <w:spacing w:before="60" w:after="60"/>
        <w:ind w:left="426"/>
        <w:rPr>
          <w:rFonts w:ascii="Titillium" w:hAnsi="Titillium" w:cs="Calibri"/>
          <w:sz w:val="18"/>
          <w:szCs w:val="18"/>
        </w:rPr>
      </w:pPr>
      <w:r w:rsidRPr="00AD2E95">
        <w:rPr>
          <w:rFonts w:ascii="Titillium" w:hAnsi="Titillium" w:cs="Calibri"/>
          <w:sz w:val="18"/>
          <w:szCs w:val="18"/>
        </w:rPr>
        <w:t>prestare tante distinte ed autonome garanzie provvisorie quanti sono i lotti cui si intende partecipare;</w:t>
      </w:r>
    </w:p>
    <w:p w14:paraId="226B8727" w14:textId="0D2794C5" w:rsidR="006842EE" w:rsidRPr="00AD2E95" w:rsidRDefault="008F2625" w:rsidP="00D26F03">
      <w:pPr>
        <w:pStyle w:val="Paragrafoelenco"/>
        <w:numPr>
          <w:ilvl w:val="0"/>
          <w:numId w:val="43"/>
        </w:numPr>
        <w:spacing w:before="60" w:after="60"/>
        <w:ind w:left="426"/>
        <w:rPr>
          <w:rFonts w:ascii="Titillium" w:hAnsi="Titillium" w:cs="Calibri"/>
          <w:sz w:val="18"/>
          <w:szCs w:val="18"/>
        </w:rPr>
      </w:pPr>
      <w:r w:rsidRPr="00AD2E95">
        <w:rPr>
          <w:rFonts w:ascii="Titillium" w:hAnsi="Titillium" w:cs="Calibri"/>
          <w:sz w:val="18"/>
          <w:szCs w:val="18"/>
        </w:rPr>
        <w:t xml:space="preserve">prestare un’unica garanzia di importo pari alla somma degli importi stabiliti per i lotti cui intende partecipare. Nella garanzia sono indicati espressamente i singoli lotti per i quali la stessa viene prestata, nonché gli importi di dettaglio delle singole cauzioni riferite a ciascun lotto. </w:t>
      </w:r>
    </w:p>
    <w:p w14:paraId="122CA854" w14:textId="77777777" w:rsidR="006842EE" w:rsidRDefault="008F2625">
      <w:pPr>
        <w:spacing w:before="60" w:after="60"/>
        <w:rPr>
          <w:rFonts w:ascii="Calibri" w:hAnsi="Calibri" w:cs="Calibri"/>
          <w:sz w:val="20"/>
          <w:szCs w:val="20"/>
        </w:rPr>
      </w:pPr>
      <w:r>
        <w:rPr>
          <w:rFonts w:ascii="Calibri" w:hAnsi="Calibri" w:cs="Calibri"/>
          <w:b/>
          <w:i/>
          <w:sz w:val="20"/>
          <w:szCs w:val="20"/>
        </w:rPr>
        <w:t>[</w:t>
      </w:r>
      <w:r>
        <w:rPr>
          <w:rFonts w:ascii="Titillium" w:hAnsi="Titillium" w:cs="Calibri"/>
          <w:b/>
          <w:bCs/>
          <w:i/>
          <w:sz w:val="18"/>
          <w:szCs w:val="18"/>
        </w:rPr>
        <w:t>In alternativa, la stazione appaltante può indicare, se necessario, una sola delle due opzioni sopra indicate</w:t>
      </w:r>
      <w:r>
        <w:rPr>
          <w:rFonts w:ascii="Titillium" w:hAnsi="Titillium" w:cs="Calibri"/>
          <w:b/>
          <w:i/>
          <w:sz w:val="18"/>
          <w:szCs w:val="18"/>
        </w:rPr>
        <w:t>]</w:t>
      </w:r>
      <w:bookmarkStart w:id="1678" w:name="_Hlk131759520"/>
      <w:bookmarkEnd w:id="1678"/>
    </w:p>
    <w:p w14:paraId="56426B17" w14:textId="77777777" w:rsidR="006842EE" w:rsidRDefault="008F2625">
      <w:pPr>
        <w:spacing w:before="120" w:after="60"/>
        <w:ind w:left="425" w:hanging="425"/>
      </w:pPr>
      <w:r>
        <w:rPr>
          <w:rFonts w:ascii="Titillium" w:hAnsi="Titillium" w:cs="Calibri"/>
          <w:sz w:val="18"/>
          <w:szCs w:val="18"/>
        </w:rPr>
        <w:t>La garanzia provvisoria è costituita, a scelta del concorrente sotto forma di cauzione o di fideiussione:</w:t>
      </w:r>
    </w:p>
    <w:p w14:paraId="4D13439F" w14:textId="0A616214" w:rsidR="006842EE" w:rsidRDefault="008F2625">
      <w:pPr>
        <w:spacing w:before="60" w:after="60"/>
        <w:rPr>
          <w:rFonts w:ascii="Titillium" w:hAnsi="Titillium" w:cs="Calibri"/>
          <w:sz w:val="18"/>
          <w:szCs w:val="18"/>
        </w:rPr>
      </w:pPr>
      <w:r>
        <w:rPr>
          <w:rFonts w:ascii="Titillium" w:hAnsi="Titillium" w:cs="Calibri"/>
          <w:sz w:val="18"/>
          <w:szCs w:val="18"/>
        </w:rPr>
        <w:t>La cauzione è costituita mediante accredito, con bonifico o con altri strumenti e canali di pagamento elettronici, presso il conto … [</w:t>
      </w:r>
      <w:r>
        <w:rPr>
          <w:rFonts w:ascii="Titillium" w:hAnsi="Titillium" w:cs="Calibri"/>
          <w:i/>
          <w:sz w:val="18"/>
          <w:szCs w:val="18"/>
        </w:rPr>
        <w:t>la stazione appaltante indica gli estremi del conto presso l’istituto incaricato del servizio di tesoreria</w:t>
      </w:r>
      <w:r w:rsidR="00A36C57">
        <w:rPr>
          <w:rFonts w:ascii="Titillium" w:hAnsi="Titillium" w:cs="Calibri"/>
          <w:iCs/>
          <w:sz w:val="18"/>
          <w:szCs w:val="18"/>
        </w:rPr>
        <w:t>]</w:t>
      </w:r>
      <w:r>
        <w:rPr>
          <w:rFonts w:ascii="Titillium" w:hAnsi="Titillium" w:cs="Calibri"/>
          <w:sz w:val="18"/>
          <w:szCs w:val="18"/>
        </w:rPr>
        <w:t>;</w:t>
      </w:r>
    </w:p>
    <w:p w14:paraId="771604AC" w14:textId="77777777" w:rsidR="006842EE" w:rsidRDefault="008F2625">
      <w:pPr>
        <w:spacing w:before="60" w:after="60"/>
        <w:rPr>
          <w:rFonts w:ascii="Titillium" w:hAnsi="Titillium" w:cs="Calibri"/>
          <w:sz w:val="18"/>
          <w:szCs w:val="24"/>
        </w:rPr>
      </w:pPr>
      <w:r>
        <w:rPr>
          <w:rFonts w:ascii="Titillium" w:hAnsi="Titillium" w:cs="Calibri"/>
          <w:sz w:val="18"/>
          <w:szCs w:val="24"/>
        </w:rPr>
        <w:t>La fideiussione può essere rilasciata:</w:t>
      </w:r>
    </w:p>
    <w:p w14:paraId="22BE397D" w14:textId="77777777" w:rsidR="006842EE" w:rsidRDefault="008F2625" w:rsidP="00D26F03">
      <w:pPr>
        <w:pStyle w:val="Paragrafoelenco"/>
        <w:numPr>
          <w:ilvl w:val="1"/>
          <w:numId w:val="44"/>
        </w:numPr>
        <w:spacing w:before="60" w:after="60"/>
        <w:ind w:left="426"/>
      </w:pPr>
      <w:r>
        <w:rPr>
          <w:rFonts w:ascii="Titillium" w:hAnsi="Titillium" w:cs="Calibri"/>
          <w:sz w:val="18"/>
          <w:szCs w:val="24"/>
        </w:rPr>
        <w:t>da imprese bancarie o assicurative che rispondono ai requisiti di solvibilità previsti dalle leggi che ne disciplinano le rispettive attività;</w:t>
      </w:r>
    </w:p>
    <w:p w14:paraId="76B045C0" w14:textId="77777777" w:rsidR="006842EE" w:rsidRDefault="008F2625" w:rsidP="00D26F03">
      <w:pPr>
        <w:pStyle w:val="Paragrafoelenco"/>
        <w:numPr>
          <w:ilvl w:val="1"/>
          <w:numId w:val="44"/>
        </w:numPr>
        <w:spacing w:before="60" w:after="60"/>
        <w:ind w:left="426"/>
      </w:pPr>
      <w:r>
        <w:rPr>
          <w:rFonts w:ascii="Titillium" w:hAnsi="Titillium" w:cs="Calibri"/>
          <w:sz w:val="18"/>
          <w:szCs w:val="24"/>
        </w:rPr>
        <w:t>da un intermediario finanziario iscritto nell'albo di cui all'</w:t>
      </w:r>
      <w:hyperlink r:id="rId14" w:anchor="107" w:history="1">
        <w:r>
          <w:rPr>
            <w:rFonts w:ascii="Titillium" w:hAnsi="Titillium" w:cs="Calibri"/>
            <w:sz w:val="18"/>
            <w:szCs w:val="24"/>
          </w:rPr>
          <w:t>articolo 106 del decreto legislativo 1 settembre 1993, n. 385</w:t>
        </w:r>
      </w:hyperlink>
      <w:r>
        <w:rPr>
          <w:rFonts w:ascii="Titillium" w:hAnsi="Titillium"/>
          <w:sz w:val="18"/>
          <w:szCs w:val="18"/>
        </w:rPr>
        <w:t xml:space="preserve">, che </w:t>
      </w:r>
      <w:r>
        <w:rPr>
          <w:rFonts w:ascii="Titillium" w:hAnsi="Titillium" w:cs="Calibri"/>
          <w:sz w:val="18"/>
          <w:szCs w:val="18"/>
        </w:rPr>
        <w:t>svolge</w:t>
      </w:r>
      <w:r>
        <w:rPr>
          <w:rFonts w:ascii="Titillium" w:hAnsi="Titillium" w:cs="Calibri"/>
          <w:sz w:val="18"/>
          <w:szCs w:val="24"/>
        </w:rPr>
        <w:t xml:space="preserve"> in via esclusiva o prevalente attività di rilascio di garanzie, che è sottoposto a revisione contabile da parte di una società di revisione iscritta nell'albo previsto dall'articolo 161 del decreto legislativo 24 febbraio 1998, n. 58; e che abbia i requisiti minimi di solvibilità richiesti dalla vigente normativa bancaria assicurativa.</w:t>
      </w:r>
    </w:p>
    <w:p w14:paraId="7A4F47D5" w14:textId="689B028C" w:rsidR="006842EE" w:rsidRDefault="008F2625" w:rsidP="00AD2E95">
      <w:pPr>
        <w:spacing w:before="60" w:after="60"/>
        <w:rPr>
          <w:rFonts w:ascii="Titillium" w:hAnsi="Titillium" w:cs="Calibri"/>
          <w:sz w:val="18"/>
          <w:szCs w:val="24"/>
        </w:rPr>
      </w:pPr>
      <w:r>
        <w:rPr>
          <w:rFonts w:ascii="Titillium" w:hAnsi="Titillium" w:cs="Calibri"/>
          <w:sz w:val="18"/>
          <w:szCs w:val="24"/>
        </w:rPr>
        <w:t>Gli operatori economici, prima di procedere alla sottoscrizione della garanzia, sono tenuti a verificare che il soggetto garante sia in possesso dell’autorizzazione al rilascio di garanzie:</w:t>
      </w:r>
      <w:r w:rsidR="00336372" w:rsidRPr="00336372">
        <w:t xml:space="preserve"> </w:t>
      </w:r>
      <w:r w:rsidR="00336372" w:rsidRPr="00DC1237">
        <w:rPr>
          <w:rFonts w:ascii="Titillium" w:hAnsi="Titillium" w:cs="Calibri"/>
          <w:sz w:val="18"/>
          <w:szCs w:val="24"/>
        </w:rPr>
        <w:t>seguendo le indicazioni fornite nella Comunicazione congiunta della Banca D’Italia, dell’Istituto per la vigilanza sulle assicurazioni: e dell’Autorità Nazionale Anticorruzione pubblicata il 18 luglio 2025 consultabile al seguente link: https://www.anticorruzione.it/-/news.garanzie.finanziarie.18.07.2025</w:t>
      </w:r>
    </w:p>
    <w:p w14:paraId="2F77A9B9" w14:textId="011E725A" w:rsidR="006842EE" w:rsidRDefault="008F2625" w:rsidP="004971AA">
      <w:pPr>
        <w:spacing w:before="60" w:after="60"/>
        <w:rPr>
          <w:rFonts w:ascii="Titillium" w:hAnsi="Titillium" w:cs="Calibri"/>
          <w:sz w:val="18"/>
          <w:szCs w:val="24"/>
        </w:rPr>
      </w:pPr>
      <w:r w:rsidRPr="00974C13">
        <w:rPr>
          <w:rFonts w:ascii="Titillium" w:hAnsi="Titillium" w:cs="Calibri"/>
          <w:sz w:val="18"/>
          <w:szCs w:val="24"/>
        </w:rPr>
        <w:t>La garanzia fideiussoria deve essere emessa e firmata digitalmente</w:t>
      </w:r>
      <w:r w:rsidR="00B80779" w:rsidRPr="00974C13">
        <w:t xml:space="preserve"> </w:t>
      </w:r>
      <w:r w:rsidRPr="00974C13">
        <w:rPr>
          <w:rFonts w:ascii="Titillium" w:hAnsi="Titillium" w:cs="Calibri"/>
          <w:sz w:val="18"/>
          <w:szCs w:val="24"/>
        </w:rPr>
        <w:t>da un soggetto in possesso dei poteri necessari per impegnare il garante.</w:t>
      </w:r>
      <w:r>
        <w:rPr>
          <w:rFonts w:ascii="Titillium" w:hAnsi="Titillium" w:cs="Calibri"/>
          <w:sz w:val="18"/>
          <w:szCs w:val="24"/>
        </w:rPr>
        <w:t xml:space="preserve"> </w:t>
      </w:r>
    </w:p>
    <w:p w14:paraId="1CB6F2F4" w14:textId="515A91BD" w:rsidR="006842EE" w:rsidRDefault="008F2625" w:rsidP="004971AA">
      <w:pPr>
        <w:spacing w:before="60" w:after="60"/>
        <w:rPr>
          <w:rFonts w:ascii="Titillium" w:hAnsi="Titillium" w:cs="Calibri"/>
          <w:sz w:val="18"/>
          <w:szCs w:val="24"/>
        </w:rPr>
      </w:pPr>
      <w:r>
        <w:rPr>
          <w:rFonts w:ascii="Titillium" w:hAnsi="Titillium" w:cs="Calibri"/>
          <w:sz w:val="18"/>
          <w:szCs w:val="24"/>
        </w:rPr>
        <w:t>L’operatore economico può, alternativamente:</w:t>
      </w:r>
    </w:p>
    <w:p w14:paraId="31933ED4" w14:textId="21591AC3" w:rsidR="006842EE" w:rsidRPr="00AD2E95" w:rsidRDefault="008F2625" w:rsidP="00D26F03">
      <w:pPr>
        <w:pStyle w:val="Paragrafoelenco"/>
        <w:numPr>
          <w:ilvl w:val="0"/>
          <w:numId w:val="45"/>
        </w:numPr>
        <w:spacing w:before="60" w:after="60"/>
        <w:ind w:left="426"/>
        <w:rPr>
          <w:rFonts w:ascii="Titillium" w:hAnsi="Titillium" w:cs="Calibri"/>
          <w:strike/>
          <w:sz w:val="18"/>
          <w:szCs w:val="24"/>
        </w:rPr>
      </w:pPr>
      <w:r w:rsidRPr="00AD2E95">
        <w:rPr>
          <w:rFonts w:ascii="Titillium" w:hAnsi="Titillium" w:cs="Calibri"/>
          <w:sz w:val="18"/>
          <w:szCs w:val="24"/>
        </w:rPr>
        <w:t xml:space="preserve">presentare una garanzia fideiussoria gestita </w:t>
      </w:r>
      <w:r w:rsidR="00894690" w:rsidRPr="00AD2E95">
        <w:rPr>
          <w:rFonts w:ascii="Titillium" w:hAnsi="Titillium" w:cs="Calibri"/>
          <w:sz w:val="18"/>
          <w:szCs w:val="24"/>
        </w:rPr>
        <w:t xml:space="preserve">in tutte le fasi </w:t>
      </w:r>
      <w:r w:rsidRPr="00AD2E95">
        <w:rPr>
          <w:rFonts w:ascii="Titillium" w:hAnsi="Titillium" w:cs="Calibri"/>
          <w:sz w:val="18"/>
          <w:szCs w:val="24"/>
        </w:rPr>
        <w:t>mediante ricorso a</w:t>
      </w:r>
      <w:r w:rsidR="0015714E" w:rsidRPr="00AD2E95">
        <w:rPr>
          <w:rFonts w:ascii="Titillium" w:hAnsi="Titillium" w:cs="Calibri"/>
          <w:sz w:val="18"/>
          <w:szCs w:val="24"/>
        </w:rPr>
        <w:t>d</w:t>
      </w:r>
      <w:r w:rsidRPr="00AD2E95">
        <w:rPr>
          <w:rFonts w:ascii="Titillium" w:hAnsi="Titillium" w:cs="Calibri"/>
          <w:sz w:val="18"/>
          <w:szCs w:val="24"/>
        </w:rPr>
        <w:t xml:space="preserve"> una </w:t>
      </w:r>
      <w:r w:rsidR="006B6C56" w:rsidRPr="00AD2E95">
        <w:rPr>
          <w:rFonts w:ascii="Titillium" w:hAnsi="Titillium" w:cs="Calibri"/>
          <w:sz w:val="18"/>
          <w:szCs w:val="24"/>
        </w:rPr>
        <w:t xml:space="preserve">piattaforma </w:t>
      </w:r>
      <w:r w:rsidR="00B80779" w:rsidRPr="00AD2E95">
        <w:rPr>
          <w:rFonts w:ascii="Titillium" w:hAnsi="Titillium" w:cs="Calibri"/>
          <w:sz w:val="18"/>
          <w:szCs w:val="24"/>
        </w:rPr>
        <w:t>operante con tecnologie basate su registri distribuiti o su registri elettronici, conforme alle caratteristiche stabilite dall’AgID;</w:t>
      </w:r>
      <w:r w:rsidR="00894690" w:rsidRPr="00AD2E95">
        <w:rPr>
          <w:rFonts w:ascii="Titillium" w:hAnsi="Titillium" w:cs="Calibri"/>
          <w:sz w:val="18"/>
          <w:szCs w:val="24"/>
        </w:rPr>
        <w:t xml:space="preserve">  </w:t>
      </w:r>
    </w:p>
    <w:p w14:paraId="78DE09BA" w14:textId="298C984E" w:rsidR="006842EE" w:rsidRPr="00AD2E95" w:rsidRDefault="008F2625" w:rsidP="00D26F03">
      <w:pPr>
        <w:pStyle w:val="Paragrafoelenco"/>
        <w:numPr>
          <w:ilvl w:val="0"/>
          <w:numId w:val="45"/>
        </w:numPr>
        <w:spacing w:before="60" w:after="60"/>
        <w:ind w:left="426"/>
        <w:rPr>
          <w:rFonts w:ascii="Titillium" w:hAnsi="Titillium" w:cs="Calibri"/>
          <w:strike/>
          <w:color w:val="000000" w:themeColor="text1"/>
          <w:sz w:val="18"/>
          <w:szCs w:val="24"/>
        </w:rPr>
      </w:pPr>
      <w:r w:rsidRPr="00AD2E95">
        <w:rPr>
          <w:rFonts w:ascii="Titillium" w:hAnsi="Titillium" w:cs="Calibri"/>
          <w:sz w:val="18"/>
          <w:szCs w:val="24"/>
        </w:rPr>
        <w:t>presentare una garanzia fideiussoria verificabile telematicamente presso l’emittent</w:t>
      </w:r>
      <w:r w:rsidR="008E1C3C" w:rsidRPr="00AD2E95">
        <w:rPr>
          <w:rFonts w:ascii="Titillium" w:hAnsi="Titillium" w:cs="Calibri"/>
          <w:sz w:val="18"/>
          <w:szCs w:val="24"/>
        </w:rPr>
        <w:t>e;</w:t>
      </w:r>
      <w:r w:rsidR="00FF0AA6" w:rsidRPr="00AD2E95">
        <w:rPr>
          <w:rFonts w:ascii="Titillium" w:hAnsi="Titillium" w:cs="Calibri"/>
          <w:sz w:val="18"/>
          <w:szCs w:val="24"/>
        </w:rPr>
        <w:t xml:space="preserve"> </w:t>
      </w:r>
      <w:r w:rsidR="00B80779" w:rsidRPr="00AD2E95">
        <w:rPr>
          <w:rFonts w:ascii="Titillium" w:hAnsi="Titillium" w:cs="Calibri"/>
          <w:sz w:val="18"/>
          <w:szCs w:val="24"/>
        </w:rPr>
        <w:t>indicando</w:t>
      </w:r>
      <w:r w:rsidRPr="00AD2E95">
        <w:rPr>
          <w:rFonts w:ascii="Titillium" w:hAnsi="Titillium" w:cs="Calibri"/>
          <w:sz w:val="18"/>
          <w:szCs w:val="24"/>
        </w:rPr>
        <w:t xml:space="preserve"> nella domanda </w:t>
      </w:r>
      <w:r w:rsidR="00B80779" w:rsidRPr="00AD2E95">
        <w:rPr>
          <w:rFonts w:ascii="Titillium" w:hAnsi="Titillium" w:cs="Calibri"/>
          <w:color w:val="000000" w:themeColor="text1"/>
          <w:sz w:val="18"/>
          <w:szCs w:val="24"/>
        </w:rPr>
        <w:t>le modalità di verifica messe a disposizione dall’emittente medesimo.</w:t>
      </w:r>
    </w:p>
    <w:p w14:paraId="7928260B" w14:textId="78831D02" w:rsidR="006842EE" w:rsidRDefault="006842EE">
      <w:pPr>
        <w:spacing w:before="60" w:after="60"/>
        <w:ind w:left="66"/>
        <w:rPr>
          <w:rFonts w:ascii="Titillium" w:hAnsi="Titillium" w:cs="Calibri"/>
          <w:color w:val="FF0000"/>
          <w:sz w:val="18"/>
          <w:szCs w:val="24"/>
        </w:rPr>
      </w:pPr>
    </w:p>
    <w:p w14:paraId="39E6A28D" w14:textId="77777777" w:rsidR="006842EE" w:rsidRDefault="008F2625">
      <w:pPr>
        <w:spacing w:before="60" w:after="60"/>
      </w:pPr>
      <w:r>
        <w:rPr>
          <w:rFonts w:ascii="Titillium" w:hAnsi="Titillium" w:cs="Calibri"/>
          <w:sz w:val="18"/>
          <w:szCs w:val="18"/>
        </w:rPr>
        <w:t>La fideiussione deve:</w:t>
      </w:r>
    </w:p>
    <w:p w14:paraId="5FF6D6C9" w14:textId="37ACCB09" w:rsidR="006842EE" w:rsidRPr="00974C13" w:rsidRDefault="008F2625" w:rsidP="00D26F03">
      <w:pPr>
        <w:numPr>
          <w:ilvl w:val="2"/>
          <w:numId w:val="17"/>
        </w:numPr>
        <w:spacing w:before="60" w:after="60"/>
        <w:ind w:left="284" w:hanging="284"/>
        <w:rPr>
          <w:rFonts w:ascii="Titillium" w:hAnsi="Titillium" w:cs="Calibri"/>
          <w:sz w:val="18"/>
          <w:szCs w:val="18"/>
        </w:rPr>
      </w:pPr>
      <w:r w:rsidRPr="00974C13">
        <w:rPr>
          <w:rFonts w:ascii="Titillium" w:hAnsi="Titillium" w:cs="Calibri"/>
          <w:sz w:val="18"/>
          <w:szCs w:val="18"/>
        </w:rPr>
        <w:t>contenere espressa menzione dell’oggetto del contratto di appalto e del soggetto garantito;</w:t>
      </w:r>
    </w:p>
    <w:tbl>
      <w:tblPr>
        <w:tblStyle w:val="Grigliatabella"/>
        <w:tblW w:w="0" w:type="auto"/>
        <w:tblLook w:val="04A0" w:firstRow="1" w:lastRow="0" w:firstColumn="1" w:lastColumn="0" w:noHBand="0" w:noVBand="1"/>
      </w:tblPr>
      <w:tblGrid>
        <w:gridCol w:w="9214"/>
      </w:tblGrid>
      <w:tr w:rsidR="00BE173F" w14:paraId="7AEA5F98" w14:textId="77777777" w:rsidTr="00BE173F">
        <w:tc>
          <w:tcPr>
            <w:tcW w:w="9214" w:type="dxa"/>
          </w:tcPr>
          <w:p w14:paraId="6F892200" w14:textId="1C07A0BB" w:rsidR="00BE173F" w:rsidRPr="00C21543" w:rsidRDefault="00BE173F" w:rsidP="00BE173F">
            <w:pPr>
              <w:spacing w:before="60" w:after="60"/>
              <w:rPr>
                <w:rFonts w:ascii="Titillium" w:hAnsi="Titillium" w:cs="Calibri"/>
                <w:i/>
                <w:iCs/>
                <w:sz w:val="18"/>
                <w:szCs w:val="18"/>
              </w:rPr>
            </w:pPr>
            <w:r w:rsidRPr="00C21543">
              <w:rPr>
                <w:rFonts w:ascii="Titillium" w:hAnsi="Titillium" w:cs="Calibri"/>
                <w:i/>
                <w:iCs/>
                <w:sz w:val="18"/>
                <w:szCs w:val="18"/>
              </w:rPr>
              <w:t xml:space="preserve">N.B. </w:t>
            </w:r>
            <w:r w:rsidRPr="00291754">
              <w:rPr>
                <w:rFonts w:ascii="Titillium" w:hAnsi="Titillium" w:cs="Calibri"/>
                <w:i/>
                <w:iCs/>
                <w:sz w:val="18"/>
                <w:szCs w:val="18"/>
              </w:rPr>
              <w:t>Nel caso di gara su delega</w:t>
            </w:r>
            <w:r w:rsidR="00912370" w:rsidRPr="00291754">
              <w:rPr>
                <w:rFonts w:ascii="Titillium" w:hAnsi="Titillium" w:cs="Calibri"/>
                <w:i/>
                <w:iCs/>
                <w:sz w:val="18"/>
                <w:szCs w:val="18"/>
              </w:rPr>
              <w:t xml:space="preserve"> - qualora prevista la prestazione della cauzione provvisoria in relazione all’oggetto dell’affidamento - </w:t>
            </w:r>
            <w:r w:rsidRPr="00291754">
              <w:rPr>
                <w:rFonts w:ascii="Titillium" w:hAnsi="Titillium" w:cs="Calibri"/>
                <w:i/>
                <w:iCs/>
                <w:sz w:val="18"/>
                <w:szCs w:val="18"/>
              </w:rPr>
              <w:t>nel disciplinare di gara, previo accordo tra delegata e delegante</w:t>
            </w:r>
            <w:r w:rsidR="00912370" w:rsidRPr="00291754">
              <w:rPr>
                <w:rFonts w:ascii="Titillium" w:hAnsi="Titillium" w:cs="Calibri"/>
                <w:i/>
                <w:iCs/>
                <w:sz w:val="18"/>
                <w:szCs w:val="18"/>
              </w:rPr>
              <w:t xml:space="preserve"> </w:t>
            </w:r>
            <w:r w:rsidRPr="00291754">
              <w:rPr>
                <w:rFonts w:ascii="Titillium" w:hAnsi="Titillium" w:cs="Calibri"/>
                <w:i/>
                <w:iCs/>
                <w:sz w:val="18"/>
                <w:szCs w:val="18"/>
              </w:rPr>
              <w:t xml:space="preserve">va chiarito espressamente se la </w:t>
            </w:r>
            <w:r w:rsidR="00A0581C" w:rsidRPr="00291754">
              <w:rPr>
                <w:rFonts w:ascii="Titillium" w:hAnsi="Titillium" w:cs="Calibri"/>
                <w:i/>
                <w:iCs/>
                <w:sz w:val="18"/>
                <w:szCs w:val="18"/>
              </w:rPr>
              <w:t xml:space="preserve">stessa </w:t>
            </w:r>
            <w:r w:rsidRPr="00291754">
              <w:rPr>
                <w:rFonts w:ascii="Titillium" w:hAnsi="Titillium" w:cs="Calibri"/>
                <w:i/>
                <w:iCs/>
                <w:sz w:val="18"/>
                <w:szCs w:val="18"/>
              </w:rPr>
              <w:t>debba essere resa nei confronti della centrale di committenza o stazione appaltante delegata o nei confronti della stazione appaltante delegante.</w:t>
            </w:r>
            <w:r w:rsidRPr="00C21543">
              <w:rPr>
                <w:rFonts w:ascii="Titillium" w:hAnsi="Titillium" w:cs="Calibri"/>
                <w:i/>
                <w:iCs/>
                <w:sz w:val="18"/>
                <w:szCs w:val="18"/>
              </w:rPr>
              <w:t xml:space="preserve"> </w:t>
            </w:r>
          </w:p>
        </w:tc>
      </w:tr>
    </w:tbl>
    <w:p w14:paraId="1B9AB583" w14:textId="1F838CFC" w:rsidR="006842EE" w:rsidRDefault="008F2625" w:rsidP="00D26F03">
      <w:pPr>
        <w:numPr>
          <w:ilvl w:val="2"/>
          <w:numId w:val="17"/>
        </w:numPr>
        <w:spacing w:before="60" w:after="60"/>
        <w:ind w:left="284" w:hanging="284"/>
        <w:rPr>
          <w:rFonts w:ascii="Titillium" w:hAnsi="Titillium" w:cs="Calibri"/>
          <w:sz w:val="18"/>
          <w:szCs w:val="18"/>
        </w:rPr>
      </w:pPr>
      <w:r>
        <w:rPr>
          <w:rFonts w:ascii="Titillium" w:hAnsi="Titillium" w:cs="Calibri"/>
          <w:sz w:val="18"/>
          <w:szCs w:val="18"/>
        </w:rPr>
        <w:t>essere intestata a tutti gli operatori economici del costituito/costituendo raggruppamento temporaneo o consorzio ordinario o GEIE, ovvero a tutte le imprese retiste che partecipano alla gara ovvero, in caso di consorzi di cui al</w:t>
      </w:r>
      <w:r w:rsidR="00A577C0">
        <w:rPr>
          <w:rFonts w:ascii="Titillium" w:hAnsi="Titillium" w:cs="Calibri"/>
          <w:sz w:val="18"/>
          <w:szCs w:val="18"/>
        </w:rPr>
        <w:t>l’articolo 66</w:t>
      </w:r>
      <w:r>
        <w:rPr>
          <w:rFonts w:ascii="Titillium" w:hAnsi="Titillium" w:cs="Calibri"/>
          <w:sz w:val="18"/>
          <w:szCs w:val="18"/>
        </w:rPr>
        <w:t>, comma</w:t>
      </w:r>
      <w:r w:rsidR="00A577C0">
        <w:rPr>
          <w:rFonts w:ascii="Titillium" w:hAnsi="Titillium" w:cs="Calibri"/>
          <w:sz w:val="18"/>
          <w:szCs w:val="18"/>
        </w:rPr>
        <w:t>1</w:t>
      </w:r>
      <w:r>
        <w:rPr>
          <w:rFonts w:ascii="Titillium" w:hAnsi="Titillium" w:cs="Calibri"/>
          <w:sz w:val="18"/>
          <w:szCs w:val="18"/>
        </w:rPr>
        <w:t xml:space="preserve"> lettere </w:t>
      </w:r>
      <w:r w:rsidR="00A577C0">
        <w:rPr>
          <w:rFonts w:ascii="Titillium" w:hAnsi="Titillium" w:cs="Calibri"/>
          <w:sz w:val="18"/>
          <w:szCs w:val="18"/>
        </w:rPr>
        <w:t>a</w:t>
      </w:r>
      <w:r>
        <w:rPr>
          <w:rFonts w:ascii="Titillium" w:hAnsi="Titillium" w:cs="Calibri"/>
          <w:sz w:val="18"/>
          <w:szCs w:val="18"/>
        </w:rPr>
        <w:t>)</w:t>
      </w:r>
      <w:r w:rsidR="00A577C0">
        <w:rPr>
          <w:rFonts w:ascii="Titillium" w:hAnsi="Titillium" w:cs="Calibri"/>
          <w:sz w:val="18"/>
          <w:szCs w:val="18"/>
        </w:rPr>
        <w:t xml:space="preserve"> e g)</w:t>
      </w:r>
      <w:r>
        <w:rPr>
          <w:rFonts w:ascii="Titillium" w:hAnsi="Titillium" w:cs="Calibri"/>
          <w:sz w:val="18"/>
          <w:szCs w:val="18"/>
        </w:rPr>
        <w:t xml:space="preserve"> del Codice, al solo consorzio;</w:t>
      </w:r>
    </w:p>
    <w:p w14:paraId="193229ED" w14:textId="77777777" w:rsidR="006842EE" w:rsidRDefault="008F2625" w:rsidP="00D26F03">
      <w:pPr>
        <w:numPr>
          <w:ilvl w:val="2"/>
          <w:numId w:val="17"/>
        </w:numPr>
        <w:spacing w:before="60" w:after="60"/>
        <w:ind w:left="284" w:hanging="284"/>
        <w:rPr>
          <w:rFonts w:ascii="Titillium" w:hAnsi="Titillium" w:cs="Calibri"/>
          <w:sz w:val="18"/>
          <w:szCs w:val="18"/>
        </w:rPr>
      </w:pPr>
      <w:r>
        <w:rPr>
          <w:rFonts w:ascii="Titillium" w:hAnsi="Titillium" w:cs="Calibri"/>
          <w:sz w:val="18"/>
          <w:szCs w:val="18"/>
        </w:rPr>
        <w:t>essere conforme allo schema tipo approvato con decreto del Ministro dello sviluppo economico del 16 settembre 2022 n. 193;</w:t>
      </w:r>
    </w:p>
    <w:p w14:paraId="347F1994" w14:textId="77777777" w:rsidR="006842EE" w:rsidRDefault="008F2625" w:rsidP="00D26F03">
      <w:pPr>
        <w:numPr>
          <w:ilvl w:val="2"/>
          <w:numId w:val="17"/>
        </w:numPr>
        <w:spacing w:before="60" w:after="60"/>
        <w:ind w:left="284" w:hanging="284"/>
      </w:pPr>
      <w:r>
        <w:rPr>
          <w:rFonts w:ascii="Titillium" w:hAnsi="Titillium" w:cs="Calibri"/>
          <w:sz w:val="18"/>
          <w:szCs w:val="18"/>
        </w:rPr>
        <w:t xml:space="preserve">avere validità per </w:t>
      </w:r>
      <w:r>
        <w:rPr>
          <w:rFonts w:ascii="Titillium" w:hAnsi="Titillium" w:cs="Calibri"/>
          <w:i/>
          <w:sz w:val="18"/>
          <w:szCs w:val="18"/>
        </w:rPr>
        <w:t xml:space="preserve">... </w:t>
      </w:r>
      <w:r>
        <w:rPr>
          <w:rFonts w:ascii="Titillium" w:hAnsi="Titillium" w:cs="Calibri"/>
          <w:sz w:val="18"/>
          <w:szCs w:val="18"/>
        </w:rPr>
        <w:t>giorni</w:t>
      </w:r>
      <w:r>
        <w:rPr>
          <w:rFonts w:ascii="Titillium" w:hAnsi="Titillium" w:cs="Calibri"/>
          <w:i/>
          <w:sz w:val="18"/>
          <w:szCs w:val="18"/>
        </w:rPr>
        <w:t xml:space="preserve"> [almeno 180 gg. - ovvero altro termine, in relazione alla durata prevista per il procedimento]</w:t>
      </w:r>
      <w:r>
        <w:rPr>
          <w:rFonts w:ascii="Titillium" w:hAnsi="Titillium" w:cs="Calibri"/>
          <w:sz w:val="18"/>
          <w:szCs w:val="18"/>
        </w:rPr>
        <w:t xml:space="preserve"> dalla data di presentazione dell’offerta; </w:t>
      </w:r>
    </w:p>
    <w:p w14:paraId="0B050A40" w14:textId="77777777" w:rsidR="006842EE" w:rsidRDefault="008F2625" w:rsidP="00D26F03">
      <w:pPr>
        <w:numPr>
          <w:ilvl w:val="2"/>
          <w:numId w:val="17"/>
        </w:numPr>
        <w:spacing w:before="60" w:after="60"/>
        <w:ind w:left="284" w:hanging="284"/>
        <w:rPr>
          <w:rFonts w:ascii="Titillium" w:hAnsi="Titillium" w:cs="Calibri"/>
          <w:sz w:val="18"/>
          <w:szCs w:val="18"/>
        </w:rPr>
      </w:pPr>
      <w:r>
        <w:rPr>
          <w:rFonts w:ascii="Titillium" w:hAnsi="Titillium" w:cs="Calibri"/>
          <w:sz w:val="18"/>
          <w:szCs w:val="18"/>
        </w:rPr>
        <w:t xml:space="preserve">prevedere espressamente: </w:t>
      </w:r>
    </w:p>
    <w:p w14:paraId="5B66F7AA" w14:textId="77777777" w:rsidR="006842EE" w:rsidRDefault="008F2625" w:rsidP="00D26F03">
      <w:pPr>
        <w:numPr>
          <w:ilvl w:val="3"/>
          <w:numId w:val="17"/>
        </w:numPr>
        <w:spacing w:before="60" w:after="60"/>
        <w:ind w:left="709" w:hanging="425"/>
        <w:rPr>
          <w:rFonts w:ascii="Titillium" w:hAnsi="Titillium" w:cs="Calibri"/>
          <w:sz w:val="18"/>
          <w:szCs w:val="18"/>
        </w:rPr>
      </w:pPr>
      <w:r>
        <w:rPr>
          <w:rFonts w:ascii="Titillium" w:hAnsi="Titillium" w:cs="Calibri"/>
          <w:sz w:val="18"/>
          <w:szCs w:val="18"/>
        </w:rPr>
        <w:t xml:space="preserve">la rinuncia al beneficio della preventiva escussione del debitore principale di cui all’articolo 1944 del Codice civile; </w:t>
      </w:r>
    </w:p>
    <w:p w14:paraId="18381A5D" w14:textId="77777777" w:rsidR="006842EE" w:rsidRDefault="008F2625" w:rsidP="00D26F03">
      <w:pPr>
        <w:numPr>
          <w:ilvl w:val="3"/>
          <w:numId w:val="17"/>
        </w:numPr>
        <w:spacing w:before="60" w:after="60"/>
        <w:ind w:left="709" w:hanging="425"/>
        <w:rPr>
          <w:rFonts w:ascii="Titillium" w:hAnsi="Titillium" w:cs="Calibri"/>
          <w:sz w:val="18"/>
          <w:szCs w:val="18"/>
        </w:rPr>
      </w:pPr>
      <w:r>
        <w:rPr>
          <w:rFonts w:ascii="Titillium" w:hAnsi="Titillium" w:cs="Calibri"/>
          <w:sz w:val="18"/>
          <w:szCs w:val="18"/>
        </w:rPr>
        <w:t xml:space="preserve">la rinuncia ad eccepire la decorrenza dei termini di cui all’articolo 1957, secondo comma, del Codice civile; </w:t>
      </w:r>
    </w:p>
    <w:p w14:paraId="3B5820F3" w14:textId="77777777" w:rsidR="006842EE" w:rsidRDefault="008F2625" w:rsidP="00D26F03">
      <w:pPr>
        <w:numPr>
          <w:ilvl w:val="3"/>
          <w:numId w:val="17"/>
        </w:numPr>
        <w:spacing w:before="60" w:after="60"/>
        <w:ind w:left="709" w:hanging="425"/>
      </w:pPr>
      <w:r>
        <w:rPr>
          <w:rFonts w:ascii="Titillium" w:hAnsi="Titillium" w:cs="Calibri"/>
          <w:sz w:val="18"/>
          <w:szCs w:val="18"/>
        </w:rPr>
        <w:t xml:space="preserve">l’operatività della stessa entro quindici giorni a semplice richiesta scritta della stazione appaltante. </w:t>
      </w:r>
    </w:p>
    <w:p w14:paraId="3EF4E8D6" w14:textId="09AE0A32" w:rsidR="006842EE" w:rsidRDefault="008F2625" w:rsidP="00D26F03">
      <w:pPr>
        <w:numPr>
          <w:ilvl w:val="0"/>
          <w:numId w:val="18"/>
        </w:numPr>
        <w:spacing w:before="60" w:after="60"/>
        <w:ind w:left="284" w:hanging="284"/>
      </w:pPr>
      <w:bookmarkStart w:id="1679" w:name="_Ref496519438"/>
      <w:r w:rsidRPr="007E1E23">
        <w:rPr>
          <w:rFonts w:ascii="Titillium" w:hAnsi="Titillium" w:cs="Calibri"/>
          <w:b/>
          <w:sz w:val="18"/>
          <w:szCs w:val="18"/>
        </w:rPr>
        <w:t>[</w:t>
      </w:r>
      <w:r w:rsidR="007E1E23" w:rsidRPr="00A74953">
        <w:rPr>
          <w:rFonts w:ascii="Titillium" w:hAnsi="Titillium" w:cs="Calibri"/>
          <w:b/>
          <w:i/>
          <w:iCs/>
          <w:sz w:val="18"/>
          <w:szCs w:val="18"/>
        </w:rPr>
        <w:t>F</w:t>
      </w:r>
      <w:r w:rsidRPr="00A74953">
        <w:rPr>
          <w:rFonts w:ascii="Titillium" w:hAnsi="Titillium" w:cs="Calibri"/>
          <w:b/>
          <w:i/>
          <w:iCs/>
          <w:sz w:val="18"/>
          <w:szCs w:val="18"/>
        </w:rPr>
        <w:t>acoltativo</w:t>
      </w:r>
      <w:r w:rsidRPr="007E1E23">
        <w:rPr>
          <w:rFonts w:ascii="Titillium" w:hAnsi="Titillium" w:cs="Calibri"/>
          <w:b/>
          <w:sz w:val="18"/>
          <w:szCs w:val="18"/>
        </w:rPr>
        <w:t>]</w:t>
      </w:r>
      <w:r>
        <w:rPr>
          <w:rFonts w:ascii="Titillium" w:hAnsi="Titillium" w:cs="Calibri"/>
          <w:sz w:val="18"/>
          <w:szCs w:val="18"/>
        </w:rPr>
        <w:t xml:space="preserve"> essere corredata dall’impegno del garante a rinnovare la garanzia ai sensi dell’articolo 106, comma 5 del Codice, su richiesta della stazione appaltante per ulteriori ... </w:t>
      </w:r>
      <w:r>
        <w:rPr>
          <w:rFonts w:ascii="Titillium" w:hAnsi="Titillium" w:cs="Calibri"/>
          <w:i/>
          <w:iCs/>
          <w:sz w:val="18"/>
          <w:szCs w:val="18"/>
        </w:rPr>
        <w:t xml:space="preserve">[indicare] </w:t>
      </w:r>
      <w:r>
        <w:rPr>
          <w:rFonts w:ascii="Titillium" w:hAnsi="Titillium" w:cs="Calibri"/>
          <w:sz w:val="18"/>
          <w:szCs w:val="18"/>
        </w:rPr>
        <w:t>giorni, nel caso in cui al momento della sua scadenza non sia ancora intervenuta l’aggiudicazione</w:t>
      </w:r>
      <w:bookmarkEnd w:id="1679"/>
      <w:r>
        <w:rPr>
          <w:rFonts w:ascii="Titillium" w:hAnsi="Titillium" w:cs="Calibri"/>
          <w:sz w:val="18"/>
          <w:szCs w:val="18"/>
        </w:rPr>
        <w:t>.</w:t>
      </w:r>
    </w:p>
    <w:p w14:paraId="54953C6C" w14:textId="77777777" w:rsidR="006842EE" w:rsidRDefault="008F2625">
      <w:pPr>
        <w:spacing w:before="120" w:after="60"/>
      </w:pPr>
      <w:r>
        <w:rPr>
          <w:rFonts w:ascii="Titillium" w:hAnsi="Titillium" w:cs="Calibri"/>
          <w:sz w:val="18"/>
          <w:szCs w:val="18"/>
        </w:rPr>
        <w:t xml:space="preserve">In caso di richiesta di estensione della durata e validità dell’offerta e della garanzia fideiussoria, il concorrente </w:t>
      </w:r>
      <w:r>
        <w:rPr>
          <w:rFonts w:ascii="Titillium" w:hAnsi="Titillium" w:cs="Calibri"/>
          <w:color w:val="000000" w:themeColor="text1"/>
          <w:sz w:val="18"/>
          <w:szCs w:val="18"/>
        </w:rPr>
        <w:t xml:space="preserve">potrà produrre </w:t>
      </w:r>
      <w:r>
        <w:rPr>
          <w:rFonts w:ascii="Titillium" w:hAnsi="Titillium" w:cs="Calibri"/>
          <w:sz w:val="18"/>
          <w:szCs w:val="18"/>
        </w:rPr>
        <w:t>nelle medesime forme di cui sopra una nuova garanzia provvisoria del medesimo o di altro garante, in sostituzione della precedente, a condizione che abbia espressa decorrenza dalla data di presentazione dell’offerta.</w:t>
      </w:r>
    </w:p>
    <w:p w14:paraId="7C3BDD89" w14:textId="77777777" w:rsidR="006842EE" w:rsidRDefault="008F2625">
      <w:pPr>
        <w:spacing w:before="60" w:after="60"/>
        <w:rPr>
          <w:rFonts w:ascii="Titillium" w:hAnsi="Titillium" w:cs="Calibri"/>
          <w:sz w:val="18"/>
          <w:szCs w:val="18"/>
        </w:rPr>
      </w:pPr>
      <w:r>
        <w:rPr>
          <w:rFonts w:ascii="Titillium" w:hAnsi="Titillium" w:cs="Calibri"/>
          <w:sz w:val="18"/>
          <w:szCs w:val="18"/>
        </w:rPr>
        <w:t>Ai sensi dell’articolo 106, comma 8, del Codice l’importo della garanzia è ridotto nei termini di seguito indicati.</w:t>
      </w:r>
    </w:p>
    <w:p w14:paraId="1FAEDCF6" w14:textId="77777777" w:rsidR="006842EE" w:rsidRDefault="008F2625" w:rsidP="00D26F03">
      <w:pPr>
        <w:pStyle w:val="Paragrafoelenco"/>
        <w:numPr>
          <w:ilvl w:val="1"/>
          <w:numId w:val="23"/>
        </w:numPr>
        <w:spacing w:before="60" w:after="60"/>
        <w:ind w:left="426"/>
        <w:rPr>
          <w:rFonts w:ascii="Titillium" w:hAnsi="Titillium" w:cs="Calibri"/>
          <w:sz w:val="18"/>
          <w:szCs w:val="18"/>
        </w:rPr>
      </w:pPr>
      <w:r>
        <w:rPr>
          <w:rFonts w:ascii="Titillium" w:hAnsi="Titillium" w:cs="Calibri"/>
          <w:sz w:val="18"/>
          <w:szCs w:val="18"/>
        </w:rPr>
        <w:t>Riduzione del 30% in caso di possesso della certificazione di qualità conforme alle norme europee della serie UNI CEI ISO 9000. In caso di partecipazione in forma associata, la riduzione si ottiene:</w:t>
      </w:r>
    </w:p>
    <w:p w14:paraId="125F9D84" w14:textId="57B688A6" w:rsidR="006842EE" w:rsidRDefault="008F2625" w:rsidP="00D26F03">
      <w:pPr>
        <w:pStyle w:val="Paragrafoelenco"/>
        <w:numPr>
          <w:ilvl w:val="1"/>
          <w:numId w:val="20"/>
        </w:numPr>
        <w:spacing w:before="60" w:after="60"/>
        <w:ind w:left="567" w:hanging="284"/>
        <w:rPr>
          <w:rFonts w:ascii="Titillium" w:hAnsi="Titillium" w:cs="Calibri"/>
          <w:sz w:val="18"/>
          <w:szCs w:val="18"/>
        </w:rPr>
      </w:pPr>
      <w:r>
        <w:rPr>
          <w:rFonts w:ascii="Titillium" w:hAnsi="Titillium" w:cs="Calibri"/>
          <w:sz w:val="18"/>
          <w:szCs w:val="18"/>
        </w:rPr>
        <w:t xml:space="preserve">per i soggetti di cui all’articolo 66, comma 1, </w:t>
      </w:r>
      <w:r w:rsidRPr="00211417">
        <w:rPr>
          <w:rFonts w:ascii="Titillium" w:hAnsi="Titillium" w:cs="Calibri"/>
          <w:sz w:val="18"/>
          <w:szCs w:val="18"/>
        </w:rPr>
        <w:t>letter</w:t>
      </w:r>
      <w:r w:rsidR="0086575D" w:rsidRPr="00211417">
        <w:rPr>
          <w:rFonts w:ascii="Titillium" w:hAnsi="Titillium" w:cs="Calibri"/>
          <w:sz w:val="18"/>
          <w:szCs w:val="18"/>
        </w:rPr>
        <w:t xml:space="preserve">e a) </w:t>
      </w:r>
      <w:r w:rsidR="0086575D">
        <w:rPr>
          <w:rFonts w:ascii="Titillium" w:hAnsi="Titillium" w:cs="Calibri"/>
          <w:sz w:val="18"/>
          <w:szCs w:val="18"/>
        </w:rPr>
        <w:t xml:space="preserve">ed </w:t>
      </w:r>
      <w:r>
        <w:rPr>
          <w:rFonts w:ascii="Titillium" w:hAnsi="Titillium" w:cs="Calibri"/>
          <w:sz w:val="18"/>
          <w:szCs w:val="18"/>
        </w:rPr>
        <w:t>f) del Codice solo se tutti soggetti che costituiscono il raggruppamento, consorzio ordinario o GEIE, o tutte le imprese retiste che partecipano alla gara siano in possesso della certificazione;</w:t>
      </w:r>
    </w:p>
    <w:p w14:paraId="792A83C0" w14:textId="65BAD8B7" w:rsidR="006842EE" w:rsidRPr="004A08BE" w:rsidRDefault="0055392A" w:rsidP="00D26F03">
      <w:pPr>
        <w:pStyle w:val="Paragrafoelenco"/>
        <w:numPr>
          <w:ilvl w:val="1"/>
          <w:numId w:val="20"/>
        </w:numPr>
        <w:spacing w:before="60" w:after="60"/>
        <w:ind w:left="567" w:hanging="284"/>
        <w:rPr>
          <w:rFonts w:ascii="Titillium" w:hAnsi="Titillium" w:cs="Calibri"/>
          <w:strike/>
          <w:color w:val="000000" w:themeColor="text1"/>
          <w:sz w:val="18"/>
          <w:szCs w:val="18"/>
        </w:rPr>
      </w:pPr>
      <w:r w:rsidRPr="00AD2E95">
        <w:rPr>
          <w:rFonts w:ascii="Titillium" w:hAnsi="Titillium" w:cs="Calibri"/>
          <w:color w:val="000000" w:themeColor="text1"/>
          <w:sz w:val="18"/>
          <w:szCs w:val="18"/>
        </w:rPr>
        <w:t xml:space="preserve">per i consorzi </w:t>
      </w:r>
      <w:r w:rsidR="00457B35" w:rsidRPr="00AD2E95">
        <w:rPr>
          <w:rFonts w:ascii="Titillium" w:hAnsi="Titillium" w:cs="Calibri"/>
          <w:color w:val="000000" w:themeColor="text1"/>
          <w:sz w:val="18"/>
          <w:szCs w:val="18"/>
        </w:rPr>
        <w:t xml:space="preserve">di cui all’articolo 66, comma 1, </w:t>
      </w:r>
      <w:r w:rsidR="0088198B" w:rsidRPr="00AD2E95">
        <w:rPr>
          <w:rFonts w:ascii="Titillium" w:hAnsi="Titillium" w:cs="Calibri"/>
          <w:color w:val="000000" w:themeColor="text1"/>
          <w:sz w:val="18"/>
          <w:szCs w:val="18"/>
        </w:rPr>
        <w:t>lettera</w:t>
      </w:r>
      <w:r w:rsidR="00457B35" w:rsidRPr="00AD2E95">
        <w:rPr>
          <w:rFonts w:ascii="Titillium" w:hAnsi="Titillium" w:cs="Calibri"/>
          <w:color w:val="000000" w:themeColor="text1"/>
          <w:sz w:val="18"/>
          <w:szCs w:val="18"/>
        </w:rPr>
        <w:t xml:space="preserve"> g) del Codice se</w:t>
      </w:r>
      <w:r w:rsidR="00211417" w:rsidRPr="00AD2E95">
        <w:rPr>
          <w:rFonts w:ascii="Titillium" w:hAnsi="Titillium" w:cs="Calibri"/>
          <w:color w:val="000000" w:themeColor="text1"/>
          <w:sz w:val="18"/>
          <w:szCs w:val="18"/>
        </w:rPr>
        <w:t xml:space="preserve"> il consorzio o </w:t>
      </w:r>
      <w:r w:rsidR="00457B35" w:rsidRPr="00AD2E95">
        <w:rPr>
          <w:rFonts w:ascii="Titillium" w:hAnsi="Titillium" w:cs="Calibri"/>
          <w:color w:val="000000" w:themeColor="text1"/>
          <w:sz w:val="18"/>
          <w:szCs w:val="18"/>
        </w:rPr>
        <w:t>almeno una delle imprese consorziate</w:t>
      </w:r>
      <w:r w:rsidR="00457B35" w:rsidRPr="004A08BE">
        <w:rPr>
          <w:rFonts w:ascii="Titillium" w:hAnsi="Titillium" w:cs="Calibri"/>
          <w:color w:val="000000" w:themeColor="text1"/>
          <w:sz w:val="18"/>
          <w:szCs w:val="18"/>
        </w:rPr>
        <w:t xml:space="preserve"> sia in possesso della certificazione;</w:t>
      </w:r>
    </w:p>
    <w:p w14:paraId="6F0D62CB" w14:textId="77777777" w:rsidR="006842EE" w:rsidRDefault="008F2625" w:rsidP="00D26F03">
      <w:pPr>
        <w:pStyle w:val="Paragrafoelenco"/>
        <w:numPr>
          <w:ilvl w:val="1"/>
          <w:numId w:val="23"/>
        </w:numPr>
        <w:spacing w:before="60" w:after="60"/>
        <w:ind w:left="426"/>
        <w:rPr>
          <w:rFonts w:ascii="Titillium" w:hAnsi="Titillium" w:cs="Calibri"/>
          <w:sz w:val="18"/>
          <w:szCs w:val="18"/>
        </w:rPr>
      </w:pPr>
      <w:r>
        <w:rPr>
          <w:rFonts w:ascii="Titillium" w:hAnsi="Titillium" w:cs="Calibri"/>
          <w:sz w:val="18"/>
          <w:szCs w:val="18"/>
        </w:rPr>
        <w:t>Riduzione del 50% in caso di partecipazione di micro, piccole e medie imprese e di raggruppamenti di operatori economici o consorzi ordinari costituiti esclusivamente da micro, piccole e medie imprese. Tale riduzione non è cumulabile con quella indicata alla lettera a).</w:t>
      </w:r>
    </w:p>
    <w:p w14:paraId="04BBA37D" w14:textId="684C5328" w:rsidR="00457B35" w:rsidRDefault="008F2625" w:rsidP="00D26F03">
      <w:pPr>
        <w:pStyle w:val="Paragrafoelenco"/>
        <w:numPr>
          <w:ilvl w:val="1"/>
          <w:numId w:val="23"/>
        </w:numPr>
        <w:spacing w:before="60" w:after="60"/>
        <w:ind w:left="426"/>
        <w:rPr>
          <w:rFonts w:ascii="Titillium" w:hAnsi="Titillium" w:cs="Calibri"/>
          <w:sz w:val="18"/>
          <w:szCs w:val="18"/>
        </w:rPr>
      </w:pPr>
      <w:r>
        <w:rPr>
          <w:rFonts w:ascii="Titillium" w:hAnsi="Titillium" w:cs="Calibri"/>
          <w:sz w:val="18"/>
          <w:szCs w:val="18"/>
        </w:rPr>
        <w:t xml:space="preserve">Riduzione del 10% cumulabile con quelle di cui alle precedenti lettere a), b) </w:t>
      </w:r>
      <w:r w:rsidR="004A08BE">
        <w:rPr>
          <w:rFonts w:ascii="Titillium" w:hAnsi="Titillium" w:cs="Calibri"/>
          <w:sz w:val="18"/>
          <w:szCs w:val="18"/>
        </w:rPr>
        <w:t xml:space="preserve">in </w:t>
      </w:r>
      <w:r>
        <w:rPr>
          <w:rFonts w:ascii="Titillium" w:hAnsi="Titillium" w:cs="Calibri"/>
          <w:sz w:val="18"/>
          <w:szCs w:val="18"/>
        </w:rPr>
        <w:t>caso di presentazione di garanzie fideiussorie</w:t>
      </w:r>
      <w:r w:rsidR="008078C3">
        <w:rPr>
          <w:rFonts w:ascii="Titillium" w:hAnsi="Titillium" w:cs="Calibri"/>
          <w:sz w:val="18"/>
          <w:szCs w:val="18"/>
        </w:rPr>
        <w:t>:</w:t>
      </w:r>
    </w:p>
    <w:p w14:paraId="399C4A79" w14:textId="77777777" w:rsidR="007807FC" w:rsidRDefault="008078C3" w:rsidP="00D26F03">
      <w:pPr>
        <w:pStyle w:val="Paragrafoelenco"/>
        <w:numPr>
          <w:ilvl w:val="1"/>
          <w:numId w:val="32"/>
        </w:numPr>
        <w:spacing w:before="60" w:after="60"/>
        <w:ind w:left="709"/>
        <w:rPr>
          <w:rFonts w:ascii="Titillium" w:hAnsi="Titillium" w:cs="Calibri"/>
          <w:color w:val="000000" w:themeColor="text1"/>
          <w:sz w:val="18"/>
          <w:szCs w:val="18"/>
        </w:rPr>
      </w:pPr>
      <w:r w:rsidRPr="004A08BE">
        <w:rPr>
          <w:rFonts w:ascii="Titillium" w:hAnsi="Titillium" w:cs="Calibri"/>
          <w:color w:val="000000" w:themeColor="text1"/>
          <w:sz w:val="18"/>
          <w:szCs w:val="18"/>
        </w:rPr>
        <w:t xml:space="preserve">gestite </w:t>
      </w:r>
      <w:r w:rsidR="008F2625" w:rsidRPr="004A08BE">
        <w:rPr>
          <w:rFonts w:ascii="Titillium" w:hAnsi="Titillium" w:cs="Calibri"/>
          <w:color w:val="000000" w:themeColor="text1"/>
          <w:sz w:val="18"/>
          <w:szCs w:val="18"/>
        </w:rPr>
        <w:t>mediante ricorso a piattaforme telematiche</w:t>
      </w:r>
      <w:r w:rsidR="00457B35" w:rsidRPr="004A08BE">
        <w:rPr>
          <w:rFonts w:ascii="Titillium" w:hAnsi="Titillium" w:cs="Calibri"/>
          <w:color w:val="000000" w:themeColor="text1"/>
          <w:sz w:val="18"/>
          <w:szCs w:val="18"/>
        </w:rPr>
        <w:t xml:space="preserve"> operanti con tecnologie basate su registri distribuiti;</w:t>
      </w:r>
    </w:p>
    <w:p w14:paraId="5630BD82" w14:textId="42330038" w:rsidR="0015714E" w:rsidRPr="007807FC" w:rsidRDefault="00457B35" w:rsidP="00D26F03">
      <w:pPr>
        <w:pStyle w:val="Paragrafoelenco"/>
        <w:numPr>
          <w:ilvl w:val="1"/>
          <w:numId w:val="32"/>
        </w:numPr>
        <w:spacing w:before="60" w:after="60"/>
        <w:ind w:left="709"/>
        <w:rPr>
          <w:rFonts w:ascii="Titillium" w:hAnsi="Titillium" w:cs="Calibri"/>
          <w:color w:val="000000" w:themeColor="text1"/>
          <w:sz w:val="18"/>
          <w:szCs w:val="18"/>
        </w:rPr>
      </w:pPr>
      <w:r w:rsidRPr="007807FC">
        <w:rPr>
          <w:rFonts w:ascii="Titillium" w:hAnsi="Titillium" w:cs="Calibri"/>
          <w:color w:val="000000" w:themeColor="text1"/>
          <w:sz w:val="18"/>
          <w:szCs w:val="18"/>
        </w:rPr>
        <w:t xml:space="preserve">verificabili telematicamente sul sito </w:t>
      </w:r>
      <w:r w:rsidR="008078C3" w:rsidRPr="007807FC">
        <w:rPr>
          <w:rFonts w:ascii="Titillium" w:hAnsi="Titillium" w:cs="Calibri"/>
          <w:color w:val="000000" w:themeColor="text1"/>
          <w:sz w:val="18"/>
          <w:szCs w:val="18"/>
        </w:rPr>
        <w:t xml:space="preserve">internet </w:t>
      </w:r>
      <w:r w:rsidRPr="007807FC">
        <w:rPr>
          <w:rFonts w:ascii="Titillium" w:hAnsi="Titillium" w:cs="Calibri"/>
          <w:color w:val="000000" w:themeColor="text1"/>
          <w:sz w:val="18"/>
          <w:szCs w:val="18"/>
        </w:rPr>
        <w:t>dell’emittente</w:t>
      </w:r>
      <w:r w:rsidR="0015714E" w:rsidRPr="007807FC">
        <w:rPr>
          <w:rFonts w:ascii="Titillium" w:hAnsi="Titillium" w:cs="Calibri"/>
          <w:color w:val="000000" w:themeColor="text1"/>
          <w:sz w:val="18"/>
          <w:szCs w:val="18"/>
        </w:rPr>
        <w:t>;</w:t>
      </w:r>
    </w:p>
    <w:p w14:paraId="1C75CFDF" w14:textId="6DEA7253" w:rsidR="006842EE" w:rsidRPr="0015714E" w:rsidRDefault="008F2625" w:rsidP="00D26F03">
      <w:pPr>
        <w:pStyle w:val="Paragrafoelenco"/>
        <w:numPr>
          <w:ilvl w:val="1"/>
          <w:numId w:val="23"/>
        </w:numPr>
        <w:spacing w:before="60" w:after="60"/>
        <w:ind w:left="426"/>
        <w:rPr>
          <w:rFonts w:ascii="Titillium" w:hAnsi="Titillium" w:cs="Calibri"/>
          <w:sz w:val="18"/>
          <w:szCs w:val="18"/>
        </w:rPr>
      </w:pPr>
      <w:r w:rsidRPr="0015714E">
        <w:rPr>
          <w:rFonts w:ascii="Titillium" w:hAnsi="Titillium" w:cs="Calibri"/>
          <w:sz w:val="18"/>
          <w:szCs w:val="18"/>
        </w:rPr>
        <w:t xml:space="preserve">Riduzione del …. % </w:t>
      </w:r>
      <w:r w:rsidRPr="0015714E">
        <w:rPr>
          <w:rFonts w:ascii="Titillium" w:hAnsi="Titillium" w:cs="Calibri"/>
          <w:i/>
          <w:iCs/>
          <w:sz w:val="18"/>
          <w:szCs w:val="18"/>
        </w:rPr>
        <w:t>[la stazione appaltante indica una percentuale di riduzione fino ad un massimo del 20%]</w:t>
      </w:r>
      <w:r w:rsidRPr="0015714E">
        <w:rPr>
          <w:rFonts w:ascii="Titillium" w:hAnsi="Titillium" w:cs="Calibri"/>
          <w:sz w:val="18"/>
          <w:szCs w:val="18"/>
        </w:rPr>
        <w:t xml:space="preserve"> in caso di possesso di una o più delle seguenti certificazioni/marchi: …… </w:t>
      </w:r>
      <w:r w:rsidRPr="0015714E">
        <w:rPr>
          <w:rFonts w:ascii="Titillium" w:hAnsi="Titillium" w:cs="Calibri"/>
          <w:i/>
          <w:iCs/>
          <w:sz w:val="18"/>
          <w:szCs w:val="18"/>
        </w:rPr>
        <w:t>[la stazione appaltante individua le certificazioni, ulteriori rispetto a quelle di cui alla lettera a) che danno diritto alla riduzione tra quelle indicate all’allegato II.13 del codice]</w:t>
      </w:r>
      <w:r w:rsidRPr="0015714E">
        <w:rPr>
          <w:rFonts w:ascii="Titillium" w:hAnsi="Titillium" w:cs="Calibri"/>
          <w:sz w:val="18"/>
          <w:szCs w:val="18"/>
        </w:rPr>
        <w:t>. Tale riduzione è cumulabile con quelle indicate alle lettere a), b) e c). In caso di partecipazione in forma associata la riduzione si ottiene:</w:t>
      </w:r>
    </w:p>
    <w:p w14:paraId="6EB46604" w14:textId="742A5835" w:rsidR="006842EE" w:rsidRDefault="008F2625" w:rsidP="00D26F03">
      <w:pPr>
        <w:pStyle w:val="Paragrafoelenco"/>
        <w:numPr>
          <w:ilvl w:val="0"/>
          <w:numId w:val="27"/>
        </w:numPr>
        <w:spacing w:before="60" w:after="60"/>
        <w:rPr>
          <w:rFonts w:ascii="Titillium" w:hAnsi="Titillium" w:cs="Calibri"/>
          <w:sz w:val="18"/>
          <w:szCs w:val="18"/>
        </w:rPr>
      </w:pPr>
      <w:r>
        <w:rPr>
          <w:rFonts w:ascii="Titillium" w:hAnsi="Titillium" w:cs="Calibri"/>
          <w:sz w:val="18"/>
          <w:szCs w:val="18"/>
        </w:rPr>
        <w:t xml:space="preserve">per i soggetti di cui all’articolo 66 comma 1 </w:t>
      </w:r>
      <w:r w:rsidRPr="004A08BE">
        <w:rPr>
          <w:rFonts w:ascii="Titillium" w:hAnsi="Titillium" w:cs="Calibri"/>
          <w:color w:val="000000" w:themeColor="text1"/>
          <w:sz w:val="18"/>
          <w:szCs w:val="18"/>
        </w:rPr>
        <w:t>letter</w:t>
      </w:r>
      <w:r w:rsidR="00457B35" w:rsidRPr="004A08BE">
        <w:rPr>
          <w:rFonts w:ascii="Titillium" w:hAnsi="Titillium" w:cs="Calibri"/>
          <w:color w:val="000000" w:themeColor="text1"/>
          <w:sz w:val="18"/>
          <w:szCs w:val="18"/>
        </w:rPr>
        <w:t>e a) ed</w:t>
      </w:r>
      <w:r w:rsidRPr="004A08BE">
        <w:rPr>
          <w:rFonts w:ascii="Titillium" w:hAnsi="Titillium" w:cs="Calibri"/>
          <w:color w:val="000000" w:themeColor="text1"/>
          <w:sz w:val="18"/>
          <w:szCs w:val="18"/>
        </w:rPr>
        <w:t xml:space="preserve"> </w:t>
      </w:r>
      <w:r>
        <w:rPr>
          <w:rFonts w:ascii="Titillium" w:hAnsi="Titillium" w:cs="Calibri"/>
          <w:sz w:val="18"/>
          <w:szCs w:val="18"/>
        </w:rPr>
        <w:t>f) del Codice se uno dei soggetti che costituiscono il raggruppamento, consorzio ordinario o GEIE, o una delle imprese retiste che partecipano alla gara sia in possesso della certificazione;</w:t>
      </w:r>
    </w:p>
    <w:p w14:paraId="19BA96A6" w14:textId="77777777" w:rsidR="006842EE" w:rsidRDefault="008F2625" w:rsidP="00D26F03">
      <w:pPr>
        <w:pStyle w:val="Paragrafoelenco"/>
        <w:numPr>
          <w:ilvl w:val="0"/>
          <w:numId w:val="27"/>
        </w:numPr>
        <w:spacing w:before="60" w:after="60"/>
        <w:rPr>
          <w:rFonts w:ascii="Titillium" w:hAnsi="Titillium" w:cs="Calibri"/>
          <w:sz w:val="18"/>
          <w:szCs w:val="18"/>
        </w:rPr>
      </w:pPr>
      <w:r>
        <w:rPr>
          <w:rFonts w:ascii="Titillium" w:hAnsi="Titillium" w:cs="Calibri"/>
          <w:sz w:val="18"/>
          <w:szCs w:val="18"/>
        </w:rPr>
        <w:t>per i consorzi di cui all’articolo 66 comma 1 lettera g) del Codice se il consorzio o una delle consorziate sia in possesso della certificazione.</w:t>
      </w:r>
    </w:p>
    <w:p w14:paraId="6D115299" w14:textId="77777777" w:rsidR="006842EE" w:rsidRDefault="008F2625">
      <w:pPr>
        <w:spacing w:before="60" w:after="60"/>
      </w:pPr>
      <w:r>
        <w:rPr>
          <w:rFonts w:ascii="Titillium" w:hAnsi="Titillium" w:cs="Calibri"/>
          <w:sz w:val="18"/>
          <w:szCs w:val="18"/>
        </w:rPr>
        <w:t>Per fruire delle riduzioni di cui all’articolo 106, comma 8 del Codice, il concorrente dichiara nella domanda di partecipazione il possesso delle certificazioni e inserisce copia delle certificazioni possedute qualora non già presenti nel fascicolo virtuale.</w:t>
      </w:r>
    </w:p>
    <w:p w14:paraId="2BCE17A5" w14:textId="2149477F" w:rsidR="006842EE" w:rsidRPr="00A36142" w:rsidRDefault="008F2625" w:rsidP="00D26F03">
      <w:pPr>
        <w:pStyle w:val="Titolo2"/>
        <w:numPr>
          <w:ilvl w:val="0"/>
          <w:numId w:val="54"/>
        </w:numPr>
        <w:ind w:left="357" w:hanging="357"/>
        <w:rPr>
          <w:rFonts w:ascii="Titillium" w:hAnsi="Titillium"/>
          <w:caps w:val="0"/>
          <w:sz w:val="18"/>
          <w:szCs w:val="18"/>
        </w:rPr>
      </w:pPr>
      <w:r w:rsidRPr="00A36142">
        <w:rPr>
          <w:rFonts w:ascii="Titillium" w:hAnsi="Titillium"/>
          <w:caps w:val="0"/>
          <w:sz w:val="18"/>
          <w:szCs w:val="18"/>
        </w:rPr>
        <w:t xml:space="preserve"> </w:t>
      </w:r>
      <w:bookmarkStart w:id="1680" w:name="_Toc227921634"/>
      <w:r w:rsidRPr="00A36142">
        <w:rPr>
          <w:rFonts w:ascii="Titillium" w:hAnsi="Titillium"/>
          <w:caps w:val="0"/>
          <w:sz w:val="18"/>
          <w:szCs w:val="18"/>
        </w:rPr>
        <w:t>SOPRALLUOGO</w:t>
      </w:r>
      <w:r w:rsidR="005856C3">
        <w:rPr>
          <w:rFonts w:ascii="Titillium" w:hAnsi="Titillium"/>
          <w:caps w:val="0"/>
          <w:sz w:val="18"/>
          <w:szCs w:val="18"/>
        </w:rPr>
        <w:t xml:space="preserve"> </w:t>
      </w:r>
      <w:r w:rsidR="005856C3" w:rsidRPr="005856C3">
        <w:rPr>
          <w:rFonts w:ascii="Titillium" w:hAnsi="Titillium"/>
          <w:caps w:val="0"/>
          <w:sz w:val="18"/>
          <w:szCs w:val="18"/>
        </w:rPr>
        <w:t>[</w:t>
      </w:r>
      <w:r w:rsidR="005856C3" w:rsidRPr="00A74953">
        <w:rPr>
          <w:rFonts w:ascii="Titillium" w:hAnsi="Titillium"/>
          <w:i/>
          <w:iCs w:val="0"/>
          <w:caps w:val="0"/>
          <w:sz w:val="18"/>
          <w:szCs w:val="18"/>
        </w:rPr>
        <w:t>FACOLTATIVO</w:t>
      </w:r>
      <w:r w:rsidR="005856C3">
        <w:rPr>
          <w:rFonts w:ascii="Titillium" w:hAnsi="Titillium"/>
          <w:caps w:val="0"/>
          <w:sz w:val="18"/>
          <w:szCs w:val="18"/>
        </w:rPr>
        <w:t>]</w:t>
      </w:r>
      <w:bookmarkEnd w:id="1680"/>
    </w:p>
    <w:p w14:paraId="1C6DEE7C" w14:textId="5BB40B0C" w:rsidR="006842EE" w:rsidRDefault="008F2625">
      <w:pPr>
        <w:spacing w:before="60" w:after="60"/>
        <w:rPr>
          <w:rFonts w:ascii="Titillium" w:hAnsi="Titillium" w:cs="Calibri"/>
          <w:sz w:val="18"/>
          <w:szCs w:val="18"/>
        </w:rPr>
      </w:pPr>
      <w:r>
        <w:rPr>
          <w:rFonts w:ascii="Titillium" w:hAnsi="Titillium" w:cs="Calibri"/>
          <w:sz w:val="18"/>
          <w:szCs w:val="18"/>
        </w:rPr>
        <w:t xml:space="preserve">Il sopralluogo su ... </w:t>
      </w:r>
      <w:r>
        <w:rPr>
          <w:rFonts w:ascii="Titillium" w:hAnsi="Titillium" w:cs="Calibri"/>
          <w:i/>
          <w:sz w:val="18"/>
          <w:szCs w:val="18"/>
        </w:rPr>
        <w:t>[indicare eventuali aree/locali/ oggetto di sopralluogo interessati ai</w:t>
      </w:r>
      <w:r>
        <w:rPr>
          <w:rFonts w:ascii="Titillium" w:hAnsi="Titillium" w:cs="Calibri"/>
          <w:sz w:val="18"/>
          <w:szCs w:val="18"/>
        </w:rPr>
        <w:t xml:space="preserve"> </w:t>
      </w:r>
      <w:r>
        <w:rPr>
          <w:rFonts w:ascii="Titillium" w:hAnsi="Titillium" w:cs="Calibri"/>
          <w:i/>
          <w:sz w:val="18"/>
          <w:szCs w:val="18"/>
        </w:rPr>
        <w:t>servizi/forniture]</w:t>
      </w:r>
      <w:r>
        <w:rPr>
          <w:rFonts w:ascii="Titillium" w:hAnsi="Titillium" w:cs="Calibri"/>
          <w:sz w:val="18"/>
          <w:szCs w:val="18"/>
        </w:rPr>
        <w:t xml:space="preserve"> è obbligatorio. Il sopralluogo si </w:t>
      </w:r>
      <w:r w:rsidRPr="00974C13">
        <w:rPr>
          <w:rFonts w:ascii="Titillium" w:hAnsi="Titillium" w:cs="Calibri"/>
          <w:color w:val="000000" w:themeColor="text1"/>
          <w:sz w:val="18"/>
          <w:szCs w:val="18"/>
        </w:rPr>
        <w:t>rende</w:t>
      </w:r>
      <w:r w:rsidR="003A3A83" w:rsidRPr="00974C13">
        <w:rPr>
          <w:rFonts w:ascii="Titillium" w:hAnsi="Titillium" w:cs="Calibri"/>
          <w:color w:val="000000" w:themeColor="text1"/>
          <w:sz w:val="18"/>
          <w:szCs w:val="18"/>
        </w:rPr>
        <w:t xml:space="preserve"> indispensabile</w:t>
      </w:r>
      <w:r w:rsidRPr="00974C13">
        <w:rPr>
          <w:rFonts w:ascii="Titillium" w:hAnsi="Titillium" w:cs="Calibri"/>
          <w:color w:val="000000" w:themeColor="text1"/>
          <w:sz w:val="18"/>
          <w:szCs w:val="18"/>
        </w:rPr>
        <w:t xml:space="preserve"> </w:t>
      </w:r>
      <w:r>
        <w:rPr>
          <w:rFonts w:ascii="Titillium" w:hAnsi="Titillium" w:cs="Calibri"/>
          <w:sz w:val="18"/>
          <w:szCs w:val="18"/>
        </w:rPr>
        <w:t xml:space="preserve">per le seguenti ragioni … </w:t>
      </w:r>
      <w:r>
        <w:rPr>
          <w:rFonts w:ascii="Titillium" w:hAnsi="Titillium" w:cs="Calibri"/>
          <w:i/>
          <w:sz w:val="18"/>
          <w:szCs w:val="18"/>
        </w:rPr>
        <w:t>[fornire la motivazione</w:t>
      </w:r>
      <w:r w:rsidRPr="003A3A83">
        <w:rPr>
          <w:rFonts w:ascii="Titillium" w:hAnsi="Titillium" w:cs="Calibri"/>
          <w:i/>
          <w:sz w:val="18"/>
          <w:szCs w:val="18"/>
        </w:rPr>
        <w:t>].</w:t>
      </w:r>
      <w:r w:rsidRPr="003A3A83">
        <w:rPr>
          <w:rFonts w:ascii="Titillium" w:hAnsi="Titillium" w:cs="Calibri"/>
          <w:sz w:val="18"/>
          <w:szCs w:val="18"/>
        </w:rPr>
        <w:t xml:space="preserve"> La mancata effettuazione del </w:t>
      </w:r>
      <w:r w:rsidRPr="00974C13">
        <w:rPr>
          <w:rFonts w:ascii="Titillium" w:hAnsi="Titillium" w:cs="Calibri"/>
          <w:color w:val="000000" w:themeColor="text1"/>
          <w:sz w:val="18"/>
          <w:szCs w:val="18"/>
        </w:rPr>
        <w:t>sopralluogo</w:t>
      </w:r>
      <w:r w:rsidR="003A3A83" w:rsidRPr="00974C13">
        <w:rPr>
          <w:rFonts w:ascii="Titillium" w:hAnsi="Titillium" w:cs="Calibri"/>
          <w:color w:val="000000" w:themeColor="text1"/>
          <w:sz w:val="18"/>
          <w:szCs w:val="18"/>
        </w:rPr>
        <w:t xml:space="preserve"> determina l’inammissibilità dell’offerta</w:t>
      </w:r>
      <w:r w:rsidR="003A3A83">
        <w:rPr>
          <w:rFonts w:ascii="Titillium" w:hAnsi="Titillium" w:cs="Calibri"/>
          <w:sz w:val="18"/>
          <w:szCs w:val="18"/>
        </w:rPr>
        <w:t>.</w:t>
      </w:r>
      <w:r w:rsidRPr="003A3A83">
        <w:rPr>
          <w:rFonts w:ascii="Titillium" w:hAnsi="Titillium" w:cs="Calibri"/>
          <w:sz w:val="18"/>
          <w:szCs w:val="18"/>
        </w:rPr>
        <w:t xml:space="preserve"> </w:t>
      </w:r>
    </w:p>
    <w:p w14:paraId="4062C0D8" w14:textId="6A95A4D8" w:rsidR="006842EE" w:rsidRDefault="008F2625">
      <w:pPr>
        <w:spacing w:before="60" w:after="60"/>
      </w:pPr>
      <w:r>
        <w:rPr>
          <w:rFonts w:ascii="Titillium" w:hAnsi="Titillium" w:cs="Calibri"/>
          <w:sz w:val="18"/>
          <w:szCs w:val="18"/>
        </w:rPr>
        <w:t>Il sopralluogo è effettuato accedendo di persona nelle aree oggetto di sopralluogo o a distanza.</w:t>
      </w:r>
    </w:p>
    <w:p w14:paraId="278D0858" w14:textId="2DD54581" w:rsidR="006842EE" w:rsidRDefault="008F2625">
      <w:pPr>
        <w:spacing w:before="60" w:after="60"/>
      </w:pPr>
      <w:r>
        <w:rPr>
          <w:rFonts w:ascii="Titillium" w:hAnsi="Titillium" w:cs="Calibri"/>
          <w:sz w:val="18"/>
          <w:szCs w:val="18"/>
        </w:rPr>
        <w:t xml:space="preserve">Il sopralluogo può essere effettuato </w:t>
      </w:r>
      <w:r>
        <w:rPr>
          <w:rFonts w:ascii="Titillium" w:hAnsi="Titillium" w:cs="Calibri"/>
          <w:i/>
          <w:sz w:val="18"/>
          <w:szCs w:val="18"/>
        </w:rPr>
        <w:t>… [indicare o i giorni prestabiliti dalla stazione appaltante e/o la possibilità di concordare i giorni in cui svolgerlo di persona o indicare come effettuare il sopralluogo a distanza, ad esempio collegandosi ad un link inserito nella</w:t>
      </w:r>
      <w:r w:rsidR="002C4771">
        <w:rPr>
          <w:rFonts w:ascii="Titillium" w:hAnsi="Titillium" w:cs="Calibri"/>
          <w:i/>
          <w:sz w:val="18"/>
          <w:szCs w:val="18"/>
        </w:rPr>
        <w:t xml:space="preserve"> </w:t>
      </w:r>
      <w:r w:rsidR="002C4771" w:rsidRPr="00974C13">
        <w:rPr>
          <w:rFonts w:ascii="Titillium" w:hAnsi="Titillium" w:cs="Calibri"/>
          <w:i/>
          <w:color w:val="000000" w:themeColor="text1"/>
          <w:sz w:val="18"/>
          <w:szCs w:val="18"/>
        </w:rPr>
        <w:t>PAD</w:t>
      </w:r>
      <w:r w:rsidR="007807FC">
        <w:rPr>
          <w:rFonts w:ascii="Titillium" w:hAnsi="Titillium" w:cs="Calibri"/>
          <w:i/>
          <w:color w:val="000000" w:themeColor="text1"/>
          <w:sz w:val="18"/>
          <w:szCs w:val="18"/>
        </w:rPr>
        <w:t>]</w:t>
      </w:r>
      <w:r>
        <w:rPr>
          <w:rFonts w:ascii="Titillium" w:hAnsi="Titillium" w:cs="Calibri"/>
          <w:sz w:val="18"/>
          <w:szCs w:val="18"/>
        </w:rPr>
        <w:t xml:space="preserve">. </w:t>
      </w:r>
    </w:p>
    <w:p w14:paraId="6885E4B1" w14:textId="66F6AD3F" w:rsidR="006842EE" w:rsidRDefault="008F2625">
      <w:pPr>
        <w:spacing w:before="60" w:after="60"/>
        <w:rPr>
          <w:rFonts w:ascii="Titillium" w:hAnsi="Titillium" w:cs="Calibri"/>
          <w:sz w:val="18"/>
          <w:szCs w:val="18"/>
        </w:rPr>
      </w:pPr>
      <w:r>
        <w:rPr>
          <w:rFonts w:ascii="Titillium" w:hAnsi="Titillium" w:cs="Calibri"/>
          <w:sz w:val="18"/>
          <w:szCs w:val="18"/>
        </w:rPr>
        <w:t xml:space="preserve">La richiesta di sopralluogo deve essere presentata entro le ore </w:t>
      </w:r>
      <w:r>
        <w:rPr>
          <w:rFonts w:ascii="Titillium" w:hAnsi="Titillium" w:cs="Calibri"/>
          <w:i/>
          <w:sz w:val="18"/>
          <w:szCs w:val="18"/>
        </w:rPr>
        <w:t>... [indicare]</w:t>
      </w:r>
      <w:r>
        <w:rPr>
          <w:rFonts w:ascii="Titillium" w:hAnsi="Titillium" w:cs="Calibri"/>
          <w:sz w:val="18"/>
          <w:szCs w:val="18"/>
        </w:rPr>
        <w:t xml:space="preserve"> del giorno …</w:t>
      </w:r>
      <w:r>
        <w:rPr>
          <w:rFonts w:ascii="Titillium" w:hAnsi="Titillium" w:cs="Calibri"/>
          <w:i/>
          <w:sz w:val="18"/>
          <w:szCs w:val="18"/>
        </w:rPr>
        <w:t xml:space="preserve"> [indicare], </w:t>
      </w:r>
      <w:r>
        <w:rPr>
          <w:rFonts w:ascii="Titillium" w:hAnsi="Titillium" w:cs="Calibri"/>
          <w:sz w:val="18"/>
          <w:szCs w:val="18"/>
        </w:rPr>
        <w:t xml:space="preserve">tramite la </w:t>
      </w:r>
      <w:r w:rsidR="002C4771" w:rsidRPr="00974C13">
        <w:rPr>
          <w:rFonts w:ascii="Titillium" w:hAnsi="Titillium" w:cs="Calibri"/>
          <w:color w:val="000000" w:themeColor="text1"/>
          <w:sz w:val="18"/>
          <w:szCs w:val="18"/>
        </w:rPr>
        <w:t>PAD</w:t>
      </w:r>
      <w:r w:rsidR="002C4771" w:rsidRPr="002C4771">
        <w:rPr>
          <w:rFonts w:ascii="Titillium" w:hAnsi="Titillium" w:cs="Calibri"/>
          <w:color w:val="2E74B5" w:themeColor="accent1" w:themeShade="BF"/>
          <w:sz w:val="18"/>
          <w:szCs w:val="18"/>
        </w:rPr>
        <w:t xml:space="preserve"> </w:t>
      </w:r>
      <w:r>
        <w:rPr>
          <w:rFonts w:ascii="Titillium" w:hAnsi="Titillium" w:cs="Calibri"/>
          <w:sz w:val="18"/>
          <w:szCs w:val="18"/>
        </w:rPr>
        <w:t>alla</w:t>
      </w:r>
      <w:r>
        <w:rPr>
          <w:rFonts w:ascii="Titillium" w:hAnsi="Titillium" w:cs="Calibri"/>
          <w:i/>
          <w:sz w:val="18"/>
          <w:szCs w:val="18"/>
        </w:rPr>
        <w:t xml:space="preserve"> </w:t>
      </w:r>
      <w:r>
        <w:rPr>
          <w:rFonts w:ascii="Titillium" w:hAnsi="Titillium" w:cs="Calibri"/>
          <w:sz w:val="18"/>
          <w:szCs w:val="18"/>
        </w:rPr>
        <w:t>Sezione</w:t>
      </w:r>
      <w:r>
        <w:rPr>
          <w:rFonts w:ascii="Titillium" w:hAnsi="Titillium" w:cs="Calibri"/>
          <w:i/>
          <w:sz w:val="18"/>
          <w:szCs w:val="18"/>
        </w:rPr>
        <w:t xml:space="preserve"> </w:t>
      </w:r>
      <w:r>
        <w:rPr>
          <w:rFonts w:ascii="Titillium" w:hAnsi="Titillium" w:cs="Calibri"/>
          <w:sz w:val="18"/>
          <w:szCs w:val="18"/>
        </w:rPr>
        <w:t xml:space="preserve">… </w:t>
      </w:r>
      <w:r>
        <w:rPr>
          <w:rFonts w:ascii="Titillium" w:hAnsi="Titillium" w:cs="Calibri"/>
          <w:i/>
          <w:sz w:val="18"/>
          <w:szCs w:val="18"/>
        </w:rPr>
        <w:t>[indicare]</w:t>
      </w:r>
      <w:r>
        <w:rPr>
          <w:rFonts w:ascii="Titillium" w:hAnsi="Titillium" w:cs="Calibri"/>
          <w:sz w:val="18"/>
          <w:szCs w:val="18"/>
        </w:rPr>
        <w:t xml:space="preserve"> e deve riportare il nominativo e la qualifica della persona incaricata di effettuare il sopralluogo. </w:t>
      </w:r>
    </w:p>
    <w:tbl>
      <w:tblPr>
        <w:tblStyle w:val="Grigliatabella"/>
        <w:tblW w:w="0" w:type="auto"/>
        <w:tblLook w:val="04A0" w:firstRow="1" w:lastRow="0" w:firstColumn="1" w:lastColumn="0" w:noHBand="0" w:noVBand="1"/>
      </w:tblPr>
      <w:tblGrid>
        <w:gridCol w:w="9214"/>
      </w:tblGrid>
      <w:tr w:rsidR="00961F32" w14:paraId="65C859A6" w14:textId="77777777" w:rsidTr="00961F32">
        <w:tc>
          <w:tcPr>
            <w:tcW w:w="9214" w:type="dxa"/>
          </w:tcPr>
          <w:p w14:paraId="27258768" w14:textId="140FBCA1" w:rsidR="00961F32" w:rsidRDefault="00B20FC2" w:rsidP="0017251C">
            <w:pPr>
              <w:spacing w:before="60" w:after="60"/>
              <w:rPr>
                <w:rFonts w:ascii="Titillium" w:hAnsi="Titillium" w:cs="Calibri"/>
                <w:sz w:val="18"/>
                <w:szCs w:val="18"/>
              </w:rPr>
            </w:pPr>
            <w:r w:rsidRPr="00C21543">
              <w:rPr>
                <w:rFonts w:ascii="Titillium" w:hAnsi="Titillium" w:cs="Calibri"/>
                <w:i/>
                <w:iCs/>
                <w:sz w:val="18"/>
                <w:szCs w:val="18"/>
              </w:rPr>
              <w:t>N.B</w:t>
            </w:r>
            <w:r w:rsidRPr="005856C3">
              <w:rPr>
                <w:rFonts w:ascii="Titillium" w:hAnsi="Titillium" w:cs="Calibri"/>
                <w:i/>
                <w:iCs/>
                <w:sz w:val="18"/>
                <w:szCs w:val="18"/>
              </w:rPr>
              <w:t xml:space="preserve"> il</w:t>
            </w:r>
            <w:r w:rsidR="00961F32" w:rsidRPr="005856C3">
              <w:rPr>
                <w:rFonts w:ascii="Titillium" w:hAnsi="Titillium" w:cs="Calibri"/>
                <w:i/>
                <w:iCs/>
                <w:sz w:val="18"/>
                <w:szCs w:val="18"/>
              </w:rPr>
              <w:t xml:space="preserve"> termine fissato per richiedere il sopralluogo deve essere proporzionato e coerente con il principio di massima partecipazione.</w:t>
            </w:r>
            <w:r w:rsidR="00961F32">
              <w:rPr>
                <w:rFonts w:ascii="Titillium" w:hAnsi="Titillium" w:cs="Calibri"/>
                <w:sz w:val="18"/>
                <w:szCs w:val="18"/>
              </w:rPr>
              <w:t xml:space="preserve"> </w:t>
            </w:r>
          </w:p>
        </w:tc>
      </w:tr>
    </w:tbl>
    <w:p w14:paraId="19374DA7" w14:textId="77777777" w:rsidR="00961F32" w:rsidRDefault="00961F32">
      <w:pPr>
        <w:spacing w:before="60" w:after="60"/>
      </w:pPr>
    </w:p>
    <w:p w14:paraId="73A35A80" w14:textId="4630A5D0" w:rsidR="006842EE" w:rsidRDefault="008F2625">
      <w:pPr>
        <w:spacing w:before="60" w:after="60"/>
        <w:rPr>
          <w:rFonts w:ascii="Titillium" w:hAnsi="Titillium" w:cs="Calibri"/>
          <w:sz w:val="18"/>
          <w:szCs w:val="18"/>
        </w:rPr>
      </w:pPr>
      <w:r>
        <w:rPr>
          <w:rFonts w:ascii="Titillium" w:hAnsi="Titillium" w:cs="Calibri"/>
          <w:sz w:val="18"/>
          <w:szCs w:val="18"/>
        </w:rPr>
        <w:t xml:space="preserve">Data, ora e luogo </w:t>
      </w:r>
      <w:r>
        <w:rPr>
          <w:rFonts w:ascii="Titillium" w:hAnsi="Titillium" w:cs="Calibri"/>
          <w:i/>
          <w:sz w:val="18"/>
          <w:szCs w:val="18"/>
        </w:rPr>
        <w:t>[fisico in caso di sopralluogo effettuato di persona o link o area della</w:t>
      </w:r>
      <w:r w:rsidR="002F026F">
        <w:rPr>
          <w:rFonts w:ascii="Titillium" w:hAnsi="Titillium" w:cs="Calibri"/>
          <w:i/>
          <w:sz w:val="18"/>
          <w:szCs w:val="18"/>
        </w:rPr>
        <w:t xml:space="preserve"> </w:t>
      </w:r>
      <w:r w:rsidR="002F026F" w:rsidRPr="00974C13">
        <w:rPr>
          <w:rFonts w:ascii="Titillium" w:hAnsi="Titillium" w:cs="Calibri"/>
          <w:i/>
          <w:color w:val="000000" w:themeColor="text1"/>
          <w:sz w:val="18"/>
          <w:szCs w:val="18"/>
        </w:rPr>
        <w:t>PAD</w:t>
      </w:r>
      <w:r w:rsidRPr="00974C13">
        <w:rPr>
          <w:rFonts w:ascii="Titillium" w:hAnsi="Titillium" w:cs="Calibri"/>
          <w:i/>
          <w:color w:val="000000" w:themeColor="text1"/>
          <w:sz w:val="18"/>
          <w:szCs w:val="18"/>
        </w:rPr>
        <w:t xml:space="preserve"> </w:t>
      </w:r>
      <w:r>
        <w:rPr>
          <w:rFonts w:ascii="Titillium" w:hAnsi="Titillium" w:cs="Calibri"/>
          <w:i/>
          <w:sz w:val="18"/>
          <w:szCs w:val="18"/>
        </w:rPr>
        <w:t>in caso di sopralluogo virtuale]</w:t>
      </w:r>
      <w:r>
        <w:rPr>
          <w:rFonts w:ascii="Titillium" w:hAnsi="Titillium" w:cs="Calibri"/>
          <w:sz w:val="18"/>
          <w:szCs w:val="18"/>
        </w:rPr>
        <w:t xml:space="preserve"> del sopralluogo sono comunicati ai concorrenti con almeno ... </w:t>
      </w:r>
      <w:r>
        <w:rPr>
          <w:rFonts w:ascii="Titillium" w:hAnsi="Titillium" w:cs="Calibri"/>
          <w:i/>
          <w:sz w:val="18"/>
          <w:szCs w:val="18"/>
        </w:rPr>
        <w:t>[indicare]</w:t>
      </w:r>
      <w:r>
        <w:rPr>
          <w:rFonts w:ascii="Titillium" w:hAnsi="Titillium" w:cs="Calibri"/>
          <w:sz w:val="18"/>
          <w:szCs w:val="18"/>
        </w:rPr>
        <w:t xml:space="preserve"> giorni di anticipo. Viene rilasciata l’attestazione di avvenuto svolgimento del sopralluogo.</w:t>
      </w:r>
    </w:p>
    <w:p w14:paraId="5CD3D889" w14:textId="77777777" w:rsidR="006842EE" w:rsidRDefault="008F2625">
      <w:pPr>
        <w:spacing w:before="60" w:after="60"/>
        <w:rPr>
          <w:rFonts w:ascii="Titillium" w:hAnsi="Titillium" w:cs="Calibri"/>
          <w:sz w:val="18"/>
          <w:szCs w:val="18"/>
        </w:rPr>
      </w:pPr>
      <w:r>
        <w:rPr>
          <w:rFonts w:ascii="Titillium" w:hAnsi="Titillium" w:cs="Calibri"/>
          <w:sz w:val="18"/>
          <w:szCs w:val="18"/>
        </w:rPr>
        <w:t>Il sopralluogo può essere effettuato dal rappresentante legale/procuratore/direttore tecnico in possesso del documento di identità, o da soggetto diverso rappresentante dell’operatore economico purché in possesso di apposita delega, del proprio documento di identità e di copia di quello del delegante.</w:t>
      </w:r>
    </w:p>
    <w:p w14:paraId="4626D94F" w14:textId="77777777" w:rsidR="006842EE" w:rsidRDefault="008F2625">
      <w:pPr>
        <w:spacing w:before="60" w:after="60"/>
        <w:rPr>
          <w:rFonts w:ascii="Titillium" w:hAnsi="Titillium" w:cs="Calibri"/>
          <w:sz w:val="18"/>
          <w:szCs w:val="18"/>
        </w:rPr>
      </w:pPr>
      <w:r>
        <w:rPr>
          <w:rFonts w:ascii="Titillium" w:hAnsi="Titillium" w:cs="Calibri"/>
          <w:sz w:val="18"/>
          <w:szCs w:val="18"/>
        </w:rPr>
        <w:t>Il soggetto delegato ad effettuare il sopralluogo non può ricevere l’incarico da più concorrenti. In tal caso la stazione appaltante non rilascia la relativa attestazione ad alcuno dei soggetti deleganti.</w:t>
      </w:r>
    </w:p>
    <w:p w14:paraId="5B6B87DC" w14:textId="77777777" w:rsidR="006842EE" w:rsidRDefault="008F2625">
      <w:pPr>
        <w:spacing w:before="60" w:after="60"/>
      </w:pPr>
      <w:r>
        <w:rPr>
          <w:rFonts w:ascii="Titillium" w:hAnsi="Titillium" w:cs="Calibri"/>
          <w:sz w:val="18"/>
          <w:szCs w:val="18"/>
        </w:rPr>
        <w:t xml:space="preserve">In caso di raggruppamento temporaneo o consorzio ordinario già costituiti, GEIE, aggregazione di retisti, il sopralluogo può essere effettuato da un rappresentante degli operatori economici raggruppati, aggregati in rete o consorziati. </w:t>
      </w:r>
    </w:p>
    <w:p w14:paraId="4747ECCC" w14:textId="77777777" w:rsidR="006842EE" w:rsidRDefault="008F2625">
      <w:pPr>
        <w:spacing w:before="60" w:after="60"/>
      </w:pPr>
      <w:r>
        <w:rPr>
          <w:rFonts w:ascii="Titillium" w:hAnsi="Titillium" w:cs="Calibri"/>
          <w:sz w:val="18"/>
          <w:szCs w:val="18"/>
        </w:rPr>
        <w:t xml:space="preserve">In caso di raggruppamento temporaneo o consorzio ordinario, aggregazione di retisti non ancora costituiti, il sopralluogo è effettuato da un rappresentante di uno degli operatori economici che costituiranno il raggruppamento o l’aggregazione in rete o il consorzio. </w:t>
      </w:r>
    </w:p>
    <w:p w14:paraId="2D541AD6" w14:textId="77777777" w:rsidR="006842EE" w:rsidRDefault="008F2625">
      <w:pPr>
        <w:spacing w:before="60" w:after="60"/>
        <w:rPr>
          <w:rFonts w:ascii="Titillium" w:hAnsi="Titillium" w:cs="Calibri"/>
          <w:sz w:val="18"/>
          <w:szCs w:val="18"/>
        </w:rPr>
      </w:pPr>
      <w:r>
        <w:rPr>
          <w:rFonts w:ascii="Titillium" w:hAnsi="Titillium" w:cs="Calibri"/>
          <w:sz w:val="18"/>
          <w:szCs w:val="18"/>
        </w:rPr>
        <w:t>In caso di consorzio di cui all’articolo 66 comma 1 lettera g) del Codice il sopralluogo deve essere effettuato da soggetto munito di delega conferita dal consorzio oppure dall’operatore economico consorziato indicato come esecutore.</w:t>
      </w:r>
    </w:p>
    <w:p w14:paraId="0E965D96" w14:textId="06A0732B" w:rsidR="006842EE" w:rsidRPr="00B067A8" w:rsidRDefault="008F2625">
      <w:pPr>
        <w:pBdr>
          <w:top w:val="single" w:sz="4" w:space="1" w:color="000000"/>
          <w:left w:val="single" w:sz="4" w:space="4" w:color="000000"/>
          <w:bottom w:val="single" w:sz="4" w:space="1" w:color="000000"/>
          <w:right w:val="single" w:sz="4" w:space="4" w:color="000000"/>
        </w:pBdr>
        <w:spacing w:before="60" w:after="60"/>
        <w:rPr>
          <w:rFonts w:ascii="Titillium" w:hAnsi="Titillium" w:cs="Calibri"/>
          <w:i/>
          <w:iCs/>
          <w:sz w:val="18"/>
          <w:szCs w:val="18"/>
        </w:rPr>
      </w:pPr>
      <w:r w:rsidRPr="00B067A8">
        <w:rPr>
          <w:rFonts w:ascii="Titillium" w:hAnsi="Titillium" w:cs="Calibri"/>
          <w:i/>
          <w:iCs/>
          <w:sz w:val="18"/>
          <w:szCs w:val="18"/>
        </w:rPr>
        <w:t>N.B.:</w:t>
      </w:r>
      <w:r w:rsidR="003F7553" w:rsidRPr="00B067A8">
        <w:rPr>
          <w:rFonts w:asciiTheme="minorHAnsi" w:eastAsiaTheme="majorEastAsia" w:hAnsiTheme="minorHAnsi" w:cstheme="minorHAnsi"/>
          <w:i/>
          <w:iCs/>
          <w:sz w:val="20"/>
          <w:szCs w:val="20"/>
        </w:rPr>
        <w:t xml:space="preserve"> </w:t>
      </w:r>
      <w:r w:rsidR="003F7553" w:rsidRPr="00B067A8">
        <w:rPr>
          <w:rFonts w:ascii="Titillium" w:hAnsi="Titillium" w:cs="Calibri"/>
          <w:i/>
          <w:iCs/>
          <w:sz w:val="18"/>
          <w:szCs w:val="18"/>
        </w:rPr>
        <w:t>I</w:t>
      </w:r>
      <w:r w:rsidRPr="00B067A8">
        <w:rPr>
          <w:rFonts w:ascii="Titillium" w:hAnsi="Titillium" w:cs="Calibri"/>
          <w:i/>
          <w:iCs/>
          <w:sz w:val="18"/>
          <w:szCs w:val="18"/>
        </w:rPr>
        <w:t xml:space="preserve"> sopralluoghi devono</w:t>
      </w:r>
      <w:r w:rsidR="003F7553" w:rsidRPr="00B067A8">
        <w:rPr>
          <w:rFonts w:ascii="Titillium" w:hAnsi="Titillium" w:cs="Calibri"/>
          <w:i/>
          <w:iCs/>
          <w:sz w:val="18"/>
          <w:szCs w:val="18"/>
        </w:rPr>
        <w:t>, pertanto,</w:t>
      </w:r>
      <w:r w:rsidRPr="00B067A8">
        <w:rPr>
          <w:rFonts w:ascii="Titillium" w:hAnsi="Titillium" w:cs="Calibri"/>
          <w:i/>
          <w:iCs/>
          <w:sz w:val="18"/>
          <w:szCs w:val="18"/>
        </w:rPr>
        <w:t xml:space="preserve"> essere fissati in date tali da consentire agli operatori economici di poter effettuare eventuali richieste di chiarimenti ovvero di regola almeno tre giorni prima della scadenza del termine per la richiesta dei chiarimenti.</w:t>
      </w:r>
    </w:p>
    <w:p w14:paraId="3990EECD" w14:textId="2DDBD5CF" w:rsidR="006842EE" w:rsidRPr="00A36142" w:rsidRDefault="008F2625" w:rsidP="00D26F03">
      <w:pPr>
        <w:pStyle w:val="Titolo2"/>
        <w:numPr>
          <w:ilvl w:val="0"/>
          <w:numId w:val="54"/>
        </w:numPr>
        <w:ind w:left="357" w:hanging="357"/>
        <w:rPr>
          <w:rFonts w:ascii="Titillium" w:hAnsi="Titillium"/>
          <w:caps w:val="0"/>
          <w:sz w:val="18"/>
          <w:szCs w:val="18"/>
        </w:rPr>
      </w:pPr>
      <w:bookmarkStart w:id="1681" w:name="_Toc227921635"/>
      <w:r w:rsidRPr="00A36142">
        <w:rPr>
          <w:rFonts w:ascii="Titillium" w:hAnsi="Titillium"/>
          <w:caps w:val="0"/>
          <w:sz w:val="18"/>
          <w:szCs w:val="18"/>
        </w:rPr>
        <w:t>PAGAMENTO DEL CONTRIBUTO A FAVORE DELL’ANAC</w:t>
      </w:r>
      <w:bookmarkStart w:id="1682" w:name="_Toc416423364"/>
      <w:bookmarkStart w:id="1683" w:name="_Toc406754179"/>
      <w:bookmarkStart w:id="1684" w:name="_Toc406058378"/>
      <w:bookmarkStart w:id="1685" w:name="_Toc403471272"/>
      <w:bookmarkStart w:id="1686" w:name="_Toc397422865"/>
      <w:bookmarkStart w:id="1687" w:name="_Toc397346824"/>
      <w:bookmarkStart w:id="1688" w:name="_Toc393706909"/>
      <w:bookmarkStart w:id="1689" w:name="_Toc393700836"/>
      <w:bookmarkStart w:id="1690" w:name="_Toc393283177"/>
      <w:bookmarkStart w:id="1691" w:name="_Toc393272661"/>
      <w:bookmarkStart w:id="1692" w:name="_Toc393272603"/>
      <w:bookmarkStart w:id="1693" w:name="_Toc393187847"/>
      <w:bookmarkStart w:id="1694" w:name="_Toc393112130"/>
      <w:bookmarkStart w:id="1695" w:name="_Toc393110566"/>
      <w:bookmarkStart w:id="1696" w:name="_Toc392577499"/>
      <w:bookmarkStart w:id="1697" w:name="_Toc391036058"/>
      <w:bookmarkStart w:id="1698" w:name="_Toc391035985"/>
      <w:bookmarkStart w:id="1699" w:name="_Toc380501872"/>
      <w:bookmarkStart w:id="1700" w:name="_Toc354038185"/>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p>
    <w:p w14:paraId="03AAFB72" w14:textId="77777777" w:rsidR="00B3781D" w:rsidRDefault="008F2625">
      <w:pPr>
        <w:spacing w:before="60" w:after="60"/>
        <w:rPr>
          <w:rFonts w:ascii="Titillium" w:hAnsi="Titillium"/>
          <w:i/>
          <w:sz w:val="18"/>
          <w:szCs w:val="18"/>
        </w:rPr>
      </w:pPr>
      <w:r>
        <w:rPr>
          <w:rFonts w:ascii="Titillium" w:hAnsi="Titillium" w:cs="Calibri"/>
          <w:b/>
          <w:i/>
          <w:sz w:val="18"/>
          <w:szCs w:val="18"/>
        </w:rPr>
        <w:t xml:space="preserve">[In caso di lotto unico] </w:t>
      </w:r>
      <w:r>
        <w:rPr>
          <w:rFonts w:ascii="Titillium" w:hAnsi="Titillium" w:cs="Calibri"/>
          <w:sz w:val="18"/>
          <w:szCs w:val="18"/>
        </w:rPr>
        <w:t xml:space="preserve">I concorrenti effettuano il pagamento del contributo previsto dalla legge in favore dell’Autorità Nazionale Anticorruzione per un importo pari a € … </w:t>
      </w:r>
      <w:r>
        <w:rPr>
          <w:rFonts w:ascii="Titillium" w:hAnsi="Titillium" w:cs="Calibri"/>
          <w:i/>
          <w:iCs/>
          <w:sz w:val="18"/>
          <w:szCs w:val="18"/>
        </w:rPr>
        <w:t>[inserire]</w:t>
      </w:r>
      <w:r>
        <w:rPr>
          <w:rFonts w:ascii="Titillium" w:hAnsi="Titillium" w:cs="Calibri"/>
          <w:sz w:val="18"/>
          <w:szCs w:val="18"/>
        </w:rPr>
        <w:t xml:space="preserve"> secondo le modalità di cui alla delibera ANAC n. … del … </w:t>
      </w:r>
      <w:r>
        <w:rPr>
          <w:rFonts w:ascii="Titillium" w:hAnsi="Titillium" w:cs="Calibri"/>
          <w:i/>
          <w:sz w:val="18"/>
          <w:szCs w:val="18"/>
        </w:rPr>
        <w:t xml:space="preserve">[ad esempio Delibera numero </w:t>
      </w:r>
      <w:r w:rsidR="000757CE" w:rsidRPr="00974C13">
        <w:rPr>
          <w:rFonts w:ascii="Titillium" w:hAnsi="Titillium" w:cs="Calibri"/>
          <w:i/>
          <w:color w:val="000000" w:themeColor="text1"/>
          <w:sz w:val="18"/>
          <w:szCs w:val="18"/>
        </w:rPr>
        <w:t xml:space="preserve">598 </w:t>
      </w:r>
      <w:r w:rsidR="001E5196" w:rsidRPr="00974C13">
        <w:rPr>
          <w:rFonts w:ascii="Titillium" w:hAnsi="Titillium" w:cs="Calibri"/>
          <w:i/>
          <w:color w:val="000000" w:themeColor="text1"/>
          <w:sz w:val="18"/>
          <w:szCs w:val="18"/>
        </w:rPr>
        <w:t xml:space="preserve">del </w:t>
      </w:r>
      <w:r w:rsidR="000757CE" w:rsidRPr="00974C13">
        <w:rPr>
          <w:rFonts w:ascii="Titillium" w:hAnsi="Titillium" w:cs="Calibri"/>
          <w:i/>
          <w:color w:val="000000" w:themeColor="text1"/>
          <w:sz w:val="18"/>
          <w:szCs w:val="18"/>
        </w:rPr>
        <w:t>30</w:t>
      </w:r>
      <w:r w:rsidR="001E5196" w:rsidRPr="00974C13">
        <w:rPr>
          <w:rFonts w:ascii="Titillium" w:hAnsi="Titillium" w:cs="Calibri"/>
          <w:i/>
          <w:color w:val="000000" w:themeColor="text1"/>
          <w:sz w:val="18"/>
          <w:szCs w:val="18"/>
        </w:rPr>
        <w:t xml:space="preserve"> dicembre 202</w:t>
      </w:r>
      <w:r w:rsidR="000757CE" w:rsidRPr="00974C13">
        <w:rPr>
          <w:rFonts w:ascii="Titillium" w:hAnsi="Titillium" w:cs="Calibri"/>
          <w:i/>
          <w:color w:val="000000" w:themeColor="text1"/>
          <w:sz w:val="18"/>
          <w:szCs w:val="18"/>
        </w:rPr>
        <w:t>4</w:t>
      </w:r>
      <w:r w:rsidR="001E5196" w:rsidRPr="00974C13">
        <w:rPr>
          <w:rFonts w:ascii="Titillium" w:hAnsi="Titillium" w:cs="Calibri"/>
          <w:i/>
          <w:color w:val="000000" w:themeColor="text1"/>
          <w:sz w:val="18"/>
          <w:szCs w:val="18"/>
        </w:rPr>
        <w:t xml:space="preserve"> </w:t>
      </w:r>
      <w:r>
        <w:rPr>
          <w:rFonts w:ascii="Titillium" w:hAnsi="Titillium"/>
          <w:i/>
          <w:sz w:val="18"/>
          <w:szCs w:val="18"/>
        </w:rPr>
        <w:t xml:space="preserve">o successiva delibera pubblicata al seguente </w:t>
      </w:r>
      <w:hyperlink r:id="rId15">
        <w:r w:rsidRPr="00974C13">
          <w:rPr>
            <w:rStyle w:val="CollegamentoInternet"/>
            <w:rFonts w:ascii="Titillium" w:hAnsi="Titillium"/>
            <w:i/>
            <w:color w:val="000000" w:themeColor="text1"/>
            <w:sz w:val="18"/>
            <w:szCs w:val="18"/>
          </w:rPr>
          <w:t>https://www.anticorruzione.it/-/gestione-contributi-gara</w:t>
        </w:r>
      </w:hyperlink>
      <w:r>
        <w:rPr>
          <w:rFonts w:ascii="Titillium" w:hAnsi="Titillium"/>
          <w:i/>
          <w:sz w:val="18"/>
          <w:szCs w:val="18"/>
        </w:rPr>
        <w:t xml:space="preserve">]. </w:t>
      </w:r>
    </w:p>
    <w:p w14:paraId="1BB46010" w14:textId="77777777" w:rsidR="00C32880" w:rsidRDefault="008F2625">
      <w:pPr>
        <w:spacing w:before="60" w:after="60"/>
        <w:rPr>
          <w:rFonts w:ascii="Titillium" w:hAnsi="Titillium"/>
          <w:iCs/>
          <w:sz w:val="18"/>
          <w:szCs w:val="18"/>
        </w:rPr>
      </w:pPr>
      <w:r w:rsidRPr="00B067A8">
        <w:rPr>
          <w:rFonts w:ascii="Titillium" w:hAnsi="Titillium"/>
          <w:iCs/>
          <w:sz w:val="18"/>
          <w:szCs w:val="18"/>
        </w:rPr>
        <w:t>Il pagamento del contributo è condizione di ammissibilità dell’offerta</w:t>
      </w:r>
      <w:r w:rsidRPr="00C32880">
        <w:rPr>
          <w:rFonts w:ascii="Titillium" w:hAnsi="Titillium"/>
          <w:iCs/>
          <w:sz w:val="18"/>
          <w:szCs w:val="18"/>
        </w:rPr>
        <w:t>.</w:t>
      </w:r>
    </w:p>
    <w:p w14:paraId="082607DE" w14:textId="25E8CFE1" w:rsidR="006842EE" w:rsidRDefault="008F2625">
      <w:pPr>
        <w:spacing w:before="60" w:after="60"/>
        <w:rPr>
          <w:rFonts w:ascii="Titillium" w:hAnsi="Titillium"/>
          <w:iCs/>
          <w:sz w:val="18"/>
          <w:szCs w:val="18"/>
        </w:rPr>
      </w:pPr>
      <w:r w:rsidRPr="00B067A8">
        <w:rPr>
          <w:rFonts w:ascii="Titillium" w:hAnsi="Titillium"/>
          <w:iCs/>
          <w:sz w:val="18"/>
          <w:szCs w:val="18"/>
        </w:rPr>
        <w:t xml:space="preserve">Il pagamento è verificato </w:t>
      </w:r>
      <w:r w:rsidR="001E5196" w:rsidRPr="00C32880">
        <w:rPr>
          <w:rFonts w:ascii="Titillium" w:hAnsi="Titillium"/>
          <w:iCs/>
          <w:sz w:val="18"/>
          <w:szCs w:val="18"/>
        </w:rPr>
        <w:t>prima dell</w:t>
      </w:r>
      <w:r w:rsidR="00B3781D" w:rsidRPr="00C32880">
        <w:rPr>
          <w:rFonts w:ascii="Titillium" w:hAnsi="Titillium"/>
          <w:iCs/>
          <w:sz w:val="18"/>
          <w:szCs w:val="18"/>
        </w:rPr>
        <w:t xml:space="preserve">’avvio della </w:t>
      </w:r>
      <w:r w:rsidR="001E5196" w:rsidRPr="00C32880">
        <w:rPr>
          <w:rFonts w:ascii="Titillium" w:hAnsi="Titillium"/>
          <w:iCs/>
          <w:sz w:val="18"/>
          <w:szCs w:val="18"/>
        </w:rPr>
        <w:t>valutazione dell</w:t>
      </w:r>
      <w:r w:rsidR="005F1D26">
        <w:rPr>
          <w:rFonts w:ascii="Titillium" w:hAnsi="Titillium"/>
          <w:iCs/>
          <w:sz w:val="18"/>
          <w:szCs w:val="18"/>
        </w:rPr>
        <w:t xml:space="preserve">’offerta </w:t>
      </w:r>
      <w:r w:rsidR="001E5196" w:rsidRPr="00C32880">
        <w:rPr>
          <w:rFonts w:ascii="Titillium" w:hAnsi="Titillium"/>
          <w:iCs/>
          <w:color w:val="000000" w:themeColor="text1"/>
          <w:sz w:val="18"/>
          <w:szCs w:val="18"/>
        </w:rPr>
        <w:t xml:space="preserve">anche in caso di </w:t>
      </w:r>
      <w:r w:rsidR="000757CE" w:rsidRPr="00C32880">
        <w:rPr>
          <w:rFonts w:ascii="Titillium" w:hAnsi="Titillium"/>
          <w:iCs/>
          <w:color w:val="000000" w:themeColor="text1"/>
          <w:sz w:val="18"/>
          <w:szCs w:val="18"/>
        </w:rPr>
        <w:t>in</w:t>
      </w:r>
      <w:r w:rsidR="001E5196" w:rsidRPr="00C32880">
        <w:rPr>
          <w:rFonts w:ascii="Titillium" w:hAnsi="Titillium"/>
          <w:iCs/>
          <w:color w:val="000000" w:themeColor="text1"/>
          <w:sz w:val="18"/>
          <w:szCs w:val="18"/>
        </w:rPr>
        <w:t>versione procedimentale</w:t>
      </w:r>
      <w:r w:rsidRPr="00C32880">
        <w:rPr>
          <w:rFonts w:ascii="Titillium" w:hAnsi="Titillium"/>
          <w:iCs/>
          <w:color w:val="000000" w:themeColor="text1"/>
          <w:sz w:val="18"/>
          <w:szCs w:val="18"/>
        </w:rPr>
        <w:t>.</w:t>
      </w:r>
      <w:r w:rsidR="001E5196" w:rsidRPr="00C32880">
        <w:rPr>
          <w:rFonts w:ascii="Titillium" w:hAnsi="Titillium"/>
          <w:iCs/>
          <w:color w:val="000000" w:themeColor="text1"/>
          <w:sz w:val="18"/>
          <w:szCs w:val="18"/>
        </w:rPr>
        <w:t xml:space="preserve"> </w:t>
      </w:r>
      <w:r w:rsidR="001E5196" w:rsidRPr="00B067A8">
        <w:rPr>
          <w:rFonts w:ascii="Titillium" w:hAnsi="Titillium"/>
          <w:iCs/>
          <w:color w:val="000000" w:themeColor="text1"/>
          <w:sz w:val="18"/>
          <w:szCs w:val="18"/>
        </w:rPr>
        <w:t>Qualora il pagamento non risulti dal sistema, la stazione appaltante può richiedere, mediante soccorso istruttorio, la regolarizzazione</w:t>
      </w:r>
      <w:r w:rsidR="0008269D">
        <w:rPr>
          <w:rFonts w:ascii="Titillium" w:hAnsi="Titillium"/>
          <w:iCs/>
          <w:color w:val="000000" w:themeColor="text1"/>
          <w:sz w:val="18"/>
          <w:szCs w:val="18"/>
        </w:rPr>
        <w:t xml:space="preserve"> del</w:t>
      </w:r>
      <w:r w:rsidR="001E5196" w:rsidRPr="00B067A8">
        <w:rPr>
          <w:rFonts w:ascii="Titillium" w:hAnsi="Titillium"/>
          <w:iCs/>
          <w:color w:val="000000" w:themeColor="text1"/>
          <w:sz w:val="18"/>
          <w:szCs w:val="18"/>
        </w:rPr>
        <w:t xml:space="preserve"> pagamento</w:t>
      </w:r>
      <w:r w:rsidRPr="00B067A8">
        <w:rPr>
          <w:rFonts w:ascii="Titillium" w:hAnsi="Titillium"/>
          <w:iCs/>
          <w:sz w:val="18"/>
          <w:szCs w:val="18"/>
        </w:rPr>
        <w:t xml:space="preserve">. In caso di mancata regolarizzazione nel termine assegnato, </w:t>
      </w:r>
      <w:r w:rsidRPr="00F04FF9">
        <w:rPr>
          <w:rFonts w:ascii="Titillium" w:hAnsi="Titillium"/>
          <w:iCs/>
          <w:sz w:val="18"/>
          <w:szCs w:val="18"/>
        </w:rPr>
        <w:t>l’offerta è dichiarata inammissibile</w:t>
      </w:r>
      <w:r w:rsidR="00F04FF9" w:rsidRPr="00F04FF9">
        <w:rPr>
          <w:rFonts w:ascii="Titillium" w:hAnsi="Titillium"/>
          <w:iCs/>
          <w:sz w:val="18"/>
          <w:szCs w:val="18"/>
        </w:rPr>
        <w:t>.</w:t>
      </w:r>
      <w:r w:rsidRPr="00B067A8">
        <w:rPr>
          <w:rFonts w:ascii="Titillium" w:hAnsi="Titillium"/>
          <w:iCs/>
          <w:sz w:val="18"/>
          <w:szCs w:val="18"/>
        </w:rPr>
        <w:t xml:space="preserve">  </w:t>
      </w:r>
    </w:p>
    <w:tbl>
      <w:tblPr>
        <w:tblStyle w:val="Grigliatabella"/>
        <w:tblW w:w="0" w:type="auto"/>
        <w:tblLook w:val="04A0" w:firstRow="1" w:lastRow="0" w:firstColumn="1" w:lastColumn="0" w:noHBand="0" w:noVBand="1"/>
      </w:tblPr>
      <w:tblGrid>
        <w:gridCol w:w="9214"/>
      </w:tblGrid>
      <w:tr w:rsidR="00C32880" w14:paraId="263DFA0A" w14:textId="77777777" w:rsidTr="00C32880">
        <w:tc>
          <w:tcPr>
            <w:tcW w:w="9214" w:type="dxa"/>
          </w:tcPr>
          <w:p w14:paraId="09E16074" w14:textId="3A4D4A14" w:rsidR="00C32880" w:rsidRDefault="00C32880">
            <w:pPr>
              <w:spacing w:before="60" w:after="60"/>
              <w:rPr>
                <w:rFonts w:ascii="Titillium" w:hAnsi="Titillium"/>
                <w:iCs/>
                <w:sz w:val="18"/>
                <w:szCs w:val="18"/>
              </w:rPr>
            </w:pPr>
            <w:r w:rsidRPr="00121FC2">
              <w:rPr>
                <w:rFonts w:ascii="Titillium" w:hAnsi="Titillium"/>
                <w:iCs/>
                <w:sz w:val="18"/>
                <w:szCs w:val="18"/>
              </w:rPr>
              <w:t xml:space="preserve">N.B. </w:t>
            </w:r>
            <w:r w:rsidRPr="005856C3">
              <w:rPr>
                <w:rFonts w:ascii="Titillium" w:hAnsi="Titillium"/>
                <w:i/>
                <w:sz w:val="18"/>
                <w:szCs w:val="18"/>
              </w:rPr>
              <w:t>Secondo il principio enunciato dall’Adunanza Plenaria del Consiglio di Stato n. 9 del 9.06.2025</w:t>
            </w:r>
            <w:r w:rsidRPr="00121FC2">
              <w:rPr>
                <w:rFonts w:ascii="Titillium" w:hAnsi="Titillium"/>
                <w:iCs/>
                <w:sz w:val="18"/>
                <w:szCs w:val="18"/>
              </w:rPr>
              <w:t xml:space="preserve">  “</w:t>
            </w:r>
            <w:r w:rsidRPr="00121FC2">
              <w:rPr>
                <w:rFonts w:ascii="Titillium" w:hAnsi="Titillium"/>
                <w:i/>
                <w:sz w:val="18"/>
                <w:szCs w:val="18"/>
              </w:rPr>
              <w:t>L’</w:t>
            </w:r>
            <w:r w:rsidR="00C75931">
              <w:rPr>
                <w:rFonts w:ascii="Titillium" w:hAnsi="Titillium"/>
                <w:i/>
                <w:sz w:val="18"/>
                <w:szCs w:val="18"/>
              </w:rPr>
              <w:t>articolo</w:t>
            </w:r>
            <w:r w:rsidRPr="00121FC2">
              <w:rPr>
                <w:rFonts w:ascii="Titillium" w:hAnsi="Titillium"/>
                <w:i/>
                <w:sz w:val="18"/>
                <w:szCs w:val="18"/>
              </w:rPr>
              <w:t xml:space="preserve"> 1, comma 67, della legge 23 dicembre 2005, n. 266, richiamato dall’</w:t>
            </w:r>
            <w:r w:rsidR="00C75931">
              <w:rPr>
                <w:rFonts w:ascii="Titillium" w:hAnsi="Titillium"/>
                <w:i/>
                <w:sz w:val="18"/>
                <w:szCs w:val="18"/>
              </w:rPr>
              <w:t>articolo</w:t>
            </w:r>
            <w:r w:rsidRPr="00121FC2">
              <w:rPr>
                <w:rFonts w:ascii="Titillium" w:hAnsi="Titillium"/>
                <w:i/>
                <w:sz w:val="18"/>
                <w:szCs w:val="18"/>
              </w:rPr>
              <w:t xml:space="preserve"> 213 del Codice dei contratti pubblici del 2016 (e anche dall’</w:t>
            </w:r>
            <w:r w:rsidR="00C75931">
              <w:rPr>
                <w:rFonts w:ascii="Titillium" w:hAnsi="Titillium"/>
                <w:i/>
                <w:sz w:val="18"/>
                <w:szCs w:val="18"/>
              </w:rPr>
              <w:t>articolo</w:t>
            </w:r>
            <w:r w:rsidRPr="00121FC2">
              <w:rPr>
                <w:rFonts w:ascii="Titillium" w:hAnsi="Titillium"/>
                <w:i/>
                <w:sz w:val="18"/>
                <w:szCs w:val="18"/>
              </w:rPr>
              <w:t xml:space="preserve"> 222 del Codice dei contratti pubblici del 2023), va interpretato nel senso che, fin quando non risulti il pagamento del contributo spettante all’Autorità nazionale anticorruzione, vi è il divieto legale di esaminare l’offerta dell’operatore economico e, se neppure risulti il pagamento a seguito del soccorso istruttorio, la stazione appaltante deve dichiarare tale offerta inammissibile”.</w:t>
            </w:r>
          </w:p>
        </w:tc>
      </w:tr>
    </w:tbl>
    <w:p w14:paraId="047D8861" w14:textId="77777777" w:rsidR="00C32880" w:rsidRDefault="00C32880">
      <w:pPr>
        <w:spacing w:before="60" w:after="60"/>
        <w:rPr>
          <w:rFonts w:ascii="Titillium" w:hAnsi="Titillium"/>
          <w:iCs/>
          <w:sz w:val="18"/>
          <w:szCs w:val="18"/>
        </w:rPr>
      </w:pPr>
    </w:p>
    <w:p w14:paraId="7DDDA857" w14:textId="3D064084" w:rsidR="006842EE" w:rsidRDefault="008F2625">
      <w:pPr>
        <w:spacing w:before="60" w:after="60"/>
        <w:rPr>
          <w:rFonts w:ascii="Titillium" w:hAnsi="Titillium" w:cs="Calibri"/>
          <w:sz w:val="18"/>
          <w:szCs w:val="18"/>
        </w:rPr>
      </w:pPr>
      <w:r>
        <w:rPr>
          <w:rFonts w:ascii="Titillium" w:hAnsi="Titillium" w:cs="Calibri"/>
          <w:b/>
          <w:i/>
          <w:sz w:val="18"/>
          <w:szCs w:val="18"/>
        </w:rPr>
        <w:t>[In caso di suddivisione in lotti]</w:t>
      </w:r>
      <w:r>
        <w:rPr>
          <w:rFonts w:ascii="Titillium" w:hAnsi="Titillium" w:cs="Calibri"/>
          <w:sz w:val="18"/>
          <w:szCs w:val="18"/>
        </w:rPr>
        <w:t xml:space="preserve"> I concorrenti effettuano il pagamento del contributo previsto dalla legge in favore dell’Autorità Nazionale Anticorruzione per un importo pari a € …</w:t>
      </w:r>
      <w:r>
        <w:rPr>
          <w:rFonts w:ascii="Titillium" w:hAnsi="Titillium" w:cs="Calibri"/>
          <w:i/>
          <w:iCs/>
          <w:sz w:val="18"/>
          <w:szCs w:val="18"/>
        </w:rPr>
        <w:t xml:space="preserve">[inserire] </w:t>
      </w:r>
      <w:r>
        <w:rPr>
          <w:rFonts w:ascii="Titillium" w:hAnsi="Titillium" w:cs="Calibri"/>
          <w:sz w:val="18"/>
          <w:szCs w:val="18"/>
        </w:rPr>
        <w:t xml:space="preserve">secondo le modalità di cui alla delibera ANAC n. … del … </w:t>
      </w:r>
      <w:r>
        <w:rPr>
          <w:rFonts w:ascii="Titillium" w:hAnsi="Titillium" w:cs="Calibri"/>
          <w:i/>
          <w:sz w:val="18"/>
          <w:szCs w:val="18"/>
        </w:rPr>
        <w:t xml:space="preserve">[ad esempio </w:t>
      </w:r>
      <w:r w:rsidRPr="00121FC2">
        <w:rPr>
          <w:rFonts w:ascii="Titillium" w:hAnsi="Titillium" w:cs="Calibri"/>
          <w:i/>
          <w:sz w:val="18"/>
          <w:szCs w:val="18"/>
        </w:rPr>
        <w:t>Delibera numero</w:t>
      </w:r>
      <w:r w:rsidR="00EF7E48" w:rsidRPr="00121FC2">
        <w:rPr>
          <w:rFonts w:ascii="Titillium" w:hAnsi="Titillium" w:cs="Calibri"/>
          <w:i/>
          <w:sz w:val="18"/>
          <w:szCs w:val="18"/>
        </w:rPr>
        <w:t xml:space="preserve"> </w:t>
      </w:r>
      <w:r w:rsidR="000757CE" w:rsidRPr="00121FC2">
        <w:rPr>
          <w:rFonts w:ascii="Titillium" w:hAnsi="Titillium" w:cs="Calibri"/>
          <w:i/>
          <w:color w:val="000000" w:themeColor="text1"/>
          <w:sz w:val="18"/>
          <w:szCs w:val="18"/>
        </w:rPr>
        <w:t>598 del 30 dicembre 2024</w:t>
      </w:r>
      <w:r w:rsidR="000757CE" w:rsidRPr="00974C13">
        <w:rPr>
          <w:rFonts w:ascii="Titillium" w:hAnsi="Titillium" w:cs="Calibri"/>
          <w:i/>
          <w:color w:val="000000" w:themeColor="text1"/>
          <w:sz w:val="18"/>
          <w:szCs w:val="18"/>
        </w:rPr>
        <w:t xml:space="preserve"> </w:t>
      </w:r>
      <w:r>
        <w:rPr>
          <w:rFonts w:ascii="Titillium" w:hAnsi="Titillium"/>
          <w:i/>
          <w:sz w:val="18"/>
          <w:szCs w:val="18"/>
        </w:rPr>
        <w:t xml:space="preserve">o successiva delibera pubblicata al seguente </w:t>
      </w:r>
      <w:hyperlink r:id="rId16">
        <w:r w:rsidRPr="00974C13">
          <w:rPr>
            <w:rStyle w:val="CollegamentoInternet"/>
            <w:rFonts w:ascii="Titillium" w:hAnsi="Titillium"/>
            <w:i/>
            <w:color w:val="000000" w:themeColor="text1"/>
            <w:sz w:val="18"/>
            <w:szCs w:val="18"/>
          </w:rPr>
          <w:t>https://www.anticorruzione.it/-/gestione-contributi-gara</w:t>
        </w:r>
      </w:hyperlink>
      <w:r>
        <w:rPr>
          <w:rFonts w:ascii="Titillium" w:hAnsi="Titillium" w:cs="Calibri"/>
          <w:i/>
          <w:sz w:val="18"/>
          <w:szCs w:val="18"/>
        </w:rPr>
        <w:t>]</w:t>
      </w:r>
      <w:r>
        <w:rPr>
          <w:rFonts w:ascii="Titillium" w:hAnsi="Titillium" w:cs="Arial"/>
          <w:sz w:val="18"/>
          <w:szCs w:val="18"/>
        </w:rPr>
        <w:t>.</w:t>
      </w:r>
      <w:r w:rsidR="00CA7A04">
        <w:rPr>
          <w:rFonts w:ascii="Titillium" w:hAnsi="Titillium" w:cs="Arial"/>
          <w:sz w:val="18"/>
          <w:szCs w:val="18"/>
        </w:rPr>
        <w:t xml:space="preserve"> </w:t>
      </w:r>
      <w:r>
        <w:rPr>
          <w:rFonts w:ascii="Titillium" w:hAnsi="Titillium" w:cs="Calibri"/>
          <w:sz w:val="18"/>
          <w:szCs w:val="18"/>
        </w:rPr>
        <w:t>Il contributo è dovuto per ciascun lotto per il quale si presenta offerta secondo gli importi descritti nella sottostante tabella:</w:t>
      </w:r>
    </w:p>
    <w:p w14:paraId="3B9003F2" w14:textId="77777777" w:rsidR="006842EE" w:rsidRDefault="006842EE">
      <w:pPr>
        <w:spacing w:before="60" w:after="60"/>
      </w:pPr>
    </w:p>
    <w:tbl>
      <w:tblPr>
        <w:tblW w:w="9210" w:type="dxa"/>
        <w:tblInd w:w="-108" w:type="dxa"/>
        <w:tblLayout w:type="fixed"/>
        <w:tblLook w:val="04A0" w:firstRow="1" w:lastRow="0" w:firstColumn="1" w:lastColumn="0" w:noHBand="0" w:noVBand="1"/>
      </w:tblPr>
      <w:tblGrid>
        <w:gridCol w:w="3070"/>
        <w:gridCol w:w="3070"/>
        <w:gridCol w:w="3070"/>
      </w:tblGrid>
      <w:tr w:rsidR="006842EE" w14:paraId="7DDA1ED5" w14:textId="77777777">
        <w:tc>
          <w:tcPr>
            <w:tcW w:w="30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F43BF3" w14:textId="77777777" w:rsidR="006842EE" w:rsidRDefault="008F2625">
            <w:pPr>
              <w:widowControl w:val="0"/>
              <w:spacing w:before="60" w:after="60"/>
              <w:jc w:val="center"/>
              <w:rPr>
                <w:rFonts w:ascii="Titillium" w:hAnsi="Titillium" w:cs="Calibri"/>
                <w:sz w:val="18"/>
                <w:szCs w:val="18"/>
              </w:rPr>
            </w:pPr>
            <w:r>
              <w:rPr>
                <w:rFonts w:ascii="Titillium" w:hAnsi="Titillium" w:cs="Calibri"/>
                <w:sz w:val="18"/>
                <w:szCs w:val="18"/>
              </w:rPr>
              <w:t>Numero lotto</w:t>
            </w:r>
          </w:p>
        </w:tc>
        <w:tc>
          <w:tcPr>
            <w:tcW w:w="30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AC955F" w14:textId="77777777" w:rsidR="006842EE" w:rsidRDefault="008F2625">
            <w:pPr>
              <w:widowControl w:val="0"/>
              <w:spacing w:before="60" w:after="60"/>
              <w:jc w:val="center"/>
              <w:rPr>
                <w:rFonts w:ascii="Titillium" w:hAnsi="Titillium" w:cs="Calibri"/>
                <w:sz w:val="18"/>
                <w:szCs w:val="18"/>
              </w:rPr>
            </w:pPr>
            <w:r>
              <w:rPr>
                <w:rFonts w:ascii="Titillium" w:hAnsi="Titillium" w:cs="Calibri"/>
                <w:sz w:val="18"/>
                <w:szCs w:val="18"/>
              </w:rPr>
              <w:t>CIG</w:t>
            </w:r>
          </w:p>
        </w:tc>
        <w:tc>
          <w:tcPr>
            <w:tcW w:w="30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EB2AE9" w14:textId="77777777" w:rsidR="006842EE" w:rsidRDefault="008F2625">
            <w:pPr>
              <w:widowControl w:val="0"/>
              <w:spacing w:before="60" w:after="60"/>
              <w:jc w:val="center"/>
              <w:rPr>
                <w:rFonts w:ascii="Titillium" w:hAnsi="Titillium" w:cs="Calibri"/>
                <w:sz w:val="18"/>
                <w:szCs w:val="18"/>
              </w:rPr>
            </w:pPr>
            <w:r>
              <w:rPr>
                <w:rFonts w:ascii="Titillium" w:hAnsi="Titillium" w:cs="Calibri"/>
                <w:sz w:val="18"/>
                <w:szCs w:val="18"/>
              </w:rPr>
              <w:t>Importo contributo ANAC</w:t>
            </w:r>
          </w:p>
        </w:tc>
      </w:tr>
      <w:tr w:rsidR="006842EE" w14:paraId="1DE752C0" w14:textId="77777777">
        <w:tc>
          <w:tcPr>
            <w:tcW w:w="3070" w:type="dxa"/>
            <w:tcBorders>
              <w:top w:val="single" w:sz="4" w:space="0" w:color="000000"/>
              <w:left w:val="single" w:sz="4" w:space="0" w:color="000000"/>
              <w:bottom w:val="single" w:sz="4" w:space="0" w:color="000000"/>
              <w:right w:val="single" w:sz="4" w:space="0" w:color="000000"/>
            </w:tcBorders>
          </w:tcPr>
          <w:p w14:paraId="33DDCAB0" w14:textId="77777777" w:rsidR="006842EE" w:rsidRDefault="006842EE">
            <w:pPr>
              <w:widowControl w:val="0"/>
              <w:spacing w:before="60" w:after="60"/>
              <w:rPr>
                <w:rFonts w:ascii="Titillium" w:hAnsi="Titillium" w:cs="Calibri"/>
                <w:sz w:val="18"/>
                <w:szCs w:val="18"/>
              </w:rPr>
            </w:pPr>
          </w:p>
        </w:tc>
        <w:tc>
          <w:tcPr>
            <w:tcW w:w="3070" w:type="dxa"/>
            <w:tcBorders>
              <w:top w:val="single" w:sz="4" w:space="0" w:color="000000"/>
              <w:left w:val="single" w:sz="4" w:space="0" w:color="000000"/>
              <w:bottom w:val="single" w:sz="4" w:space="0" w:color="000000"/>
              <w:right w:val="single" w:sz="4" w:space="0" w:color="000000"/>
            </w:tcBorders>
          </w:tcPr>
          <w:p w14:paraId="5EB59EC6" w14:textId="77777777" w:rsidR="006842EE" w:rsidRDefault="006842EE">
            <w:pPr>
              <w:widowControl w:val="0"/>
              <w:spacing w:before="60" w:after="60"/>
              <w:rPr>
                <w:rFonts w:ascii="Titillium" w:hAnsi="Titillium" w:cs="Calibri"/>
                <w:sz w:val="18"/>
                <w:szCs w:val="18"/>
              </w:rPr>
            </w:pPr>
          </w:p>
        </w:tc>
        <w:tc>
          <w:tcPr>
            <w:tcW w:w="3070" w:type="dxa"/>
            <w:tcBorders>
              <w:top w:val="single" w:sz="4" w:space="0" w:color="000000"/>
              <w:left w:val="single" w:sz="4" w:space="0" w:color="000000"/>
              <w:bottom w:val="single" w:sz="4" w:space="0" w:color="000000"/>
              <w:right w:val="single" w:sz="4" w:space="0" w:color="000000"/>
            </w:tcBorders>
          </w:tcPr>
          <w:p w14:paraId="7898EDCA" w14:textId="77777777" w:rsidR="006842EE" w:rsidRDefault="006842EE">
            <w:pPr>
              <w:widowControl w:val="0"/>
              <w:spacing w:before="60" w:after="60"/>
              <w:rPr>
                <w:rFonts w:ascii="Titillium" w:hAnsi="Titillium" w:cs="Calibri"/>
                <w:sz w:val="18"/>
                <w:szCs w:val="18"/>
              </w:rPr>
            </w:pPr>
          </w:p>
        </w:tc>
      </w:tr>
      <w:tr w:rsidR="006842EE" w14:paraId="3B0E4510" w14:textId="77777777">
        <w:tc>
          <w:tcPr>
            <w:tcW w:w="3070" w:type="dxa"/>
            <w:tcBorders>
              <w:top w:val="single" w:sz="4" w:space="0" w:color="000000"/>
              <w:left w:val="single" w:sz="4" w:space="0" w:color="000000"/>
              <w:bottom w:val="single" w:sz="4" w:space="0" w:color="000000"/>
              <w:right w:val="single" w:sz="4" w:space="0" w:color="000000"/>
            </w:tcBorders>
          </w:tcPr>
          <w:p w14:paraId="4E5E46AC" w14:textId="77777777" w:rsidR="006842EE" w:rsidRDefault="006842EE">
            <w:pPr>
              <w:widowControl w:val="0"/>
              <w:spacing w:before="60" w:after="60"/>
              <w:rPr>
                <w:rFonts w:ascii="Titillium" w:hAnsi="Titillium" w:cs="Calibri"/>
                <w:sz w:val="18"/>
                <w:szCs w:val="18"/>
              </w:rPr>
            </w:pPr>
          </w:p>
        </w:tc>
        <w:tc>
          <w:tcPr>
            <w:tcW w:w="3070" w:type="dxa"/>
            <w:tcBorders>
              <w:top w:val="single" w:sz="4" w:space="0" w:color="000000"/>
              <w:left w:val="single" w:sz="4" w:space="0" w:color="000000"/>
              <w:bottom w:val="single" w:sz="4" w:space="0" w:color="000000"/>
              <w:right w:val="single" w:sz="4" w:space="0" w:color="000000"/>
            </w:tcBorders>
          </w:tcPr>
          <w:p w14:paraId="11CA13CC" w14:textId="77777777" w:rsidR="006842EE" w:rsidRDefault="006842EE">
            <w:pPr>
              <w:widowControl w:val="0"/>
              <w:spacing w:before="60" w:after="60"/>
              <w:rPr>
                <w:rFonts w:ascii="Titillium" w:hAnsi="Titillium" w:cs="Calibri"/>
                <w:sz w:val="18"/>
                <w:szCs w:val="18"/>
              </w:rPr>
            </w:pPr>
          </w:p>
        </w:tc>
        <w:tc>
          <w:tcPr>
            <w:tcW w:w="3070" w:type="dxa"/>
            <w:tcBorders>
              <w:top w:val="single" w:sz="4" w:space="0" w:color="000000"/>
              <w:left w:val="single" w:sz="4" w:space="0" w:color="000000"/>
              <w:bottom w:val="single" w:sz="4" w:space="0" w:color="000000"/>
              <w:right w:val="single" w:sz="4" w:space="0" w:color="000000"/>
            </w:tcBorders>
          </w:tcPr>
          <w:p w14:paraId="10662E63" w14:textId="77777777" w:rsidR="006842EE" w:rsidRDefault="006842EE">
            <w:pPr>
              <w:widowControl w:val="0"/>
              <w:spacing w:before="60" w:after="60"/>
              <w:rPr>
                <w:rFonts w:ascii="Titillium" w:hAnsi="Titillium" w:cs="Calibri"/>
                <w:sz w:val="18"/>
                <w:szCs w:val="18"/>
              </w:rPr>
            </w:pPr>
          </w:p>
        </w:tc>
      </w:tr>
    </w:tbl>
    <w:p w14:paraId="210998D9" w14:textId="7506EEED" w:rsidR="00502D85" w:rsidRPr="00974C13" w:rsidRDefault="00502D85">
      <w:pPr>
        <w:spacing w:before="60" w:after="60"/>
        <w:rPr>
          <w:rFonts w:ascii="Titillium" w:hAnsi="Titillium" w:cs="Calibri"/>
          <w:color w:val="000000" w:themeColor="text1"/>
          <w:sz w:val="18"/>
          <w:szCs w:val="18"/>
        </w:rPr>
      </w:pPr>
      <w:r w:rsidRPr="00974C13">
        <w:rPr>
          <w:rFonts w:ascii="Titillium" w:hAnsi="Titillium" w:cs="Calibri"/>
          <w:color w:val="000000" w:themeColor="text1"/>
          <w:sz w:val="18"/>
          <w:szCs w:val="18"/>
        </w:rPr>
        <w:t xml:space="preserve">Il pagamento del contributo è condizione di ammissibilità dell’offerta. Il pagamento è verificato </w:t>
      </w:r>
      <w:r w:rsidRPr="00F04FF9">
        <w:rPr>
          <w:rFonts w:ascii="Titillium" w:hAnsi="Titillium" w:cs="Calibri"/>
          <w:sz w:val="18"/>
          <w:szCs w:val="18"/>
        </w:rPr>
        <w:t xml:space="preserve">prima </w:t>
      </w:r>
      <w:r w:rsidR="007807FC" w:rsidRPr="00F04FF9">
        <w:rPr>
          <w:rFonts w:ascii="Titillium" w:hAnsi="Titillium" w:cs="Calibri"/>
          <w:sz w:val="18"/>
          <w:szCs w:val="18"/>
        </w:rPr>
        <w:t>della valutazione</w:t>
      </w:r>
      <w:r w:rsidR="00B3781D" w:rsidRPr="00F04FF9">
        <w:rPr>
          <w:rFonts w:ascii="Titillium" w:hAnsi="Titillium" w:cs="Calibri"/>
          <w:sz w:val="18"/>
          <w:szCs w:val="18"/>
        </w:rPr>
        <w:t xml:space="preserve"> dell</w:t>
      </w:r>
      <w:r w:rsidR="005F1D26">
        <w:rPr>
          <w:rFonts w:ascii="Titillium" w:hAnsi="Titillium" w:cs="Calibri"/>
          <w:sz w:val="18"/>
          <w:szCs w:val="18"/>
        </w:rPr>
        <w:t>’</w:t>
      </w:r>
      <w:r w:rsidR="00B3781D" w:rsidRPr="00F04FF9">
        <w:rPr>
          <w:rFonts w:ascii="Titillium" w:hAnsi="Titillium" w:cs="Calibri"/>
          <w:sz w:val="18"/>
          <w:szCs w:val="18"/>
        </w:rPr>
        <w:t>offert</w:t>
      </w:r>
      <w:r w:rsidR="005F1D26">
        <w:rPr>
          <w:rFonts w:ascii="Titillium" w:hAnsi="Titillium" w:cs="Calibri"/>
          <w:sz w:val="18"/>
          <w:szCs w:val="18"/>
        </w:rPr>
        <w:t>a</w:t>
      </w:r>
      <w:r w:rsidRPr="00F04FF9">
        <w:rPr>
          <w:rFonts w:ascii="Titillium" w:hAnsi="Titillium" w:cs="Calibri"/>
          <w:sz w:val="18"/>
          <w:szCs w:val="18"/>
        </w:rPr>
        <w:t xml:space="preserve"> anche in caso di inversione procedimentale. </w:t>
      </w:r>
      <w:r w:rsidRPr="00F04FF9">
        <w:rPr>
          <w:rFonts w:ascii="Titillium" w:hAnsi="Titillium" w:cs="Calibri"/>
          <w:color w:val="000000" w:themeColor="text1"/>
          <w:sz w:val="18"/>
          <w:szCs w:val="18"/>
        </w:rPr>
        <w:t>Qualora</w:t>
      </w:r>
      <w:r w:rsidRPr="00974C13">
        <w:rPr>
          <w:rFonts w:ascii="Titillium" w:hAnsi="Titillium" w:cs="Calibri"/>
          <w:color w:val="000000" w:themeColor="text1"/>
          <w:sz w:val="18"/>
          <w:szCs w:val="18"/>
        </w:rPr>
        <w:t xml:space="preserve"> il pagamento non risulti dal sistema, la stazione appaltante può richiedere, mediante soccorso istruttorio, la regolarizzazione</w:t>
      </w:r>
      <w:r w:rsidR="0008269D">
        <w:rPr>
          <w:rFonts w:ascii="Titillium" w:hAnsi="Titillium" w:cs="Calibri"/>
          <w:color w:val="000000" w:themeColor="text1"/>
          <w:sz w:val="18"/>
          <w:szCs w:val="18"/>
        </w:rPr>
        <w:t xml:space="preserve"> del</w:t>
      </w:r>
      <w:r w:rsidRPr="00974C13">
        <w:rPr>
          <w:rFonts w:ascii="Titillium" w:hAnsi="Titillium" w:cs="Calibri"/>
          <w:color w:val="000000" w:themeColor="text1"/>
          <w:sz w:val="18"/>
          <w:szCs w:val="18"/>
        </w:rPr>
        <w:t xml:space="preserve"> pagamento. In caso di mancata regolarizzazione nel termine assegnato, l’offerta è dichiarata inammissibile</w:t>
      </w:r>
      <w:r w:rsidR="00F04FF9">
        <w:rPr>
          <w:rFonts w:ascii="Titillium" w:hAnsi="Titillium" w:cs="Calibri"/>
          <w:color w:val="000000" w:themeColor="text1"/>
          <w:sz w:val="18"/>
          <w:szCs w:val="18"/>
        </w:rPr>
        <w:t>.</w:t>
      </w:r>
    </w:p>
    <w:tbl>
      <w:tblPr>
        <w:tblW w:w="9210" w:type="dxa"/>
        <w:tblInd w:w="-108" w:type="dxa"/>
        <w:tblLayout w:type="fixed"/>
        <w:tblLook w:val="04A0" w:firstRow="1" w:lastRow="0" w:firstColumn="1" w:lastColumn="0" w:noHBand="0" w:noVBand="1"/>
      </w:tblPr>
      <w:tblGrid>
        <w:gridCol w:w="9210"/>
      </w:tblGrid>
      <w:tr w:rsidR="006842EE" w14:paraId="423BA9A0" w14:textId="77777777">
        <w:tc>
          <w:tcPr>
            <w:tcW w:w="9210" w:type="dxa"/>
            <w:tcBorders>
              <w:top w:val="single" w:sz="4" w:space="0" w:color="000000"/>
              <w:left w:val="single" w:sz="4" w:space="0" w:color="000000"/>
              <w:bottom w:val="single" w:sz="4" w:space="0" w:color="000000"/>
              <w:right w:val="single" w:sz="4" w:space="0" w:color="000000"/>
            </w:tcBorders>
          </w:tcPr>
          <w:p w14:paraId="11CACF66" w14:textId="77777777" w:rsidR="006842EE" w:rsidRPr="005F1D26" w:rsidRDefault="008F2625">
            <w:pPr>
              <w:widowControl w:val="0"/>
              <w:spacing w:before="60" w:after="60"/>
              <w:rPr>
                <w:rFonts w:ascii="Titillium" w:hAnsi="Titillium"/>
                <w:i/>
                <w:iCs/>
                <w:sz w:val="18"/>
                <w:szCs w:val="18"/>
              </w:rPr>
            </w:pPr>
            <w:r w:rsidRPr="005F1D26">
              <w:rPr>
                <w:rFonts w:ascii="Titillium" w:hAnsi="Titillium" w:cs="Calibri"/>
                <w:i/>
                <w:iCs/>
                <w:sz w:val="18"/>
                <w:szCs w:val="18"/>
              </w:rPr>
              <w:t xml:space="preserve">N.B. Indicazioni operative sulle modalità di pagamento del contributo sono disponibili sul sito dell’Autorità Nazionale Anticorruzione al seguente link: </w:t>
            </w:r>
            <w:hyperlink r:id="rId17">
              <w:r w:rsidRPr="005F1D26">
                <w:rPr>
                  <w:rStyle w:val="CollegamentoInternet"/>
                  <w:rFonts w:ascii="Titillium" w:hAnsi="Titillium"/>
                  <w:i/>
                  <w:iCs/>
                  <w:sz w:val="18"/>
                  <w:szCs w:val="18"/>
                </w:rPr>
                <w:t>https://www.anticorruzione.it/-/portale-dei-pagamenti-di-anac</w:t>
              </w:r>
            </w:hyperlink>
            <w:r w:rsidRPr="005F1D26">
              <w:rPr>
                <w:rFonts w:ascii="Titillium" w:hAnsi="Titillium"/>
                <w:i/>
                <w:iCs/>
                <w:sz w:val="18"/>
                <w:szCs w:val="18"/>
              </w:rPr>
              <w:t xml:space="preserve"> </w:t>
            </w:r>
          </w:p>
          <w:p w14:paraId="2C834004" w14:textId="77777777" w:rsidR="006842EE" w:rsidRPr="005F1D26" w:rsidRDefault="008F2625">
            <w:pPr>
              <w:widowControl w:val="0"/>
              <w:spacing w:before="60" w:after="60"/>
              <w:rPr>
                <w:rFonts w:ascii="Titillium" w:hAnsi="Titillium" w:cs="Calibri"/>
                <w:i/>
                <w:iCs/>
                <w:sz w:val="18"/>
                <w:szCs w:val="18"/>
              </w:rPr>
            </w:pPr>
            <w:r w:rsidRPr="005F1D26">
              <w:rPr>
                <w:rFonts w:ascii="Titillium" w:hAnsi="Titillium" w:cs="Calibri"/>
                <w:i/>
                <w:iCs/>
                <w:sz w:val="18"/>
                <w:szCs w:val="18"/>
              </w:rPr>
              <w:t>L'importo del contributo è calcolato sul valore stimato d'appalto comprensivo delle eventuali opzioni contrattuali previste nella documentazione di gara.</w:t>
            </w:r>
          </w:p>
        </w:tc>
      </w:tr>
    </w:tbl>
    <w:p w14:paraId="28952613" w14:textId="77777777" w:rsidR="00EA5229" w:rsidRDefault="00EA5229">
      <w:pPr>
        <w:pStyle w:val="Paragrafoelenco"/>
        <w:spacing w:before="60" w:after="60"/>
        <w:ind w:left="0"/>
        <w:rPr>
          <w:rFonts w:ascii="Titillium" w:hAnsi="Titillium" w:cs="Calibri"/>
          <w:b/>
          <w:i/>
          <w:sz w:val="18"/>
          <w:szCs w:val="18"/>
        </w:rPr>
      </w:pPr>
    </w:p>
    <w:p w14:paraId="78085553" w14:textId="3DA61C36" w:rsidR="006842EE" w:rsidRDefault="008F2625">
      <w:pPr>
        <w:pStyle w:val="Paragrafoelenco"/>
        <w:spacing w:before="60" w:after="60"/>
        <w:ind w:left="0"/>
      </w:pPr>
      <w:r>
        <w:rPr>
          <w:rFonts w:ascii="Titillium" w:hAnsi="Titillium" w:cs="Calibri"/>
          <w:b/>
          <w:i/>
          <w:sz w:val="18"/>
          <w:szCs w:val="18"/>
        </w:rPr>
        <w:t>[o, in alternativa, se il pagamento del contributo non è dovuto]</w:t>
      </w:r>
    </w:p>
    <w:p w14:paraId="72BE4E81" w14:textId="1888E346" w:rsidR="006842EE" w:rsidRDefault="008F2625">
      <w:pPr>
        <w:rPr>
          <w:rFonts w:ascii="Titillium" w:hAnsi="Titillium" w:cs="Calibri"/>
          <w:sz w:val="18"/>
          <w:szCs w:val="18"/>
        </w:rPr>
      </w:pPr>
      <w:r>
        <w:rPr>
          <w:rFonts w:ascii="Titillium" w:hAnsi="Titillium" w:cs="Calibri"/>
          <w:sz w:val="18"/>
          <w:szCs w:val="18"/>
        </w:rPr>
        <w:t xml:space="preserve">Ai sensi dell’articolo 1, punto 2, della delibera ANAC n.  … del … </w:t>
      </w:r>
      <w:r>
        <w:rPr>
          <w:rFonts w:ascii="Titillium" w:hAnsi="Titillium" w:cs="Calibri"/>
          <w:i/>
          <w:sz w:val="18"/>
          <w:szCs w:val="18"/>
        </w:rPr>
        <w:t xml:space="preserve">[ad esempio </w:t>
      </w:r>
      <w:r w:rsidR="007807FC" w:rsidRPr="00F04FF9">
        <w:rPr>
          <w:rFonts w:ascii="Titillium" w:hAnsi="Titillium" w:cs="Calibri"/>
          <w:i/>
          <w:sz w:val="18"/>
          <w:szCs w:val="18"/>
        </w:rPr>
        <w:t>Delibera n.</w:t>
      </w:r>
      <w:r w:rsidR="00F657F5" w:rsidRPr="00F04FF9">
        <w:rPr>
          <w:rFonts w:ascii="Titillium" w:hAnsi="Titillium" w:cs="Calibri"/>
          <w:i/>
          <w:sz w:val="18"/>
          <w:szCs w:val="18"/>
        </w:rPr>
        <w:t xml:space="preserve"> 598 del 30 dicembre 2</w:t>
      </w:r>
      <w:r w:rsidR="007807FC" w:rsidRPr="00F04FF9">
        <w:rPr>
          <w:rFonts w:ascii="Titillium" w:hAnsi="Titillium" w:cs="Calibri"/>
          <w:i/>
          <w:sz w:val="18"/>
          <w:szCs w:val="18"/>
        </w:rPr>
        <w:t>024 o</w:t>
      </w:r>
      <w:r w:rsidR="007807FC">
        <w:rPr>
          <w:rFonts w:ascii="Titillium" w:hAnsi="Titillium" w:cs="Calibri"/>
          <w:i/>
          <w:sz w:val="18"/>
          <w:szCs w:val="18"/>
        </w:rPr>
        <w:t xml:space="preserve"> </w:t>
      </w:r>
      <w:r>
        <w:rPr>
          <w:rFonts w:ascii="Titillium" w:hAnsi="Titillium"/>
          <w:i/>
          <w:sz w:val="18"/>
          <w:szCs w:val="18"/>
        </w:rPr>
        <w:t xml:space="preserve">successiva delibera pubblicata al seguente </w:t>
      </w:r>
      <w:hyperlink r:id="rId18">
        <w:r>
          <w:rPr>
            <w:rStyle w:val="CollegamentoInternet"/>
            <w:rFonts w:ascii="Titillium" w:hAnsi="Titillium"/>
            <w:i/>
            <w:sz w:val="18"/>
            <w:szCs w:val="18"/>
          </w:rPr>
          <w:t>https://www.anticorruzione.it/-/gestione-contributi-gara</w:t>
        </w:r>
      </w:hyperlink>
      <w:r>
        <w:rPr>
          <w:rFonts w:ascii="Titillium" w:hAnsi="Titillium"/>
          <w:i/>
          <w:sz w:val="18"/>
          <w:szCs w:val="18"/>
        </w:rPr>
        <w:t xml:space="preserve">] </w:t>
      </w:r>
      <w:r>
        <w:rPr>
          <w:rFonts w:ascii="Titillium" w:hAnsi="Titillium" w:cs="Calibri"/>
          <w:sz w:val="18"/>
          <w:szCs w:val="18"/>
        </w:rPr>
        <w:t>sono esentati dal pagamento del contributo in favore dell’Autorità Nazionale Anticorruzione.</w:t>
      </w:r>
    </w:p>
    <w:p w14:paraId="09D6A6B9" w14:textId="04A9F2D9" w:rsidR="006842EE" w:rsidRPr="00A36142" w:rsidRDefault="008F2625" w:rsidP="00D26F03">
      <w:pPr>
        <w:pStyle w:val="Titolo2"/>
        <w:numPr>
          <w:ilvl w:val="0"/>
          <w:numId w:val="54"/>
        </w:numPr>
        <w:ind w:left="357" w:hanging="357"/>
        <w:rPr>
          <w:rFonts w:ascii="Titillium" w:hAnsi="Titillium"/>
          <w:caps w:val="0"/>
          <w:sz w:val="18"/>
          <w:szCs w:val="18"/>
        </w:rPr>
      </w:pPr>
      <w:bookmarkStart w:id="1701" w:name="_Ref498595281"/>
      <w:bookmarkStart w:id="1702" w:name="_Toc227921636"/>
      <w:r w:rsidRPr="00A36142">
        <w:rPr>
          <w:rFonts w:ascii="Titillium" w:hAnsi="Titillium"/>
          <w:caps w:val="0"/>
          <w:sz w:val="18"/>
          <w:szCs w:val="18"/>
        </w:rPr>
        <w:t xml:space="preserve">MODALITÀ DI </w:t>
      </w:r>
      <w:r w:rsidRPr="007D6CC8">
        <w:rPr>
          <w:rFonts w:ascii="Titillium" w:hAnsi="Titillium"/>
          <w:caps w:val="0"/>
          <w:sz w:val="18"/>
          <w:szCs w:val="18"/>
        </w:rPr>
        <w:t>PRESENTAZIONE</w:t>
      </w:r>
      <w:r w:rsidRPr="00A36142">
        <w:rPr>
          <w:rFonts w:ascii="Titillium" w:hAnsi="Titillium"/>
          <w:caps w:val="0"/>
          <w:sz w:val="18"/>
          <w:szCs w:val="18"/>
        </w:rPr>
        <w:t xml:space="preserve"> DELL’OFFERTA E SOTTOSCRIZIONE DEI DOCUMENTI DI GARA</w:t>
      </w:r>
      <w:bookmarkEnd w:id="1701"/>
      <w:bookmarkEnd w:id="1702"/>
      <w:r w:rsidRPr="00A36142">
        <w:rPr>
          <w:rFonts w:ascii="Titillium" w:hAnsi="Titillium"/>
          <w:caps w:val="0"/>
          <w:sz w:val="18"/>
          <w:szCs w:val="18"/>
        </w:rPr>
        <w:t xml:space="preserve"> </w:t>
      </w:r>
    </w:p>
    <w:p w14:paraId="0AC6C46D" w14:textId="117A2811" w:rsidR="006842EE" w:rsidRDefault="008F2625">
      <w:pPr>
        <w:tabs>
          <w:tab w:val="left" w:pos="360"/>
        </w:tabs>
        <w:spacing w:before="60" w:after="60"/>
        <w:rPr>
          <w:rFonts w:ascii="Titillium" w:hAnsi="Titillium"/>
          <w:sz w:val="18"/>
          <w:szCs w:val="18"/>
        </w:rPr>
      </w:pPr>
      <w:r>
        <w:rPr>
          <w:rFonts w:ascii="Titillium" w:hAnsi="Titillium" w:cs="Calibri"/>
          <w:bCs/>
          <w:iCs/>
          <w:sz w:val="18"/>
          <w:szCs w:val="18"/>
        </w:rPr>
        <w:t xml:space="preserve">L’offerta e la documentazione relativa alla procedura devono essere presentate </w:t>
      </w:r>
      <w:r>
        <w:rPr>
          <w:rFonts w:ascii="Titillium" w:hAnsi="Titillium" w:cs="Calibri"/>
          <w:sz w:val="18"/>
          <w:szCs w:val="18"/>
        </w:rPr>
        <w:t xml:space="preserve">esclusivamente attraverso la </w:t>
      </w:r>
      <w:r w:rsidR="00D02AE6" w:rsidRPr="007D6CC8">
        <w:rPr>
          <w:rFonts w:ascii="Titillium" w:hAnsi="Titillium" w:cs="Calibri"/>
          <w:color w:val="000000" w:themeColor="text1"/>
          <w:sz w:val="18"/>
          <w:szCs w:val="18"/>
        </w:rPr>
        <w:t>PAD</w:t>
      </w:r>
      <w:r>
        <w:rPr>
          <w:rFonts w:ascii="Titillium" w:hAnsi="Titillium" w:cs="Calibri"/>
          <w:sz w:val="18"/>
          <w:szCs w:val="18"/>
        </w:rPr>
        <w:t xml:space="preserve">. Non sono considerate valide le offerte presentate attraverso modalità diverse da quelle previste nel presente disciplinare. L’offerta </w:t>
      </w:r>
      <w:r>
        <w:rPr>
          <w:rFonts w:ascii="Titillium" w:hAnsi="Titillium" w:cs="Calibri"/>
          <w:i/>
          <w:iCs/>
          <w:sz w:val="18"/>
          <w:szCs w:val="18"/>
        </w:rPr>
        <w:t>[ove richiesto, aggiungere “</w:t>
      </w:r>
      <w:r>
        <w:rPr>
          <w:rFonts w:ascii="Titillium" w:hAnsi="Titillium" w:cs="Calibri"/>
          <w:sz w:val="18"/>
          <w:szCs w:val="18"/>
        </w:rPr>
        <w:t>e la documentazione</w:t>
      </w:r>
      <w:r>
        <w:rPr>
          <w:rFonts w:ascii="Titillium" w:hAnsi="Titillium" w:cs="Calibri"/>
          <w:i/>
          <w:iCs/>
          <w:sz w:val="18"/>
          <w:szCs w:val="18"/>
        </w:rPr>
        <w:t>”]</w:t>
      </w:r>
      <w:r>
        <w:rPr>
          <w:rFonts w:ascii="Titillium" w:hAnsi="Titillium" w:cs="Calibri"/>
          <w:sz w:val="18"/>
          <w:szCs w:val="18"/>
        </w:rPr>
        <w:t xml:space="preserve"> </w:t>
      </w:r>
      <w:r w:rsidRPr="00291754">
        <w:rPr>
          <w:rFonts w:ascii="Titillium" w:hAnsi="Titillium" w:cs="Calibri"/>
          <w:bCs/>
          <w:iCs/>
          <w:sz w:val="18"/>
          <w:szCs w:val="18"/>
        </w:rPr>
        <w:t>deve essere sottoscritta con firma digitale o altra firma elettronica qualificata o firma elettronica avanzata.</w:t>
      </w:r>
    </w:p>
    <w:p w14:paraId="066A4C70" w14:textId="77777777" w:rsidR="006842EE" w:rsidRDefault="008F2625">
      <w:pPr>
        <w:spacing w:before="60" w:after="60"/>
        <w:rPr>
          <w:rFonts w:ascii="Titillium" w:hAnsi="Titillium" w:cs="Calibri"/>
          <w:sz w:val="18"/>
          <w:szCs w:val="18"/>
        </w:rPr>
      </w:pPr>
      <w:r>
        <w:rPr>
          <w:rFonts w:ascii="Titillium" w:hAnsi="Titillium" w:cs="Calibri"/>
          <w:sz w:val="18"/>
          <w:szCs w:val="18"/>
        </w:rPr>
        <w:t xml:space="preserve">Le dichiarazioni sostitutive si redigono ai sensi degli articoli 19, 46 e 47 del decreto del Presidente della Repubblica n.  445/2000. </w:t>
      </w:r>
    </w:p>
    <w:p w14:paraId="37031910" w14:textId="77777777" w:rsidR="006842EE" w:rsidRDefault="008F2625">
      <w:pPr>
        <w:spacing w:before="60" w:after="60"/>
      </w:pPr>
      <w:r>
        <w:rPr>
          <w:rFonts w:ascii="Titillium" w:hAnsi="Titillium" w:cs="Calibri"/>
          <w:sz w:val="18"/>
          <w:szCs w:val="18"/>
        </w:rPr>
        <w:t xml:space="preserve">La documentazione presentata in copia viene prodotta ai sensi del decreto legislativo n. 82/05. </w:t>
      </w:r>
    </w:p>
    <w:p w14:paraId="54BC7E8A" w14:textId="165FC28F" w:rsidR="006842EE" w:rsidRDefault="008F2625">
      <w:pPr>
        <w:tabs>
          <w:tab w:val="left" w:pos="360"/>
        </w:tabs>
        <w:spacing w:before="60" w:after="60"/>
        <w:rPr>
          <w:rFonts w:ascii="Titillium" w:hAnsi="Titillium" w:cs="Calibri"/>
          <w:sz w:val="18"/>
          <w:szCs w:val="18"/>
        </w:rPr>
      </w:pPr>
      <w:r>
        <w:rPr>
          <w:rFonts w:ascii="Titillium" w:hAnsi="Titillium" w:cs="Calibri"/>
          <w:bCs/>
          <w:iCs/>
          <w:sz w:val="18"/>
          <w:szCs w:val="18"/>
        </w:rPr>
        <w:t>L’offerta deve pervenire</w:t>
      </w:r>
      <w:r>
        <w:rPr>
          <w:rFonts w:ascii="Titillium" w:hAnsi="Titillium" w:cs="Calibri"/>
          <w:sz w:val="18"/>
          <w:szCs w:val="18"/>
        </w:rPr>
        <w:t xml:space="preserve"> entro e non oltre le ore … </w:t>
      </w:r>
      <w:r>
        <w:rPr>
          <w:rFonts w:ascii="Titillium" w:hAnsi="Titillium" w:cs="Calibri"/>
          <w:i/>
          <w:sz w:val="18"/>
          <w:szCs w:val="18"/>
        </w:rPr>
        <w:t xml:space="preserve">[indicare] </w:t>
      </w:r>
      <w:r>
        <w:rPr>
          <w:rFonts w:ascii="Titillium" w:hAnsi="Titillium" w:cs="Calibri"/>
          <w:sz w:val="18"/>
          <w:szCs w:val="18"/>
        </w:rPr>
        <w:t xml:space="preserve">del giorno … </w:t>
      </w:r>
      <w:r>
        <w:rPr>
          <w:rFonts w:ascii="Titillium" w:hAnsi="Titillium" w:cs="Calibri"/>
          <w:i/>
          <w:sz w:val="18"/>
          <w:szCs w:val="18"/>
        </w:rPr>
        <w:t xml:space="preserve">[indicare] </w:t>
      </w:r>
      <w:r>
        <w:rPr>
          <w:rFonts w:ascii="Titillium" w:hAnsi="Titillium" w:cs="Calibri"/>
          <w:sz w:val="18"/>
          <w:szCs w:val="18"/>
        </w:rPr>
        <w:t>a pena di irricevibilità</w:t>
      </w:r>
      <w:r>
        <w:rPr>
          <w:rFonts w:ascii="Titillium" w:hAnsi="Titillium"/>
          <w:sz w:val="18"/>
          <w:szCs w:val="18"/>
        </w:rPr>
        <w:t>.</w:t>
      </w:r>
      <w:r>
        <w:rPr>
          <w:rFonts w:ascii="Titillium" w:hAnsi="Titillium" w:cs="Calibri"/>
          <w:sz w:val="18"/>
          <w:szCs w:val="18"/>
        </w:rPr>
        <w:t xml:space="preserve"> </w:t>
      </w:r>
      <w:r w:rsidRPr="007D6CC8">
        <w:rPr>
          <w:rFonts w:ascii="Titillium" w:hAnsi="Titillium" w:cs="Calibri"/>
          <w:color w:val="000000" w:themeColor="text1"/>
          <w:sz w:val="18"/>
          <w:szCs w:val="18"/>
        </w:rPr>
        <w:t xml:space="preserve">La </w:t>
      </w:r>
      <w:r w:rsidR="00005B90" w:rsidRPr="007D6CC8">
        <w:rPr>
          <w:rFonts w:ascii="Titillium" w:hAnsi="Titillium" w:cs="Calibri"/>
          <w:color w:val="000000" w:themeColor="text1"/>
          <w:sz w:val="18"/>
          <w:szCs w:val="18"/>
        </w:rPr>
        <w:t xml:space="preserve">PAD </w:t>
      </w:r>
      <w:r>
        <w:rPr>
          <w:rFonts w:ascii="Titillium" w:hAnsi="Titillium" w:cs="Calibri"/>
          <w:sz w:val="18"/>
          <w:szCs w:val="18"/>
        </w:rPr>
        <w:t xml:space="preserve">non accetta offerte presentate dopo la data e l’orario stabiliti come termine ultimo di presentazione dell’offerta. </w:t>
      </w:r>
    </w:p>
    <w:p w14:paraId="054A0484" w14:textId="5D2AD7D6" w:rsidR="005F1D26" w:rsidRDefault="005F1D26">
      <w:pPr>
        <w:tabs>
          <w:tab w:val="left" w:pos="360"/>
        </w:tabs>
        <w:spacing w:before="60" w:after="60"/>
        <w:rPr>
          <w:rFonts w:ascii="Titillium" w:hAnsi="Titillium" w:cs="Calibri"/>
          <w:sz w:val="18"/>
          <w:szCs w:val="18"/>
        </w:rPr>
      </w:pPr>
      <w:r w:rsidRPr="005F1D26">
        <w:rPr>
          <w:rFonts w:ascii="Titillium" w:hAnsi="Titillium" w:cs="Calibri"/>
          <w:sz w:val="18"/>
          <w:szCs w:val="18"/>
        </w:rPr>
        <w:t>[</w:t>
      </w:r>
      <w:r w:rsidRPr="00121FC2">
        <w:rPr>
          <w:rFonts w:ascii="Titillium" w:hAnsi="Titillium" w:cs="Calibri"/>
          <w:sz w:val="18"/>
          <w:szCs w:val="18"/>
        </w:rPr>
        <w:t>N.B. Si suggerisce di indicare per il termine di scadenza delle offerte un orario antimeridiano, al fine di tener conto della possibilità di proroga dovuta all’eventuale malfunzionamento della PAD di cui al p</w:t>
      </w:r>
      <w:r w:rsidR="007466D9">
        <w:rPr>
          <w:rFonts w:ascii="Titillium" w:hAnsi="Titillium" w:cs="Calibri"/>
          <w:sz w:val="18"/>
          <w:szCs w:val="18"/>
        </w:rPr>
        <w:t xml:space="preserve">aragrafo </w:t>
      </w:r>
      <w:r w:rsidRPr="00121FC2">
        <w:rPr>
          <w:rFonts w:ascii="Titillium" w:hAnsi="Titillium" w:cs="Calibri"/>
          <w:sz w:val="18"/>
          <w:szCs w:val="18"/>
        </w:rPr>
        <w:t>1.1. del presente disciplinare]</w:t>
      </w:r>
      <w:r w:rsidR="00114399">
        <w:rPr>
          <w:rFonts w:ascii="Titillium" w:hAnsi="Titillium" w:cs="Calibri"/>
          <w:sz w:val="18"/>
          <w:szCs w:val="18"/>
        </w:rPr>
        <w:t>.</w:t>
      </w:r>
    </w:p>
    <w:p w14:paraId="5E4F46DA" w14:textId="1C6B5BD3" w:rsidR="006842EE" w:rsidRDefault="008F2625">
      <w:pPr>
        <w:spacing w:before="60" w:after="60"/>
      </w:pPr>
      <w:r>
        <w:rPr>
          <w:rFonts w:ascii="Titillium" w:hAnsi="Titillium"/>
          <w:iCs/>
          <w:sz w:val="18"/>
          <w:szCs w:val="18"/>
        </w:rPr>
        <w:t>Per l’individuazione di</w:t>
      </w:r>
      <w:r>
        <w:rPr>
          <w:rFonts w:ascii="Titillium" w:hAnsi="Titillium" w:cs="Calibri"/>
          <w:bCs/>
          <w:iCs/>
          <w:sz w:val="18"/>
          <w:szCs w:val="18"/>
        </w:rPr>
        <w:t xml:space="preserve"> data e ora di arrivo dell’offerta fa fede l’orario registrato dalla </w:t>
      </w:r>
      <w:r w:rsidR="00005B90" w:rsidRPr="007D6CC8">
        <w:rPr>
          <w:rFonts w:ascii="Titillium" w:hAnsi="Titillium" w:cs="Calibri"/>
          <w:bCs/>
          <w:iCs/>
          <w:color w:val="000000" w:themeColor="text1"/>
          <w:sz w:val="18"/>
          <w:szCs w:val="18"/>
        </w:rPr>
        <w:t>PAD</w:t>
      </w:r>
      <w:r w:rsidR="0079236C">
        <w:rPr>
          <w:rFonts w:ascii="Titillium" w:hAnsi="Titillium" w:cs="Calibri"/>
          <w:bCs/>
          <w:iCs/>
          <w:sz w:val="18"/>
          <w:szCs w:val="18"/>
        </w:rPr>
        <w:t>.</w:t>
      </w:r>
    </w:p>
    <w:p w14:paraId="225E076B" w14:textId="21D81EB2" w:rsidR="006842EE" w:rsidRDefault="008F2625">
      <w:pPr>
        <w:widowControl w:val="0"/>
        <w:spacing w:before="60" w:after="60" w:line="280" w:lineRule="exact"/>
      </w:pPr>
      <w:r>
        <w:rPr>
          <w:rFonts w:ascii="Titillium" w:hAnsi="Titillium" w:cs="Calibri"/>
          <w:color w:val="000000"/>
          <w:sz w:val="18"/>
          <w:szCs w:val="18"/>
        </w:rPr>
        <w:t xml:space="preserve">Le operazioni di inserimento sulla </w:t>
      </w:r>
      <w:r w:rsidR="00005B90" w:rsidRPr="007D6CC8">
        <w:rPr>
          <w:rFonts w:ascii="Titillium" w:hAnsi="Titillium" w:cs="Calibri"/>
          <w:color w:val="000000" w:themeColor="text1"/>
          <w:sz w:val="18"/>
          <w:szCs w:val="18"/>
        </w:rPr>
        <w:t xml:space="preserve">PAD </w:t>
      </w:r>
      <w:r>
        <w:rPr>
          <w:rFonts w:ascii="Titillium" w:hAnsi="Titillium" w:cs="Calibri"/>
          <w:color w:val="000000"/>
          <w:sz w:val="18"/>
          <w:szCs w:val="18"/>
        </w:rPr>
        <w:t>di tutta la documentazione richiesta rimangono ad esclusivo rischio del concorrente. Si invitano pertanto i concorrenti ad avviare tali attività con congruo anticipo rispetto alla scadenza prevista onde evitare la non completa e quindi mancata trasmissione dell’offerta entro il termine previsto.</w:t>
      </w:r>
      <w:r>
        <w:rPr>
          <w:rFonts w:ascii="Titillium" w:hAnsi="Titillium" w:cs="Calibri"/>
          <w:bCs/>
          <w:iCs/>
          <w:sz w:val="18"/>
          <w:szCs w:val="18"/>
        </w:rPr>
        <w:t xml:space="preserve"> </w:t>
      </w:r>
    </w:p>
    <w:p w14:paraId="0C4F4EC5" w14:textId="36646027" w:rsidR="006842EE" w:rsidRDefault="008F2625">
      <w:pPr>
        <w:widowControl w:val="0"/>
        <w:spacing w:before="60" w:after="60" w:line="280" w:lineRule="exact"/>
      </w:pPr>
      <w:r>
        <w:rPr>
          <w:rFonts w:ascii="Titillium" w:hAnsi="Titillium" w:cs="Calibri"/>
          <w:bCs/>
          <w:iCs/>
          <w:sz w:val="18"/>
          <w:szCs w:val="18"/>
        </w:rPr>
        <w:t xml:space="preserve">Qualora si verifichi un mancato funzionamento o un malfunzionamento della </w:t>
      </w:r>
      <w:r w:rsidR="004C7823" w:rsidRPr="007D6CC8">
        <w:rPr>
          <w:rFonts w:ascii="Titillium" w:hAnsi="Titillium" w:cs="Calibri"/>
          <w:bCs/>
          <w:iCs/>
          <w:color w:val="000000" w:themeColor="text1"/>
          <w:sz w:val="18"/>
          <w:szCs w:val="18"/>
        </w:rPr>
        <w:t>PAD</w:t>
      </w:r>
      <w:r w:rsidR="004C7823">
        <w:rPr>
          <w:rFonts w:ascii="Titillium" w:hAnsi="Titillium" w:cs="Calibri"/>
          <w:bCs/>
          <w:iCs/>
          <w:sz w:val="18"/>
          <w:szCs w:val="18"/>
        </w:rPr>
        <w:t xml:space="preserve"> </w:t>
      </w:r>
      <w:r>
        <w:rPr>
          <w:rFonts w:ascii="Titillium" w:hAnsi="Titillium" w:cs="Calibri"/>
          <w:bCs/>
          <w:iCs/>
          <w:sz w:val="18"/>
          <w:szCs w:val="18"/>
        </w:rPr>
        <w:t>si applica quanto previsto al p</w:t>
      </w:r>
      <w:r w:rsidR="007466D9">
        <w:rPr>
          <w:rFonts w:ascii="Titillium" w:hAnsi="Titillium" w:cs="Calibri"/>
          <w:bCs/>
          <w:iCs/>
          <w:sz w:val="18"/>
          <w:szCs w:val="18"/>
        </w:rPr>
        <w:t xml:space="preserve">aragrafo </w:t>
      </w:r>
      <w:r>
        <w:rPr>
          <w:rFonts w:ascii="Titillium" w:hAnsi="Titillium" w:cs="Calibri"/>
          <w:bCs/>
          <w:iCs/>
          <w:sz w:val="18"/>
          <w:szCs w:val="18"/>
        </w:rPr>
        <w:t xml:space="preserve"> </w:t>
      </w:r>
      <w:r>
        <w:rPr>
          <w:rFonts w:ascii="Titillium" w:hAnsi="Titillium" w:cs="Calibri"/>
          <w:bCs/>
          <w:iCs/>
          <w:sz w:val="18"/>
          <w:szCs w:val="18"/>
        </w:rPr>
        <w:fldChar w:fldCharType="begin"/>
      </w:r>
      <w:r>
        <w:rPr>
          <w:rFonts w:ascii="Titillium" w:hAnsi="Titillium" w:cs="Calibri"/>
          <w:bCs/>
          <w:iCs/>
          <w:sz w:val="18"/>
          <w:szCs w:val="18"/>
        </w:rPr>
        <w:instrText>REF _Ref132303729 \r \h</w:instrText>
      </w:r>
      <w:r>
        <w:rPr>
          <w:rFonts w:ascii="Titillium" w:hAnsi="Titillium" w:cs="Calibri"/>
          <w:bCs/>
          <w:iCs/>
          <w:sz w:val="18"/>
          <w:szCs w:val="18"/>
        </w:rPr>
      </w:r>
      <w:r>
        <w:rPr>
          <w:rFonts w:ascii="Titillium" w:hAnsi="Titillium" w:cs="Calibri"/>
          <w:bCs/>
          <w:iCs/>
          <w:sz w:val="18"/>
          <w:szCs w:val="18"/>
        </w:rPr>
        <w:fldChar w:fldCharType="separate"/>
      </w:r>
      <w:r w:rsidR="00722501">
        <w:rPr>
          <w:rFonts w:ascii="Titillium" w:hAnsi="Titillium" w:cs="Calibri"/>
          <w:bCs/>
          <w:iCs/>
          <w:sz w:val="18"/>
          <w:szCs w:val="18"/>
        </w:rPr>
        <w:t>1.1</w:t>
      </w:r>
      <w:r>
        <w:rPr>
          <w:rFonts w:ascii="Titillium" w:hAnsi="Titillium" w:cs="Calibri"/>
          <w:bCs/>
          <w:iCs/>
          <w:sz w:val="18"/>
          <w:szCs w:val="18"/>
        </w:rPr>
        <w:fldChar w:fldCharType="end"/>
      </w:r>
      <w:r>
        <w:rPr>
          <w:rFonts w:ascii="Titillium" w:hAnsi="Titillium" w:cs="Calibri"/>
          <w:bCs/>
          <w:iCs/>
          <w:sz w:val="18"/>
          <w:szCs w:val="18"/>
        </w:rPr>
        <w:t>.</w:t>
      </w:r>
    </w:p>
    <w:p w14:paraId="4DBBC8E1" w14:textId="6B6D5C85" w:rsidR="0079236C" w:rsidRPr="00E56E20" w:rsidRDefault="008F2625">
      <w:pPr>
        <w:tabs>
          <w:tab w:val="left" w:pos="360"/>
        </w:tabs>
        <w:spacing w:before="60" w:after="60"/>
        <w:rPr>
          <w:rFonts w:ascii="Titillium" w:hAnsi="Titillium" w:cs="Calibri"/>
          <w:bCs/>
          <w:i/>
          <w:iCs/>
          <w:color w:val="000000" w:themeColor="text1"/>
          <w:sz w:val="18"/>
          <w:szCs w:val="18"/>
        </w:rPr>
      </w:pPr>
      <w:r>
        <w:rPr>
          <w:rFonts w:ascii="Titillium" w:hAnsi="Titillium" w:cs="Calibri"/>
          <w:bCs/>
          <w:iCs/>
          <w:sz w:val="18"/>
          <w:szCs w:val="18"/>
        </w:rPr>
        <w:t xml:space="preserve">Ogni operatore economico per la presentazione dell’offerta ha a disposizione una capacità pari alla dimensione massima di </w:t>
      </w:r>
      <w:r>
        <w:rPr>
          <w:rFonts w:ascii="Titillium" w:hAnsi="Titillium" w:cs="Calibri"/>
          <w:bCs/>
          <w:i/>
          <w:iCs/>
          <w:sz w:val="18"/>
          <w:szCs w:val="18"/>
        </w:rPr>
        <w:t>… [indicare il numero e l’unità di misura]</w:t>
      </w:r>
      <w:r>
        <w:rPr>
          <w:rFonts w:ascii="Titillium" w:hAnsi="Titillium" w:cs="Calibri"/>
          <w:bCs/>
          <w:iCs/>
          <w:sz w:val="18"/>
          <w:szCs w:val="18"/>
        </w:rPr>
        <w:t xml:space="preserve"> per singolo file. La </w:t>
      </w:r>
      <w:r w:rsidR="002539E3" w:rsidRPr="007D6CC8">
        <w:rPr>
          <w:rFonts w:ascii="Titillium" w:hAnsi="Titillium" w:cs="Calibri"/>
          <w:bCs/>
          <w:iCs/>
          <w:color w:val="000000" w:themeColor="text1"/>
          <w:sz w:val="18"/>
          <w:szCs w:val="18"/>
        </w:rPr>
        <w:t>PAD</w:t>
      </w:r>
      <w:r w:rsidR="002539E3">
        <w:rPr>
          <w:rFonts w:ascii="Titillium" w:hAnsi="Titillium" w:cs="Calibri"/>
          <w:bCs/>
          <w:iCs/>
          <w:color w:val="2E74B5" w:themeColor="accent1" w:themeShade="BF"/>
          <w:sz w:val="18"/>
          <w:szCs w:val="18"/>
        </w:rPr>
        <w:t xml:space="preserve"> </w:t>
      </w:r>
      <w:r>
        <w:rPr>
          <w:rFonts w:ascii="Titillium" w:hAnsi="Titillium" w:cs="Calibri"/>
          <w:bCs/>
          <w:iCs/>
          <w:sz w:val="18"/>
          <w:szCs w:val="18"/>
        </w:rPr>
        <w:t xml:space="preserve">accetta esclusivamente file con i seguenti formati </w:t>
      </w:r>
      <w:r>
        <w:rPr>
          <w:rFonts w:ascii="Titillium" w:hAnsi="Titillium" w:cs="Calibri"/>
          <w:bCs/>
          <w:i/>
          <w:iCs/>
          <w:sz w:val="18"/>
          <w:szCs w:val="18"/>
        </w:rPr>
        <w:t xml:space="preserve">… [indicare i formati dei file che possono essere caricati nella </w:t>
      </w:r>
      <w:r w:rsidR="002539E3" w:rsidRPr="007D6CC8">
        <w:rPr>
          <w:rFonts w:ascii="Titillium" w:hAnsi="Titillium" w:cs="Calibri"/>
          <w:bCs/>
          <w:i/>
          <w:iCs/>
          <w:color w:val="000000" w:themeColor="text1"/>
          <w:sz w:val="18"/>
          <w:szCs w:val="18"/>
        </w:rPr>
        <w:t>PAD</w:t>
      </w:r>
      <w:r w:rsidR="007807FC">
        <w:rPr>
          <w:rFonts w:ascii="Titillium" w:hAnsi="Titillium" w:cs="Calibri"/>
          <w:bCs/>
          <w:i/>
          <w:iCs/>
          <w:color w:val="000000" w:themeColor="text1"/>
          <w:sz w:val="18"/>
          <w:szCs w:val="18"/>
        </w:rPr>
        <w:t>]</w:t>
      </w:r>
      <w:r w:rsidR="00E56E20">
        <w:rPr>
          <w:rFonts w:ascii="Titillium" w:hAnsi="Titillium" w:cs="Calibri"/>
          <w:bCs/>
          <w:i/>
          <w:iCs/>
          <w:color w:val="000000" w:themeColor="text1"/>
          <w:sz w:val="18"/>
          <w:szCs w:val="18"/>
        </w:rPr>
        <w:t>.</w:t>
      </w:r>
    </w:p>
    <w:p w14:paraId="256239EE" w14:textId="1C745877" w:rsidR="006842EE" w:rsidRDefault="008F2625" w:rsidP="0061743C">
      <w:pPr>
        <w:pStyle w:val="Titolo3"/>
        <w:rPr>
          <w:rFonts w:ascii="Titillium" w:hAnsi="Titillium" w:cs="Calibri"/>
          <w:b w:val="0"/>
          <w:sz w:val="18"/>
          <w:szCs w:val="18"/>
        </w:rPr>
      </w:pPr>
      <w:bookmarkStart w:id="1703" w:name="_Toc227921637"/>
      <w:r>
        <w:rPr>
          <w:rFonts w:ascii="Titillium" w:hAnsi="Titillium" w:cs="Calibri"/>
          <w:sz w:val="18"/>
          <w:szCs w:val="18"/>
        </w:rPr>
        <w:t>1</w:t>
      </w:r>
      <w:r w:rsidR="00FF0AA6">
        <w:rPr>
          <w:rFonts w:ascii="Titillium" w:hAnsi="Titillium" w:cs="Calibri"/>
          <w:sz w:val="18"/>
          <w:szCs w:val="18"/>
        </w:rPr>
        <w:t>3</w:t>
      </w:r>
      <w:r>
        <w:rPr>
          <w:rFonts w:ascii="Titillium" w:hAnsi="Titillium" w:cs="Calibri"/>
          <w:sz w:val="18"/>
          <w:szCs w:val="18"/>
        </w:rPr>
        <w:t>.1</w:t>
      </w:r>
      <w:r w:rsidR="00CE5348">
        <w:rPr>
          <w:rFonts w:ascii="Titillium" w:hAnsi="Titillium" w:cs="Calibri"/>
          <w:sz w:val="18"/>
          <w:szCs w:val="18"/>
        </w:rPr>
        <w:t>.</w:t>
      </w:r>
      <w:r>
        <w:rPr>
          <w:rFonts w:ascii="Titillium" w:hAnsi="Titillium" w:cs="Calibri"/>
          <w:sz w:val="18"/>
          <w:szCs w:val="18"/>
        </w:rPr>
        <w:t xml:space="preserve"> </w:t>
      </w:r>
      <w:r w:rsidR="00114399">
        <w:rPr>
          <w:rFonts w:ascii="Titillium" w:hAnsi="Titillium" w:cs="Calibri"/>
          <w:sz w:val="18"/>
          <w:szCs w:val="18"/>
        </w:rPr>
        <w:t>REGOLE PER LA PRESENTAZIONE DELL’OFFERTA</w:t>
      </w:r>
      <w:bookmarkEnd w:id="1703"/>
      <w:r w:rsidR="00114399">
        <w:rPr>
          <w:rFonts w:ascii="Titillium" w:hAnsi="Titillium" w:cs="Calibri"/>
          <w:sz w:val="18"/>
          <w:szCs w:val="18"/>
        </w:rPr>
        <w:t xml:space="preserve"> </w:t>
      </w:r>
    </w:p>
    <w:p w14:paraId="44552C6A" w14:textId="542290B0" w:rsidR="006842EE" w:rsidRDefault="008F2625">
      <w:pPr>
        <w:spacing w:before="60" w:after="60"/>
      </w:pPr>
      <w:r w:rsidRPr="007E1E23">
        <w:rPr>
          <w:rFonts w:ascii="Titillium" w:hAnsi="Titillium" w:cs="Calibri"/>
          <w:b/>
          <w:iCs/>
          <w:sz w:val="18"/>
          <w:szCs w:val="18"/>
        </w:rPr>
        <w:t>[</w:t>
      </w:r>
      <w:r w:rsidRPr="00114399">
        <w:rPr>
          <w:rFonts w:ascii="Titillium" w:hAnsi="Titillium" w:cs="Calibri"/>
          <w:b/>
          <w:bCs/>
          <w:i/>
          <w:sz w:val="18"/>
          <w:szCs w:val="18"/>
        </w:rPr>
        <w:t>Facoltativo</w:t>
      </w:r>
      <w:r w:rsidRPr="007E1E23">
        <w:rPr>
          <w:rFonts w:ascii="Titillium" w:hAnsi="Titillium" w:cs="Calibri"/>
          <w:b/>
          <w:iCs/>
          <w:sz w:val="18"/>
          <w:szCs w:val="18"/>
        </w:rPr>
        <w:t>]</w:t>
      </w:r>
      <w:r>
        <w:rPr>
          <w:rFonts w:ascii="Titillium" w:hAnsi="Titillium" w:cs="Calibri"/>
          <w:sz w:val="18"/>
          <w:szCs w:val="18"/>
        </w:rPr>
        <w:t xml:space="preserve"> Fermo restando le indicazioni tecniche riportate all’articolo </w:t>
      </w:r>
      <w:r>
        <w:rPr>
          <w:rFonts w:ascii="Titillium" w:hAnsi="Titillium" w:cs="Calibri"/>
          <w:sz w:val="18"/>
          <w:szCs w:val="18"/>
        </w:rPr>
        <w:fldChar w:fldCharType="begin"/>
      </w:r>
      <w:r>
        <w:rPr>
          <w:rFonts w:ascii="Titillium" w:hAnsi="Titillium" w:cs="Calibri"/>
          <w:sz w:val="18"/>
          <w:szCs w:val="18"/>
        </w:rPr>
        <w:instrText>REF _Ref132303744 \r \h</w:instrText>
      </w:r>
      <w:r>
        <w:rPr>
          <w:rFonts w:ascii="Titillium" w:hAnsi="Titillium" w:cs="Calibri"/>
          <w:sz w:val="18"/>
          <w:szCs w:val="18"/>
        </w:rPr>
      </w:r>
      <w:r>
        <w:rPr>
          <w:rFonts w:ascii="Titillium" w:hAnsi="Titillium" w:cs="Calibri"/>
          <w:sz w:val="18"/>
          <w:szCs w:val="18"/>
        </w:rPr>
        <w:fldChar w:fldCharType="separate"/>
      </w:r>
      <w:r w:rsidR="00722501">
        <w:rPr>
          <w:rFonts w:ascii="Titillium" w:hAnsi="Titillium" w:cs="Calibri"/>
          <w:sz w:val="18"/>
          <w:szCs w:val="18"/>
        </w:rPr>
        <w:t>1</w:t>
      </w:r>
      <w:r>
        <w:rPr>
          <w:rFonts w:ascii="Titillium" w:hAnsi="Titillium" w:cs="Calibri"/>
          <w:sz w:val="18"/>
          <w:szCs w:val="18"/>
        </w:rPr>
        <w:fldChar w:fldCharType="end"/>
      </w:r>
      <w:r>
        <w:rPr>
          <w:rFonts w:ascii="Titillium" w:hAnsi="Titillium" w:cs="Calibri"/>
          <w:sz w:val="18"/>
          <w:szCs w:val="18"/>
        </w:rPr>
        <w:t xml:space="preserve"> e nel … [</w:t>
      </w:r>
      <w:r>
        <w:rPr>
          <w:rFonts w:ascii="Titillium" w:hAnsi="Titillium" w:cs="Calibri"/>
          <w:i/>
          <w:sz w:val="18"/>
          <w:szCs w:val="18"/>
        </w:rPr>
        <w:t xml:space="preserve">la SA indica il disciplinare telematico o altro documento tecnico] </w:t>
      </w:r>
      <w:r>
        <w:rPr>
          <w:rFonts w:ascii="Titillium" w:hAnsi="Titillium" w:cs="Calibri"/>
          <w:sz w:val="18"/>
          <w:szCs w:val="18"/>
        </w:rPr>
        <w:t xml:space="preserve">di seguito sono indicate le modalità di caricamento dell’offerta nella </w:t>
      </w:r>
      <w:r w:rsidR="002539E3" w:rsidRPr="007D6CC8">
        <w:rPr>
          <w:rFonts w:ascii="Titillium" w:hAnsi="Titillium" w:cs="Calibri"/>
          <w:color w:val="000000" w:themeColor="text1"/>
          <w:sz w:val="18"/>
          <w:szCs w:val="18"/>
        </w:rPr>
        <w:t>PAD</w:t>
      </w:r>
      <w:r w:rsidR="0079236C">
        <w:rPr>
          <w:rFonts w:ascii="Titillium" w:hAnsi="Titillium" w:cs="Calibri"/>
          <w:sz w:val="18"/>
          <w:szCs w:val="18"/>
        </w:rPr>
        <w:t>.</w:t>
      </w:r>
    </w:p>
    <w:p w14:paraId="1295A6E4" w14:textId="77777777" w:rsidR="006842EE" w:rsidRDefault="008F2625">
      <w:pPr>
        <w:spacing w:before="60" w:after="60"/>
      </w:pPr>
      <w:r>
        <w:rPr>
          <w:rFonts w:ascii="Titillium" w:hAnsi="Titillium" w:cs="Calibri"/>
          <w:i/>
          <w:sz w:val="18"/>
          <w:szCs w:val="18"/>
        </w:rPr>
        <w:t>[La stazione appaltante indica le regole di utilizzo della Piattaforma che non sono indicate nel disciplinare telematico di cui di seguito si fornisce un esempio:</w:t>
      </w:r>
      <w:r>
        <w:rPr>
          <w:rFonts w:ascii="Titillium" w:hAnsi="Titillium" w:cs="Calibri"/>
          <w:sz w:val="18"/>
          <w:szCs w:val="18"/>
        </w:rPr>
        <w:t xml:space="preserve"> …</w:t>
      </w:r>
      <w:r>
        <w:rPr>
          <w:rFonts w:ascii="Titillium" w:hAnsi="Titillium" w:cs="Calibri"/>
          <w:i/>
          <w:sz w:val="18"/>
          <w:szCs w:val="18"/>
        </w:rPr>
        <w:t>]</w:t>
      </w:r>
    </w:p>
    <w:p w14:paraId="12303E24" w14:textId="77777777" w:rsidR="006842EE" w:rsidRDefault="008F2625">
      <w:pPr>
        <w:pStyle w:val="usoboll1"/>
        <w:spacing w:line="300" w:lineRule="exact"/>
      </w:pPr>
      <w:r>
        <w:rPr>
          <w:rFonts w:ascii="Titillium" w:hAnsi="Titillium" w:cs="Trebuchet MS"/>
          <w:sz w:val="18"/>
          <w:szCs w:val="18"/>
        </w:rPr>
        <w:t>L’“</w:t>
      </w:r>
      <w:r>
        <w:rPr>
          <w:rFonts w:ascii="Titillium" w:hAnsi="Titillium" w:cs="Trebuchet MS"/>
          <w:b/>
          <w:i/>
          <w:sz w:val="18"/>
          <w:szCs w:val="18"/>
        </w:rPr>
        <w:t>OFFERTA</w:t>
      </w:r>
      <w:r>
        <w:rPr>
          <w:rFonts w:ascii="Titillium" w:hAnsi="Titillium" w:cs="Trebuchet MS"/>
          <w:sz w:val="18"/>
          <w:szCs w:val="18"/>
        </w:rPr>
        <w:t xml:space="preserve">” è composta da: </w:t>
      </w:r>
    </w:p>
    <w:p w14:paraId="5FCC9F3A" w14:textId="77777777" w:rsidR="006842EE" w:rsidRDefault="008F2625" w:rsidP="007A06D3">
      <w:pPr>
        <w:pStyle w:val="usoboll1"/>
        <w:spacing w:line="300" w:lineRule="exact"/>
        <w:ind w:left="142"/>
      </w:pPr>
      <w:r>
        <w:rPr>
          <w:rFonts w:ascii="Titillium" w:hAnsi="Titillium" w:cs="Trebuchet MS"/>
          <w:sz w:val="18"/>
          <w:szCs w:val="18"/>
        </w:rPr>
        <w:t xml:space="preserve">A – </w:t>
      </w:r>
      <w:r>
        <w:rPr>
          <w:rFonts w:ascii="Titillium" w:hAnsi="Titillium" w:cs="Trebuchet MS"/>
          <w:b/>
          <w:sz w:val="18"/>
          <w:szCs w:val="18"/>
        </w:rPr>
        <w:t>Documentazione amministrativa</w:t>
      </w:r>
      <w:r>
        <w:rPr>
          <w:rFonts w:ascii="Titillium" w:hAnsi="Titillium" w:cs="Trebuchet MS"/>
          <w:sz w:val="18"/>
          <w:szCs w:val="18"/>
        </w:rPr>
        <w:t xml:space="preserve">; </w:t>
      </w:r>
    </w:p>
    <w:p w14:paraId="48055E18" w14:textId="77777777" w:rsidR="006842EE" w:rsidRDefault="008F2625" w:rsidP="007A06D3">
      <w:pPr>
        <w:pStyle w:val="usoboll1"/>
        <w:spacing w:line="300" w:lineRule="exact"/>
        <w:ind w:left="142"/>
      </w:pPr>
      <w:r>
        <w:rPr>
          <w:rFonts w:ascii="Titillium" w:hAnsi="Titillium" w:cs="Trebuchet MS"/>
          <w:sz w:val="18"/>
          <w:szCs w:val="18"/>
        </w:rPr>
        <w:t xml:space="preserve">B – </w:t>
      </w:r>
      <w:r>
        <w:rPr>
          <w:rFonts w:ascii="Titillium" w:hAnsi="Titillium" w:cs="Trebuchet MS"/>
          <w:b/>
          <w:bCs/>
          <w:sz w:val="18"/>
          <w:szCs w:val="18"/>
        </w:rPr>
        <w:t xml:space="preserve">Offerta tecnica </w:t>
      </w:r>
      <w:r>
        <w:rPr>
          <w:rFonts w:ascii="Titillium" w:hAnsi="Titillium" w:cs="Calibri"/>
          <w:bCs/>
          <w:i/>
          <w:sz w:val="18"/>
          <w:szCs w:val="18"/>
        </w:rPr>
        <w:t>[</w:t>
      </w:r>
      <w:r>
        <w:rPr>
          <w:rFonts w:ascii="Titillium" w:hAnsi="Titillium" w:cs="Trebuchet MS"/>
          <w:i/>
          <w:color w:val="000000"/>
          <w:sz w:val="18"/>
          <w:szCs w:val="18"/>
        </w:rPr>
        <w:t>in caso di divisione in Lotti: una per ogni Lotto per il quale si intende partecipare</w:t>
      </w:r>
      <w:r>
        <w:rPr>
          <w:rFonts w:ascii="Titillium" w:hAnsi="Titillium" w:cs="Calibri"/>
          <w:i/>
          <w:color w:val="000000"/>
          <w:sz w:val="18"/>
          <w:szCs w:val="18"/>
        </w:rPr>
        <w:t>]</w:t>
      </w:r>
      <w:r>
        <w:rPr>
          <w:rFonts w:ascii="Titillium" w:hAnsi="Titillium" w:cs="Trebuchet MS"/>
          <w:color w:val="000000"/>
          <w:sz w:val="18"/>
          <w:szCs w:val="18"/>
        </w:rPr>
        <w:t xml:space="preserve">; </w:t>
      </w:r>
    </w:p>
    <w:p w14:paraId="10F79963" w14:textId="77777777" w:rsidR="006842EE" w:rsidRDefault="008F2625" w:rsidP="007A06D3">
      <w:pPr>
        <w:pStyle w:val="usoboll1"/>
        <w:spacing w:line="300" w:lineRule="exact"/>
        <w:ind w:left="142"/>
      </w:pPr>
      <w:r>
        <w:rPr>
          <w:rFonts w:ascii="Titillium" w:hAnsi="Titillium" w:cs="Trebuchet MS"/>
          <w:color w:val="000000"/>
          <w:sz w:val="18"/>
          <w:szCs w:val="18"/>
        </w:rPr>
        <w:t xml:space="preserve">C – </w:t>
      </w:r>
      <w:r>
        <w:rPr>
          <w:rFonts w:ascii="Titillium" w:hAnsi="Titillium" w:cs="Trebuchet MS"/>
          <w:b/>
          <w:bCs/>
          <w:color w:val="000000"/>
          <w:sz w:val="18"/>
          <w:szCs w:val="18"/>
        </w:rPr>
        <w:t>Offerta economica</w:t>
      </w:r>
      <w:r>
        <w:rPr>
          <w:rFonts w:ascii="Titillium" w:hAnsi="Titillium" w:cs="Trebuchet MS"/>
          <w:i/>
          <w:color w:val="000000"/>
          <w:sz w:val="18"/>
          <w:szCs w:val="18"/>
        </w:rPr>
        <w:t xml:space="preserve"> </w:t>
      </w:r>
      <w:r>
        <w:rPr>
          <w:rFonts w:ascii="Titillium" w:hAnsi="Titillium" w:cs="Calibri"/>
          <w:i/>
          <w:color w:val="000000"/>
          <w:sz w:val="18"/>
          <w:szCs w:val="18"/>
        </w:rPr>
        <w:t>[</w:t>
      </w:r>
      <w:r>
        <w:rPr>
          <w:rFonts w:ascii="Titillium" w:hAnsi="Titillium" w:cs="Trebuchet MS"/>
          <w:i/>
          <w:color w:val="000000"/>
          <w:sz w:val="18"/>
          <w:szCs w:val="18"/>
        </w:rPr>
        <w:t xml:space="preserve">in caso </w:t>
      </w:r>
      <w:r>
        <w:rPr>
          <w:rFonts w:ascii="Titillium" w:hAnsi="Titillium" w:cs="Trebuchet MS"/>
          <w:i/>
          <w:iCs/>
          <w:color w:val="000000"/>
          <w:sz w:val="18"/>
          <w:szCs w:val="18"/>
        </w:rPr>
        <w:t>di divisione in Lotti: una per ogni Lotto per il quale si intende partecipare</w:t>
      </w:r>
      <w:r>
        <w:rPr>
          <w:rFonts w:ascii="Titillium" w:hAnsi="Titillium" w:cs="Calibri"/>
          <w:i/>
          <w:color w:val="000000"/>
          <w:sz w:val="18"/>
          <w:szCs w:val="18"/>
        </w:rPr>
        <w:t>]</w:t>
      </w:r>
      <w:r>
        <w:rPr>
          <w:rFonts w:ascii="Titillium" w:hAnsi="Titillium" w:cs="Trebuchet MS"/>
          <w:color w:val="000000"/>
          <w:sz w:val="18"/>
          <w:szCs w:val="18"/>
        </w:rPr>
        <w:t xml:space="preserve">. </w:t>
      </w:r>
    </w:p>
    <w:p w14:paraId="05C41634" w14:textId="77777777" w:rsidR="006842EE" w:rsidRDefault="006842EE">
      <w:pPr>
        <w:pStyle w:val="usoboll1"/>
        <w:spacing w:line="300" w:lineRule="exact"/>
        <w:rPr>
          <w:rFonts w:ascii="Titillium" w:hAnsi="Titillium" w:cs="Trebuchet MS"/>
          <w:sz w:val="20"/>
        </w:rPr>
      </w:pPr>
    </w:p>
    <w:p w14:paraId="4E9474F3" w14:textId="03C06547" w:rsidR="006842EE" w:rsidRDefault="008F2625">
      <w:pPr>
        <w:spacing w:before="60" w:after="60"/>
        <w:rPr>
          <w:rFonts w:ascii="Titillium" w:hAnsi="Titillium" w:cs="Calibri"/>
          <w:sz w:val="18"/>
          <w:szCs w:val="18"/>
        </w:rPr>
      </w:pPr>
      <w:r>
        <w:rPr>
          <w:rFonts w:ascii="Titillium" w:hAnsi="Titillium" w:cs="Calibri"/>
          <w:sz w:val="18"/>
          <w:szCs w:val="18"/>
        </w:rPr>
        <w:t>L’operatore economico ha facoltà di inserire nella</w:t>
      </w:r>
      <w:r w:rsidR="00081440">
        <w:rPr>
          <w:rFonts w:ascii="Titillium" w:hAnsi="Titillium" w:cs="Calibri"/>
          <w:sz w:val="18"/>
          <w:szCs w:val="18"/>
        </w:rPr>
        <w:t xml:space="preserve"> </w:t>
      </w:r>
      <w:r w:rsidR="007807FC" w:rsidRPr="00F130EA">
        <w:rPr>
          <w:rFonts w:ascii="Titillium" w:hAnsi="Titillium" w:cs="Calibri"/>
          <w:color w:val="000000" w:themeColor="text1"/>
          <w:sz w:val="18"/>
          <w:szCs w:val="18"/>
        </w:rPr>
        <w:t>PAD</w:t>
      </w:r>
      <w:r w:rsidR="007807FC">
        <w:rPr>
          <w:rFonts w:ascii="Titillium" w:hAnsi="Titillium" w:cs="Calibri"/>
          <w:sz w:val="18"/>
          <w:szCs w:val="18"/>
        </w:rPr>
        <w:t xml:space="preserve"> offerte</w:t>
      </w:r>
      <w:r>
        <w:rPr>
          <w:rFonts w:ascii="Titillium" w:hAnsi="Titillium" w:cs="Calibri"/>
          <w:sz w:val="18"/>
          <w:szCs w:val="18"/>
        </w:rPr>
        <w:t xml:space="preserve"> successive che sostituiscono la precedente, ovvero ritirare l’offerta presentata, nel periodo di tempo compreso tra la data e ora di inizio e la data e ora di chiusura della fase di presentazione delle offerte. </w:t>
      </w:r>
      <w:r>
        <w:rPr>
          <w:rFonts w:ascii="Titillium" w:hAnsi="Titillium" w:cs="Calibri"/>
          <w:bCs/>
          <w:color w:val="000000"/>
          <w:sz w:val="18"/>
          <w:szCs w:val="18"/>
        </w:rPr>
        <w:t>La stazione appaltante considera esclusivamente l’ultima offerta presentata.</w:t>
      </w:r>
      <w:r>
        <w:rPr>
          <w:rFonts w:ascii="Titillium" w:hAnsi="Titillium" w:cs="Calibri"/>
          <w:sz w:val="18"/>
          <w:szCs w:val="18"/>
        </w:rPr>
        <w:t xml:space="preserve"> </w:t>
      </w:r>
    </w:p>
    <w:p w14:paraId="305760A0" w14:textId="77777777" w:rsidR="006842EE" w:rsidRDefault="008F2625">
      <w:pPr>
        <w:pStyle w:val="Default"/>
        <w:rPr>
          <w:rFonts w:ascii="Titillium" w:hAnsi="Titillium"/>
          <w:sz w:val="18"/>
          <w:szCs w:val="18"/>
        </w:rPr>
      </w:pPr>
      <w:r>
        <w:rPr>
          <w:rFonts w:ascii="Titillium" w:hAnsi="Titillium"/>
          <w:sz w:val="18"/>
          <w:szCs w:val="18"/>
        </w:rPr>
        <w:t xml:space="preserve">Si precisa inoltre che: </w:t>
      </w:r>
    </w:p>
    <w:p w14:paraId="2322A581" w14:textId="77777777" w:rsidR="006842EE" w:rsidRDefault="008F2625" w:rsidP="00D26F03">
      <w:pPr>
        <w:pStyle w:val="Default"/>
        <w:numPr>
          <w:ilvl w:val="0"/>
          <w:numId w:val="13"/>
        </w:numPr>
        <w:spacing w:after="70" w:line="240" w:lineRule="auto"/>
        <w:ind w:left="426" w:hanging="357"/>
        <w:rPr>
          <w:rFonts w:ascii="Titillium" w:hAnsi="Titillium"/>
          <w:sz w:val="18"/>
          <w:szCs w:val="18"/>
        </w:rPr>
      </w:pPr>
      <w:r>
        <w:rPr>
          <w:rFonts w:ascii="Titillium" w:hAnsi="Titillium"/>
          <w:sz w:val="18"/>
          <w:szCs w:val="18"/>
        </w:rPr>
        <w:t>l’offerta è vincolante per il concorrente;</w:t>
      </w:r>
    </w:p>
    <w:p w14:paraId="0334155E" w14:textId="77777777" w:rsidR="006842EE" w:rsidRDefault="008F2625" w:rsidP="00D26F03">
      <w:pPr>
        <w:pStyle w:val="Default"/>
        <w:numPr>
          <w:ilvl w:val="0"/>
          <w:numId w:val="13"/>
        </w:numPr>
        <w:spacing w:line="240" w:lineRule="auto"/>
        <w:ind w:left="426" w:hanging="357"/>
        <w:rPr>
          <w:rFonts w:ascii="Titillium" w:hAnsi="Titillium" w:cs="Calibri"/>
          <w:sz w:val="18"/>
          <w:szCs w:val="18"/>
        </w:rPr>
      </w:pPr>
      <w:r>
        <w:rPr>
          <w:rFonts w:ascii="Titillium" w:hAnsi="Titillium" w:cs="Calibri"/>
          <w:sz w:val="18"/>
          <w:szCs w:val="18"/>
        </w:rPr>
        <w:t>con la trasmissione dell’offerta, il concorrente accetta tutta la documentazione di gara, allegati e chiarimenti inclusi.</w:t>
      </w:r>
    </w:p>
    <w:p w14:paraId="5F938721" w14:textId="77777777" w:rsidR="00036BAE" w:rsidRDefault="008F2625">
      <w:pPr>
        <w:spacing w:before="60" w:after="60"/>
        <w:rPr>
          <w:rFonts w:ascii="Titillium" w:hAnsi="Titillium" w:cs="Calibri"/>
          <w:sz w:val="18"/>
          <w:szCs w:val="18"/>
        </w:rPr>
      </w:pPr>
      <w:r>
        <w:rPr>
          <w:rFonts w:ascii="Titillium" w:hAnsi="Titillium" w:cs="Calibri"/>
          <w:sz w:val="18"/>
          <w:szCs w:val="18"/>
        </w:rPr>
        <w:t xml:space="preserve">Al momento della ricezione delle offerte, ciascun concorrente riceve notifica del corretto recepimento della documentazione inviata </w:t>
      </w:r>
      <w:r>
        <w:rPr>
          <w:rFonts w:ascii="Titillium" w:hAnsi="Titillium" w:cs="Calibri"/>
          <w:i/>
          <w:sz w:val="18"/>
          <w:szCs w:val="18"/>
        </w:rPr>
        <w:t>[eventuale, mediante … specificare in che modo]</w:t>
      </w:r>
      <w:r>
        <w:rPr>
          <w:rFonts w:ascii="Titillium" w:hAnsi="Titillium" w:cs="Calibri"/>
          <w:sz w:val="18"/>
          <w:szCs w:val="18"/>
        </w:rPr>
        <w:t xml:space="preserve">. </w:t>
      </w:r>
    </w:p>
    <w:p w14:paraId="0E80404C" w14:textId="3C542CD9" w:rsidR="006842EE" w:rsidRDefault="008F2625">
      <w:pPr>
        <w:pStyle w:val="Default"/>
        <w:spacing w:before="60" w:after="60"/>
      </w:pPr>
      <w:r>
        <w:rPr>
          <w:rFonts w:ascii="Titillium" w:hAnsi="Titillium" w:cs="Calibri"/>
          <w:sz w:val="18"/>
          <w:szCs w:val="18"/>
        </w:rPr>
        <w:t xml:space="preserve">La </w:t>
      </w:r>
      <w:r w:rsidR="00CD7B79" w:rsidRPr="00F130EA">
        <w:rPr>
          <w:rFonts w:ascii="Titillium" w:hAnsi="Titillium" w:cs="Calibri"/>
          <w:color w:val="000000" w:themeColor="text1"/>
          <w:sz w:val="18"/>
          <w:szCs w:val="18"/>
        </w:rPr>
        <w:t>PAD</w:t>
      </w:r>
      <w:r w:rsidR="007807FC">
        <w:rPr>
          <w:rFonts w:ascii="Titillium" w:hAnsi="Titillium" w:cs="Calibri"/>
          <w:color w:val="000000" w:themeColor="text1"/>
          <w:sz w:val="18"/>
          <w:szCs w:val="18"/>
        </w:rPr>
        <w:t xml:space="preserve"> </w:t>
      </w:r>
      <w:r>
        <w:rPr>
          <w:rFonts w:ascii="Titillium" w:hAnsi="Titillium" w:cs="Calibri"/>
          <w:sz w:val="18"/>
          <w:szCs w:val="18"/>
        </w:rPr>
        <w:t xml:space="preserve">consente al concorrente di visualizzare l’avvenuta trasmissione della domanda. </w:t>
      </w:r>
    </w:p>
    <w:p w14:paraId="692F5521" w14:textId="77777777" w:rsidR="006842EE" w:rsidRDefault="008F2625">
      <w:pPr>
        <w:spacing w:before="60" w:after="60"/>
      </w:pPr>
      <w:r>
        <w:rPr>
          <w:rFonts w:ascii="Titillium" w:hAnsi="Titillium"/>
          <w:sz w:val="18"/>
          <w:szCs w:val="18"/>
        </w:rPr>
        <w:t xml:space="preserve">Il concorrente che intenda partecipare in forma associata (per esempio raggruppamento temporaneo di imprese/Consorzi, sia costituiti che costituendi) in sede di presentazione dell’offerta indica la forma di partecipazione e indica gli operatori economici riuniti o consorziati. </w:t>
      </w:r>
    </w:p>
    <w:p w14:paraId="57E1C567" w14:textId="756327FA" w:rsidR="006842EE" w:rsidRDefault="008F2625">
      <w:pPr>
        <w:spacing w:before="60" w:after="60"/>
      </w:pPr>
      <w:r w:rsidRPr="007E1E23">
        <w:rPr>
          <w:rFonts w:ascii="Titillium" w:hAnsi="Titillium"/>
          <w:b/>
          <w:iCs/>
          <w:sz w:val="18"/>
          <w:szCs w:val="18"/>
        </w:rPr>
        <w:t>[</w:t>
      </w:r>
      <w:r w:rsidRPr="00114399">
        <w:rPr>
          <w:rFonts w:ascii="Titillium" w:hAnsi="Titillium"/>
          <w:b/>
          <w:i/>
          <w:sz w:val="18"/>
          <w:szCs w:val="18"/>
        </w:rPr>
        <w:t>Facoltativo</w:t>
      </w:r>
      <w:r w:rsidRPr="007E1E23">
        <w:rPr>
          <w:rFonts w:ascii="Titillium" w:hAnsi="Titillium"/>
          <w:b/>
          <w:iCs/>
          <w:sz w:val="18"/>
          <w:szCs w:val="18"/>
        </w:rPr>
        <w:t>]</w:t>
      </w:r>
      <w:r>
        <w:rPr>
          <w:rFonts w:ascii="Titillium" w:hAnsi="Titillium"/>
          <w:sz w:val="18"/>
          <w:szCs w:val="18"/>
        </w:rPr>
        <w:t xml:space="preserve"> Le dichiarazioni </w:t>
      </w:r>
      <w:r>
        <w:rPr>
          <w:rFonts w:ascii="Titillium" w:hAnsi="Titillium"/>
          <w:i/>
          <w:sz w:val="18"/>
          <w:szCs w:val="18"/>
        </w:rPr>
        <w:t>... [specificare quali]</w:t>
      </w:r>
      <w:r>
        <w:rPr>
          <w:rFonts w:ascii="Titillium" w:hAnsi="Titillium"/>
          <w:sz w:val="18"/>
          <w:szCs w:val="18"/>
        </w:rPr>
        <w:t xml:space="preserve"> sono redatte sui modelli predisposti e messi a disposizione </w:t>
      </w:r>
      <w:r w:rsidR="0079236C">
        <w:rPr>
          <w:rFonts w:ascii="Titillium" w:hAnsi="Titillium"/>
          <w:sz w:val="18"/>
          <w:szCs w:val="18"/>
        </w:rPr>
        <w:t>nella PAD</w:t>
      </w:r>
      <w:r w:rsidR="00E73F77" w:rsidRPr="00F130EA">
        <w:rPr>
          <w:rFonts w:ascii="Titillium" w:hAnsi="Titillium"/>
          <w:color w:val="000000" w:themeColor="text1"/>
          <w:sz w:val="18"/>
          <w:szCs w:val="18"/>
        </w:rPr>
        <w:t xml:space="preserve"> </w:t>
      </w:r>
      <w:r>
        <w:rPr>
          <w:rFonts w:ascii="Titillium" w:hAnsi="Titillium"/>
          <w:i/>
          <w:sz w:val="18"/>
          <w:szCs w:val="18"/>
        </w:rPr>
        <w:t>[eventualmente indicare il link dove si può prendere visione delle dichiarazioni. In alternativa: indicare “</w:t>
      </w:r>
      <w:r>
        <w:rPr>
          <w:rFonts w:ascii="Titillium" w:hAnsi="Titillium"/>
          <w:sz w:val="18"/>
          <w:szCs w:val="18"/>
        </w:rPr>
        <w:t>sono compilate online”</w:t>
      </w:r>
      <w:r>
        <w:rPr>
          <w:rFonts w:ascii="Titillium" w:hAnsi="Titillium"/>
          <w:i/>
          <w:sz w:val="18"/>
          <w:szCs w:val="18"/>
        </w:rPr>
        <w:t>]</w:t>
      </w:r>
      <w:r>
        <w:rPr>
          <w:rFonts w:ascii="Titillium" w:hAnsi="Titillium"/>
          <w:sz w:val="18"/>
          <w:szCs w:val="18"/>
        </w:rPr>
        <w:t xml:space="preserve">. </w:t>
      </w:r>
    </w:p>
    <w:p w14:paraId="0B5EE846" w14:textId="77777777" w:rsidR="006842EE" w:rsidRDefault="008F2625">
      <w:pPr>
        <w:spacing w:before="60" w:after="60"/>
        <w:rPr>
          <w:rFonts w:ascii="Titillium" w:hAnsi="Titillium"/>
          <w:sz w:val="18"/>
          <w:szCs w:val="18"/>
        </w:rPr>
      </w:pPr>
      <w:r>
        <w:rPr>
          <w:rFonts w:ascii="Titillium" w:hAnsi="Titillium"/>
          <w:sz w:val="18"/>
          <w:szCs w:val="18"/>
        </w:rPr>
        <w:t xml:space="preserve">Tutta la documentazione da produrre deve essere in lingua italiana. </w:t>
      </w:r>
      <w:r>
        <w:rPr>
          <w:rFonts w:ascii="Titillium" w:hAnsi="Titillium"/>
          <w:b/>
          <w:i/>
          <w:sz w:val="18"/>
          <w:szCs w:val="18"/>
        </w:rPr>
        <w:t>[</w:t>
      </w:r>
      <w:r>
        <w:rPr>
          <w:rFonts w:ascii="Titillium" w:hAnsi="Titillium"/>
          <w:b/>
          <w:bCs/>
          <w:i/>
          <w:sz w:val="18"/>
          <w:szCs w:val="18"/>
        </w:rPr>
        <w:t>In alternativa</w:t>
      </w:r>
      <w:r>
        <w:rPr>
          <w:rFonts w:ascii="Titillium" w:hAnsi="Titillium"/>
          <w:i/>
          <w:sz w:val="18"/>
          <w:szCs w:val="18"/>
        </w:rPr>
        <w:t xml:space="preserve"> in caso di bilinguismo</w:t>
      </w:r>
      <w:r>
        <w:rPr>
          <w:rFonts w:ascii="Titillium" w:hAnsi="Titillium"/>
          <w:b/>
          <w:i/>
          <w:sz w:val="18"/>
          <w:szCs w:val="18"/>
        </w:rPr>
        <w:t>]</w:t>
      </w:r>
      <w:r>
        <w:rPr>
          <w:rFonts w:ascii="Titillium" w:hAnsi="Titillium"/>
          <w:sz w:val="18"/>
          <w:szCs w:val="18"/>
        </w:rPr>
        <w:t xml:space="preserve"> Tutta la documentazione da produrre deve essere in lingua italiana [</w:t>
      </w:r>
      <w:r>
        <w:rPr>
          <w:rFonts w:ascii="Titillium" w:hAnsi="Titillium"/>
          <w:i/>
          <w:sz w:val="18"/>
          <w:szCs w:val="18"/>
        </w:rPr>
        <w:t>e, o specificare</w:t>
      </w:r>
      <w:r>
        <w:rPr>
          <w:rFonts w:ascii="Titillium" w:hAnsi="Titillium"/>
          <w:sz w:val="18"/>
          <w:szCs w:val="18"/>
        </w:rPr>
        <w:t xml:space="preserve">] </w:t>
      </w:r>
      <w:r>
        <w:rPr>
          <w:rFonts w:ascii="Titillium" w:hAnsi="Titillium"/>
          <w:i/>
          <w:sz w:val="18"/>
          <w:szCs w:val="18"/>
        </w:rPr>
        <w:t>… [indicare l’altra lingua].</w:t>
      </w:r>
      <w:r>
        <w:rPr>
          <w:rFonts w:ascii="Titillium" w:hAnsi="Titillium"/>
          <w:sz w:val="18"/>
          <w:szCs w:val="18"/>
        </w:rPr>
        <w:t xml:space="preserve"> </w:t>
      </w:r>
    </w:p>
    <w:p w14:paraId="53016F77" w14:textId="7235CBFA" w:rsidR="006842EE" w:rsidRDefault="008F2625">
      <w:pPr>
        <w:spacing w:before="60" w:after="60"/>
      </w:pPr>
      <w:r>
        <w:rPr>
          <w:rFonts w:ascii="Titillium" w:hAnsi="Titillium"/>
          <w:b/>
          <w:i/>
          <w:sz w:val="18"/>
          <w:szCs w:val="18"/>
        </w:rPr>
        <w:t>[</w:t>
      </w:r>
      <w:r>
        <w:rPr>
          <w:rFonts w:ascii="Titillium" w:hAnsi="Titillium"/>
          <w:b/>
          <w:bCs/>
          <w:i/>
          <w:sz w:val="18"/>
          <w:szCs w:val="18"/>
        </w:rPr>
        <w:t>In alternativa</w:t>
      </w:r>
      <w:r>
        <w:rPr>
          <w:rFonts w:ascii="Titillium" w:hAnsi="Titillium"/>
          <w:b/>
          <w:i/>
          <w:sz w:val="18"/>
          <w:szCs w:val="18"/>
        </w:rPr>
        <w:t>]</w:t>
      </w:r>
      <w:r>
        <w:rPr>
          <w:rFonts w:ascii="Titillium" w:hAnsi="Titillium"/>
          <w:sz w:val="18"/>
          <w:szCs w:val="18"/>
        </w:rPr>
        <w:t xml:space="preserve"> La documentazione da produrre, se redatta in inglese, francese, spagnolo [</w:t>
      </w:r>
      <w:r>
        <w:rPr>
          <w:rFonts w:ascii="Titillium" w:hAnsi="Titillium"/>
          <w:i/>
          <w:iCs/>
          <w:sz w:val="18"/>
          <w:szCs w:val="18"/>
        </w:rPr>
        <w:t>specificare eventuali altre lingue conosciute dalla stazione appaltante]</w:t>
      </w:r>
      <w:r>
        <w:rPr>
          <w:rFonts w:ascii="Titillium" w:hAnsi="Titillium"/>
          <w:sz w:val="18"/>
          <w:szCs w:val="18"/>
        </w:rPr>
        <w:t xml:space="preserve"> può essere presentata senza bisogno di traduzione. In tutti gli altri casi i documenti devono essere corredati </w:t>
      </w:r>
      <w:r w:rsidRPr="0017251C">
        <w:rPr>
          <w:rFonts w:ascii="Titillium" w:hAnsi="Titillium"/>
          <w:sz w:val="18"/>
          <w:szCs w:val="18"/>
        </w:rPr>
        <w:t>da traduzione giurata in lingua italiana</w:t>
      </w:r>
      <w:r w:rsidR="000D3677" w:rsidRPr="0017251C">
        <w:t xml:space="preserve"> </w:t>
      </w:r>
      <w:r w:rsidR="000D3677" w:rsidRPr="0017251C">
        <w:rPr>
          <w:rFonts w:ascii="Titillium" w:hAnsi="Titillium"/>
          <w:sz w:val="18"/>
          <w:szCs w:val="18"/>
        </w:rPr>
        <w:t>o da traduzione in lingua italiana autenticata dall’autorità consolare italiana che ne attesta la conformità all’originale.</w:t>
      </w:r>
    </w:p>
    <w:p w14:paraId="0EAFA4CF" w14:textId="77777777" w:rsidR="006842EE" w:rsidRDefault="008F2625">
      <w:pPr>
        <w:spacing w:before="60" w:after="60"/>
      </w:pPr>
      <w:r>
        <w:rPr>
          <w:rFonts w:ascii="Titillium" w:hAnsi="Titillium" w:cs="Calibri"/>
          <w:sz w:val="18"/>
          <w:szCs w:val="18"/>
        </w:rPr>
        <w:t>L’offerta vincola il concorrente per</w:t>
      </w:r>
      <w:r>
        <w:rPr>
          <w:rFonts w:ascii="Titillium" w:hAnsi="Titillium" w:cs="Calibri"/>
          <w:i/>
          <w:sz w:val="18"/>
          <w:szCs w:val="18"/>
        </w:rPr>
        <w:t xml:space="preserve"> … [indicare il numero dei giorni pari ad almeno 180 giorni] </w:t>
      </w:r>
      <w:r>
        <w:rPr>
          <w:rFonts w:ascii="Titillium" w:hAnsi="Titillium" w:cs="Calibri"/>
          <w:sz w:val="18"/>
          <w:szCs w:val="18"/>
        </w:rPr>
        <w:t>dalla scadenza</w:t>
      </w:r>
      <w:r>
        <w:rPr>
          <w:rFonts w:ascii="Titillium" w:hAnsi="Titillium" w:cs="Calibri"/>
          <w:i/>
          <w:sz w:val="18"/>
          <w:szCs w:val="18"/>
        </w:rPr>
        <w:t xml:space="preserve"> </w:t>
      </w:r>
      <w:r>
        <w:rPr>
          <w:rFonts w:ascii="Titillium" w:hAnsi="Titillium" w:cs="Calibri"/>
          <w:sz w:val="18"/>
          <w:szCs w:val="18"/>
        </w:rPr>
        <w:t xml:space="preserve">del termine indicato per la presentazione dell’offerta. </w:t>
      </w:r>
    </w:p>
    <w:p w14:paraId="03525EA9" w14:textId="11671444" w:rsidR="006842EE" w:rsidRDefault="008F2625" w:rsidP="00AD512E">
      <w:pPr>
        <w:spacing w:before="60" w:after="60"/>
        <w:rPr>
          <w:rFonts w:ascii="Titillium" w:hAnsi="Titillium" w:cs="Calibri"/>
          <w:sz w:val="18"/>
          <w:szCs w:val="18"/>
        </w:rPr>
      </w:pPr>
      <w:r>
        <w:rPr>
          <w:rFonts w:ascii="Titillium" w:hAnsi="Titillium" w:cs="Calibri"/>
          <w:sz w:val="18"/>
          <w:szCs w:val="18"/>
        </w:rPr>
        <w:t xml:space="preserve">Nel caso in cui alla data di scadenza della validità delle offerte le operazioni di gara siano ancora in corso, sarà richiesto agli offerenti di confermare la validità dell’offerta sino alla data indicata </w:t>
      </w:r>
      <w:r w:rsidR="00AD512E">
        <w:rPr>
          <w:rFonts w:ascii="Titillium" w:hAnsi="Titillium" w:cs="Calibri"/>
          <w:sz w:val="18"/>
          <w:szCs w:val="18"/>
        </w:rPr>
        <w:t>[</w:t>
      </w:r>
      <w:r w:rsidR="00B20FC2" w:rsidRPr="00AD512E">
        <w:rPr>
          <w:rFonts w:ascii="Titillium" w:hAnsi="Titillium" w:cs="Calibri"/>
          <w:b/>
          <w:bCs/>
          <w:i/>
          <w:iCs/>
          <w:sz w:val="18"/>
          <w:szCs w:val="18"/>
        </w:rPr>
        <w:t>se richiesta</w:t>
      </w:r>
      <w:r w:rsidR="00AD512E" w:rsidRPr="00AD512E">
        <w:rPr>
          <w:rFonts w:ascii="Titillium" w:hAnsi="Titillium" w:cs="Calibri"/>
          <w:b/>
          <w:bCs/>
          <w:i/>
          <w:iCs/>
          <w:sz w:val="18"/>
          <w:szCs w:val="18"/>
        </w:rPr>
        <w:t xml:space="preserve"> la garanzia provvisoria</w:t>
      </w:r>
      <w:r w:rsidR="00AD512E">
        <w:rPr>
          <w:rFonts w:ascii="Titillium" w:hAnsi="Titillium" w:cs="Calibri"/>
          <w:sz w:val="18"/>
          <w:szCs w:val="18"/>
        </w:rPr>
        <w:t xml:space="preserve">] </w:t>
      </w:r>
      <w:r>
        <w:rPr>
          <w:rFonts w:ascii="Titillium" w:hAnsi="Titillium" w:cs="Calibri"/>
          <w:sz w:val="18"/>
          <w:szCs w:val="18"/>
        </w:rPr>
        <w:t xml:space="preserve">e di produrre un apposito documento attestante la validità della garanzia prestata in sede di gara fino alla medesima data. </w:t>
      </w:r>
    </w:p>
    <w:p w14:paraId="0A063B7C" w14:textId="77777777" w:rsidR="006842EE" w:rsidRDefault="008F2625">
      <w:pPr>
        <w:spacing w:before="60" w:after="60"/>
        <w:rPr>
          <w:rFonts w:ascii="Titillium" w:hAnsi="Titillium" w:cs="Calibri"/>
          <w:sz w:val="18"/>
          <w:szCs w:val="18"/>
        </w:rPr>
      </w:pPr>
      <w:r>
        <w:rPr>
          <w:rFonts w:ascii="Titillium" w:hAnsi="Titillium" w:cs="Calibri"/>
          <w:sz w:val="18"/>
          <w:szCs w:val="18"/>
        </w:rPr>
        <w:t>Il mancato riscontro alla richiesta della stazione appaltante entro il termine fissato da quest’ultima o comunque in tempo utile alla celere prosecuzione della procedura è considerato come rinuncia del concorrente alla partecipazione alla gara.</w:t>
      </w:r>
    </w:p>
    <w:p w14:paraId="2C24BF78" w14:textId="53083EDB" w:rsidR="006842EE" w:rsidRDefault="008F2625">
      <w:pPr>
        <w:spacing w:before="60" w:after="60"/>
        <w:rPr>
          <w:rFonts w:ascii="Titillium" w:hAnsi="Titillium" w:cs="Calibri"/>
          <w:sz w:val="18"/>
          <w:szCs w:val="18"/>
        </w:rPr>
      </w:pPr>
      <w:r>
        <w:rPr>
          <w:rFonts w:ascii="Titillium" w:hAnsi="Titillium" w:cs="Calibri"/>
          <w:sz w:val="18"/>
          <w:szCs w:val="18"/>
        </w:rPr>
        <w:t xml:space="preserve">Fino al giorno </w:t>
      </w:r>
      <w:r w:rsidRPr="00EE01A0">
        <w:rPr>
          <w:rFonts w:ascii="Titillium" w:hAnsi="Titillium" w:cs="Calibri"/>
          <w:sz w:val="18"/>
          <w:szCs w:val="18"/>
        </w:rPr>
        <w:t>fissato per l’apertura</w:t>
      </w:r>
      <w:r w:rsidR="00121FC2" w:rsidRPr="00EE01A0">
        <w:rPr>
          <w:rFonts w:ascii="Titillium" w:hAnsi="Titillium" w:cs="Calibri"/>
          <w:sz w:val="18"/>
          <w:szCs w:val="18"/>
        </w:rPr>
        <w:t xml:space="preserve"> delle offerte tecniche e delle offerte economiche</w:t>
      </w:r>
      <w:r>
        <w:rPr>
          <w:rFonts w:ascii="Titillium" w:hAnsi="Titillium" w:cs="Calibri"/>
          <w:sz w:val="18"/>
          <w:szCs w:val="18"/>
        </w:rPr>
        <w:t xml:space="preserve">, l’operatore economico può effettuare, tramite la </w:t>
      </w:r>
      <w:r w:rsidR="007807FC" w:rsidRPr="00F130EA">
        <w:rPr>
          <w:rFonts w:ascii="Titillium" w:hAnsi="Titillium" w:cs="Calibri"/>
          <w:color w:val="000000" w:themeColor="text1"/>
          <w:sz w:val="18"/>
          <w:szCs w:val="18"/>
        </w:rPr>
        <w:t>PAD</w:t>
      </w:r>
      <w:r w:rsidR="007807FC">
        <w:rPr>
          <w:rFonts w:ascii="Titillium" w:hAnsi="Titillium" w:cs="Calibri"/>
          <w:sz w:val="18"/>
          <w:szCs w:val="18"/>
        </w:rPr>
        <w:t>,</w:t>
      </w:r>
      <w:r>
        <w:rPr>
          <w:rFonts w:ascii="Titillium" w:hAnsi="Titillium" w:cs="Calibri"/>
          <w:sz w:val="18"/>
          <w:szCs w:val="18"/>
        </w:rPr>
        <w:t xml:space="preserve"> la richiesta di rettifica di un errore materiale contenuto </w:t>
      </w:r>
      <w:r w:rsidR="00FE5B0B">
        <w:rPr>
          <w:rFonts w:ascii="Titillium" w:hAnsi="Titillium" w:cs="Calibri"/>
          <w:sz w:val="18"/>
          <w:szCs w:val="18"/>
        </w:rPr>
        <w:t xml:space="preserve">rispettivamente </w:t>
      </w:r>
      <w:r>
        <w:rPr>
          <w:rFonts w:ascii="Titillium" w:hAnsi="Titillium" w:cs="Calibri"/>
          <w:sz w:val="18"/>
          <w:szCs w:val="18"/>
        </w:rPr>
        <w:t xml:space="preserve">nell’offerta tecnica o nell’offerta economica, di cui si sia avveduto dopo la scadenza del termine per la loro presentazione. A tal fine, richiede di potersi avvalere di tale facoltà.  </w:t>
      </w:r>
    </w:p>
    <w:p w14:paraId="18D22AA4" w14:textId="77777777" w:rsidR="006842EE" w:rsidRDefault="008F2625">
      <w:pPr>
        <w:spacing w:before="60" w:after="60"/>
        <w:rPr>
          <w:rFonts w:ascii="Titillium" w:hAnsi="Titillium" w:cs="Calibri"/>
          <w:sz w:val="18"/>
          <w:szCs w:val="18"/>
        </w:rPr>
      </w:pPr>
      <w:r>
        <w:rPr>
          <w:rFonts w:ascii="Titillium" w:hAnsi="Titillium" w:cs="Calibri"/>
          <w:sz w:val="18"/>
          <w:szCs w:val="18"/>
        </w:rPr>
        <w:t>A seguito della richiesta, sono comunicate all’operatore economico le modalità e i tempi con cui procedere all’indicazione degli elementi che consentono l’individuazione dell’errore materiale e la sua correzione. La rettifica è operata nel rispetto della segretezza dell’offerta e non può comportare la presentazione di una nuova offerta, né la sua modifica sostanziale.</w:t>
      </w:r>
    </w:p>
    <w:p w14:paraId="51BA87D1" w14:textId="77777777" w:rsidR="006842EE" w:rsidRDefault="008F2625">
      <w:pPr>
        <w:spacing w:before="60" w:after="60"/>
      </w:pPr>
      <w:r>
        <w:rPr>
          <w:rFonts w:ascii="Titillium" w:hAnsi="Titillium" w:cs="Calibri"/>
          <w:sz w:val="18"/>
          <w:szCs w:val="18"/>
        </w:rPr>
        <w:t>Se la rettifica è ritenuta non accoglibile perché sostanziale, è valutata la possibilità di dichiarare l’offerta inammissibile.</w:t>
      </w:r>
    </w:p>
    <w:p w14:paraId="7BF941E3" w14:textId="683A1712" w:rsidR="006842EE" w:rsidRPr="00A36142" w:rsidRDefault="008F2625" w:rsidP="00D26F03">
      <w:pPr>
        <w:pStyle w:val="Titolo2"/>
        <w:numPr>
          <w:ilvl w:val="0"/>
          <w:numId w:val="54"/>
        </w:numPr>
        <w:ind w:left="357" w:hanging="357"/>
        <w:rPr>
          <w:rFonts w:ascii="Titillium" w:hAnsi="Titillium"/>
          <w:caps w:val="0"/>
          <w:sz w:val="18"/>
          <w:szCs w:val="18"/>
        </w:rPr>
      </w:pPr>
      <w:bookmarkStart w:id="1704" w:name="_Ref129796272"/>
      <w:bookmarkStart w:id="1705" w:name="_Toc227921638"/>
      <w:r w:rsidRPr="00A36142">
        <w:rPr>
          <w:rFonts w:ascii="Titillium" w:hAnsi="Titillium"/>
          <w:caps w:val="0"/>
          <w:sz w:val="18"/>
          <w:szCs w:val="18"/>
        </w:rPr>
        <w:t>SOCCORSO ISTRUTTORIO</w:t>
      </w:r>
      <w:bookmarkEnd w:id="1704"/>
      <w:bookmarkEnd w:id="1705"/>
    </w:p>
    <w:p w14:paraId="2461ABA2" w14:textId="77777777" w:rsidR="006842EE" w:rsidRDefault="008F2625">
      <w:pPr>
        <w:spacing w:before="60" w:after="60"/>
        <w:rPr>
          <w:rFonts w:ascii="Titillium" w:hAnsi="Titillium"/>
          <w:sz w:val="18"/>
          <w:szCs w:val="18"/>
        </w:rPr>
      </w:pPr>
      <w:r>
        <w:rPr>
          <w:rFonts w:ascii="Titillium" w:hAnsi="Titillium"/>
          <w:sz w:val="18"/>
          <w:szCs w:val="18"/>
        </w:rPr>
        <w:t>Con la procedura di soccorso istruttorio di cui all’articolo 101 del Codice, possono essere sanate le carenze della documentazione trasmessa con la domanda di partecipazione ma non quelle della documentazione che compone l’offerta tecnica e l’offerta economica.</w:t>
      </w:r>
    </w:p>
    <w:p w14:paraId="4B9C29D4" w14:textId="77777777" w:rsidR="00036BAE" w:rsidRDefault="008F2625">
      <w:pPr>
        <w:spacing w:before="60" w:after="60"/>
        <w:rPr>
          <w:rFonts w:ascii="Titillium" w:hAnsi="Titillium"/>
          <w:sz w:val="18"/>
          <w:szCs w:val="18"/>
        </w:rPr>
      </w:pPr>
      <w:r>
        <w:rPr>
          <w:rFonts w:ascii="Titillium" w:hAnsi="Titillium"/>
          <w:sz w:val="18"/>
          <w:szCs w:val="18"/>
        </w:rPr>
        <w:t xml:space="preserve">Con la medesima procedura può essere sanata ogni omissione, inesattezza o irregolarità della domanda di partecipazione e di ogni altro documento richiesto per la partecipazione alla procedura di gara, con esclusione della documentazione che compone l’offerta tecnica e l’offerta economica. Non sono sanabili le omissioni, le inesattezze e irregolarità che rendono assolutamente incerta l’identità del concorrente. </w:t>
      </w:r>
    </w:p>
    <w:p w14:paraId="52023D98" w14:textId="3B15BA63" w:rsidR="006842EE" w:rsidRDefault="008F2625">
      <w:pPr>
        <w:spacing w:before="60" w:after="60"/>
        <w:rPr>
          <w:rFonts w:ascii="Titillium" w:hAnsi="Titillium"/>
          <w:sz w:val="18"/>
          <w:szCs w:val="18"/>
        </w:rPr>
      </w:pPr>
      <w:r>
        <w:rPr>
          <w:rFonts w:ascii="Titillium" w:hAnsi="Titillium"/>
          <w:sz w:val="18"/>
          <w:szCs w:val="18"/>
        </w:rPr>
        <w:t xml:space="preserve">A titolo esemplificativo, si chiarisce </w:t>
      </w:r>
      <w:r w:rsidRPr="003820EF">
        <w:rPr>
          <w:rFonts w:ascii="Titillium" w:hAnsi="Titillium"/>
          <w:sz w:val="18"/>
          <w:szCs w:val="18"/>
        </w:rPr>
        <w:t>che</w:t>
      </w:r>
      <w:r w:rsidR="00B65613" w:rsidRPr="003820EF">
        <w:rPr>
          <w:rFonts w:ascii="Titillium" w:hAnsi="Titillium"/>
          <w:sz w:val="18"/>
          <w:szCs w:val="18"/>
        </w:rPr>
        <w:t xml:space="preserve"> </w:t>
      </w:r>
      <w:r w:rsidR="00B65613" w:rsidRPr="00121FC2">
        <w:rPr>
          <w:rFonts w:ascii="Titillium" w:hAnsi="Titillium"/>
          <w:sz w:val="18"/>
          <w:szCs w:val="18"/>
        </w:rPr>
        <w:t>sono sanabili</w:t>
      </w:r>
      <w:r w:rsidRPr="00121FC2">
        <w:rPr>
          <w:rFonts w:ascii="Titillium" w:hAnsi="Titillium"/>
          <w:sz w:val="18"/>
          <w:szCs w:val="18"/>
        </w:rPr>
        <w:t>:</w:t>
      </w:r>
      <w:r w:rsidRPr="003820EF">
        <w:rPr>
          <w:rFonts w:ascii="Titillium" w:hAnsi="Titillium"/>
          <w:sz w:val="18"/>
          <w:szCs w:val="18"/>
        </w:rPr>
        <w:t xml:space="preserve"> </w:t>
      </w:r>
    </w:p>
    <w:p w14:paraId="0D793D5F" w14:textId="001346FC" w:rsidR="00264ED4" w:rsidRPr="00CA6602" w:rsidRDefault="00861AAA" w:rsidP="00D26F03">
      <w:pPr>
        <w:pStyle w:val="Paragrafoelenco"/>
        <w:numPr>
          <w:ilvl w:val="0"/>
          <w:numId w:val="37"/>
        </w:numPr>
        <w:spacing w:before="60" w:after="60"/>
        <w:rPr>
          <w:rFonts w:ascii="Titillium" w:hAnsi="Titillium"/>
          <w:sz w:val="18"/>
          <w:szCs w:val="18"/>
        </w:rPr>
      </w:pPr>
      <w:r w:rsidRPr="00CA6602">
        <w:rPr>
          <w:rFonts w:ascii="Titillium" w:hAnsi="Titillium"/>
          <w:sz w:val="18"/>
          <w:szCs w:val="18"/>
        </w:rPr>
        <w:t xml:space="preserve">Il mancato </w:t>
      </w:r>
      <w:r w:rsidR="00264ED4" w:rsidRPr="00CA6602">
        <w:rPr>
          <w:rFonts w:ascii="Titillium" w:hAnsi="Titillium"/>
          <w:sz w:val="18"/>
          <w:szCs w:val="18"/>
        </w:rPr>
        <w:t xml:space="preserve">o </w:t>
      </w:r>
      <w:r w:rsidRPr="00CA6602">
        <w:rPr>
          <w:rFonts w:ascii="Titillium" w:hAnsi="Titillium"/>
          <w:sz w:val="18"/>
          <w:szCs w:val="18"/>
        </w:rPr>
        <w:t xml:space="preserve">parziale </w:t>
      </w:r>
      <w:r w:rsidR="00264ED4" w:rsidRPr="00CA6602">
        <w:rPr>
          <w:rFonts w:ascii="Titillium" w:hAnsi="Titillium"/>
          <w:sz w:val="18"/>
          <w:szCs w:val="18"/>
        </w:rPr>
        <w:t xml:space="preserve">pagamento del contributo ANAC </w:t>
      </w:r>
      <w:r w:rsidRPr="00CA6602">
        <w:rPr>
          <w:rFonts w:ascii="Titillium" w:hAnsi="Titillium"/>
          <w:sz w:val="18"/>
          <w:szCs w:val="18"/>
        </w:rPr>
        <w:t xml:space="preserve">qualora non effettuato entro </w:t>
      </w:r>
      <w:r w:rsidR="00264ED4" w:rsidRPr="00CA6602">
        <w:rPr>
          <w:rFonts w:ascii="Titillium" w:hAnsi="Titillium"/>
          <w:sz w:val="18"/>
          <w:szCs w:val="18"/>
        </w:rPr>
        <w:t xml:space="preserve">la scadenza del termine di presentazione delle offerte </w:t>
      </w:r>
    </w:p>
    <w:p w14:paraId="74B507C9" w14:textId="2F286171" w:rsidR="00B65613" w:rsidRPr="00AD512E" w:rsidRDefault="00B65613" w:rsidP="00D26F03">
      <w:pPr>
        <w:pStyle w:val="Paragrafoelenco"/>
        <w:numPr>
          <w:ilvl w:val="0"/>
          <w:numId w:val="37"/>
        </w:numPr>
        <w:spacing w:before="60" w:after="60"/>
        <w:rPr>
          <w:rFonts w:ascii="Titillium" w:hAnsi="Titillium"/>
          <w:sz w:val="18"/>
          <w:szCs w:val="18"/>
        </w:rPr>
      </w:pPr>
      <w:r w:rsidRPr="00AD512E">
        <w:rPr>
          <w:rFonts w:ascii="Titillium" w:hAnsi="Titillium"/>
          <w:sz w:val="18"/>
          <w:szCs w:val="18"/>
        </w:rPr>
        <w:t xml:space="preserve">l’omessa o incompleta nonché irregolare presentazione delle dichiarazioni sul possesso dei requisiti di partecipazione e ogni altra mancanza, incompletezza o irregolarità della domanda;        </w:t>
      </w:r>
    </w:p>
    <w:p w14:paraId="646AF6DD" w14:textId="03E3F055" w:rsidR="007807FC" w:rsidRPr="00AD512E" w:rsidRDefault="00B65613" w:rsidP="00D26F03">
      <w:pPr>
        <w:pStyle w:val="Paragrafoelenco"/>
        <w:numPr>
          <w:ilvl w:val="0"/>
          <w:numId w:val="37"/>
        </w:numPr>
        <w:spacing w:before="60" w:after="60"/>
        <w:rPr>
          <w:rFonts w:ascii="Titillium" w:hAnsi="Titillium"/>
          <w:strike/>
          <w:color w:val="EE0000"/>
          <w:sz w:val="18"/>
          <w:szCs w:val="18"/>
        </w:rPr>
      </w:pPr>
      <w:r w:rsidRPr="00723C6C">
        <w:rPr>
          <w:rFonts w:ascii="Titillium" w:hAnsi="Titillium"/>
          <w:sz w:val="18"/>
          <w:szCs w:val="18"/>
        </w:rPr>
        <w:t>la mancata produzione del contratto di avvalimento,</w:t>
      </w:r>
      <w:r w:rsidR="00CB5EC2" w:rsidRPr="00723C6C">
        <w:rPr>
          <w:rFonts w:ascii="Titillium" w:hAnsi="Titillium"/>
          <w:sz w:val="18"/>
          <w:szCs w:val="18"/>
        </w:rPr>
        <w:t xml:space="preserve"> </w:t>
      </w:r>
      <w:r w:rsidR="00062649" w:rsidRPr="00723C6C">
        <w:rPr>
          <w:rFonts w:ascii="Titillium" w:hAnsi="Titillium"/>
          <w:sz w:val="18"/>
          <w:szCs w:val="18"/>
        </w:rPr>
        <w:t>anche premiale o misto,</w:t>
      </w:r>
      <w:r w:rsidRPr="00291754">
        <w:rPr>
          <w:rFonts w:ascii="Titillium" w:hAnsi="Titillium"/>
          <w:sz w:val="18"/>
          <w:szCs w:val="18"/>
        </w:rPr>
        <w:t xml:space="preserve"> </w:t>
      </w:r>
      <w:r w:rsidR="00AF467B" w:rsidRPr="00291754">
        <w:rPr>
          <w:rFonts w:ascii="Titillium" w:hAnsi="Titillium"/>
          <w:sz w:val="18"/>
          <w:szCs w:val="18"/>
        </w:rPr>
        <w:t>delle dichiarazioni di impegno dell’impresa ausiliaria,</w:t>
      </w:r>
      <w:r w:rsidR="00AF467B" w:rsidRPr="00AF467B">
        <w:rPr>
          <w:rFonts w:ascii="Titillium" w:hAnsi="Titillium"/>
          <w:sz w:val="18"/>
          <w:szCs w:val="18"/>
        </w:rPr>
        <w:t xml:space="preserve"> </w:t>
      </w:r>
      <w:r w:rsidRPr="00AD512E">
        <w:rPr>
          <w:rFonts w:ascii="Titillium" w:hAnsi="Titillium"/>
          <w:sz w:val="18"/>
          <w:szCs w:val="18"/>
        </w:rPr>
        <w:t>della garanzia provvisoria, del mandato collettivo speciale o dell’impegno a conferire mandato collettivo se i citati documenti sono preesistenti e comprovabili con data certa anteriore al termine di presentazione dell’offerta risultante dall’apposizione della marca temporale</w:t>
      </w:r>
      <w:r w:rsidR="007431A7" w:rsidRPr="00AD512E">
        <w:rPr>
          <w:rFonts w:ascii="Titillium" w:hAnsi="Titillium"/>
          <w:sz w:val="18"/>
          <w:szCs w:val="18"/>
        </w:rPr>
        <w:t xml:space="preserve"> </w:t>
      </w:r>
      <w:r w:rsidR="0079236C" w:rsidRPr="00AD512E">
        <w:rPr>
          <w:rFonts w:ascii="Titillium" w:hAnsi="Titillium"/>
          <w:sz w:val="18"/>
          <w:szCs w:val="18"/>
        </w:rPr>
        <w:t>o da</w:t>
      </w:r>
      <w:r w:rsidR="00F95AF8" w:rsidRPr="00AD512E">
        <w:rPr>
          <w:rFonts w:ascii="Titillium" w:hAnsi="Titillium"/>
          <w:sz w:val="18"/>
          <w:szCs w:val="18"/>
        </w:rPr>
        <w:t xml:space="preserve"> ulteriori riferimenti temporali equivalenti ai sensi della vigente normativa;  </w:t>
      </w:r>
    </w:p>
    <w:p w14:paraId="0EA8B365" w14:textId="1A4DBDB0" w:rsidR="00B51979" w:rsidRDefault="00036BAE" w:rsidP="00D26F03">
      <w:pPr>
        <w:pStyle w:val="Paragrafoelenco"/>
        <w:numPr>
          <w:ilvl w:val="0"/>
          <w:numId w:val="37"/>
        </w:numPr>
        <w:spacing w:before="60" w:after="60"/>
        <w:rPr>
          <w:rFonts w:ascii="Titillium" w:hAnsi="Titillium"/>
          <w:color w:val="000000" w:themeColor="text1"/>
          <w:sz w:val="18"/>
          <w:szCs w:val="18"/>
        </w:rPr>
      </w:pPr>
      <w:r w:rsidRPr="007807FC">
        <w:rPr>
          <w:rFonts w:ascii="Titillium" w:hAnsi="Titillium"/>
          <w:color w:val="000000" w:themeColor="text1"/>
          <w:sz w:val="18"/>
          <w:szCs w:val="18"/>
        </w:rPr>
        <w:t xml:space="preserve">qualora dovuta, </w:t>
      </w:r>
      <w:r w:rsidR="00B51979" w:rsidRPr="007807FC">
        <w:rPr>
          <w:rFonts w:ascii="Titillium" w:hAnsi="Titillium"/>
          <w:color w:val="000000" w:themeColor="text1"/>
          <w:sz w:val="18"/>
          <w:szCs w:val="18"/>
        </w:rPr>
        <w:t>il non corretto ammontare della garanzia provvisoria, purché la stessa risulti avere data certa antecedente alla scadenza del termine di presentazione delle offerte</w:t>
      </w:r>
      <w:r w:rsidR="0079236C">
        <w:rPr>
          <w:rFonts w:ascii="Titillium" w:hAnsi="Titillium"/>
          <w:color w:val="000000" w:themeColor="text1"/>
          <w:sz w:val="18"/>
          <w:szCs w:val="18"/>
        </w:rPr>
        <w:t>;</w:t>
      </w:r>
    </w:p>
    <w:p w14:paraId="370DBE2D" w14:textId="1044406B" w:rsidR="00291754" w:rsidRPr="000B0E59" w:rsidRDefault="00291754" w:rsidP="00D26F03">
      <w:pPr>
        <w:pStyle w:val="Paragrafoelenco"/>
        <w:numPr>
          <w:ilvl w:val="0"/>
          <w:numId w:val="37"/>
        </w:numPr>
        <w:rPr>
          <w:rFonts w:ascii="Titillium" w:hAnsi="Titillium"/>
          <w:color w:val="000000" w:themeColor="text1"/>
          <w:sz w:val="18"/>
          <w:szCs w:val="18"/>
        </w:rPr>
      </w:pPr>
      <w:r w:rsidRPr="000B0E59">
        <w:rPr>
          <w:rFonts w:ascii="Titillium" w:hAnsi="Titillium"/>
          <w:color w:val="000000" w:themeColor="text1"/>
          <w:sz w:val="18"/>
          <w:szCs w:val="18"/>
        </w:rPr>
        <w:t xml:space="preserve">qualora dovuta, </w:t>
      </w:r>
      <w:r w:rsidR="00825D18" w:rsidRPr="000B0E59">
        <w:rPr>
          <w:rFonts w:ascii="Titillium" w:hAnsi="Titillium"/>
          <w:color w:val="000000" w:themeColor="text1"/>
          <w:sz w:val="18"/>
          <w:szCs w:val="18"/>
        </w:rPr>
        <w:t>l’</w:t>
      </w:r>
      <w:r w:rsidRPr="000B0E59">
        <w:rPr>
          <w:rFonts w:ascii="Titillium" w:hAnsi="Titillium"/>
          <w:color w:val="000000" w:themeColor="text1"/>
          <w:sz w:val="18"/>
          <w:szCs w:val="18"/>
        </w:rPr>
        <w:t>i</w:t>
      </w:r>
      <w:r w:rsidR="00825D18" w:rsidRPr="000B0E59">
        <w:rPr>
          <w:rFonts w:ascii="Titillium" w:hAnsi="Titillium"/>
          <w:color w:val="000000" w:themeColor="text1"/>
          <w:sz w:val="18"/>
          <w:szCs w:val="18"/>
        </w:rPr>
        <w:t xml:space="preserve">ntestazione della </w:t>
      </w:r>
      <w:r w:rsidR="00EA25BA" w:rsidRPr="000B0E59">
        <w:rPr>
          <w:rFonts w:ascii="Titillium" w:hAnsi="Titillium"/>
          <w:color w:val="000000" w:themeColor="text1"/>
          <w:sz w:val="18"/>
          <w:szCs w:val="18"/>
        </w:rPr>
        <w:t>garanzia provvisoria</w:t>
      </w:r>
      <w:r w:rsidR="00825D18" w:rsidRPr="000B0E59">
        <w:rPr>
          <w:rFonts w:ascii="Titillium" w:hAnsi="Titillium"/>
          <w:color w:val="000000" w:themeColor="text1"/>
          <w:sz w:val="18"/>
          <w:szCs w:val="18"/>
        </w:rPr>
        <w:t xml:space="preserve"> </w:t>
      </w:r>
      <w:r w:rsidR="00BD22CA" w:rsidRPr="000B0E59">
        <w:rPr>
          <w:rFonts w:ascii="Titillium" w:hAnsi="Titillium"/>
          <w:color w:val="000000" w:themeColor="text1"/>
          <w:sz w:val="18"/>
          <w:szCs w:val="18"/>
        </w:rPr>
        <w:t>non a tutti i</w:t>
      </w:r>
      <w:r w:rsidR="00825D18" w:rsidRPr="000B0E59">
        <w:rPr>
          <w:rFonts w:ascii="Titillium" w:hAnsi="Titillium"/>
          <w:color w:val="000000" w:themeColor="text1"/>
          <w:sz w:val="18"/>
          <w:szCs w:val="18"/>
        </w:rPr>
        <w:t xml:space="preserve"> componenti del RT costituendo</w:t>
      </w:r>
      <w:r w:rsidRPr="000B0E59">
        <w:rPr>
          <w:rFonts w:ascii="Titillium" w:hAnsi="Titillium"/>
          <w:color w:val="000000" w:themeColor="text1"/>
          <w:sz w:val="18"/>
          <w:szCs w:val="18"/>
        </w:rPr>
        <w:t>;</w:t>
      </w:r>
    </w:p>
    <w:p w14:paraId="774CFE5E" w14:textId="2AD8922B" w:rsidR="00CB6426" w:rsidRPr="007807FC" w:rsidRDefault="00CB6426" w:rsidP="00D26F03">
      <w:pPr>
        <w:pStyle w:val="Paragrafoelenco"/>
        <w:numPr>
          <w:ilvl w:val="0"/>
          <w:numId w:val="37"/>
        </w:numPr>
        <w:spacing w:before="60" w:after="60"/>
        <w:rPr>
          <w:rFonts w:ascii="Titillium" w:hAnsi="Titillium"/>
          <w:color w:val="000000" w:themeColor="text1"/>
          <w:sz w:val="18"/>
          <w:szCs w:val="18"/>
        </w:rPr>
      </w:pPr>
      <w:r w:rsidRPr="000B0E59">
        <w:rPr>
          <w:rFonts w:ascii="Titillium" w:hAnsi="Titillium"/>
          <w:color w:val="000000" w:themeColor="text1"/>
          <w:sz w:val="18"/>
          <w:szCs w:val="18"/>
        </w:rPr>
        <w:t>qualora dovuta, l’erronea indicazione del beneficiario della garanzia provvisoria che non comporti la costituzione</w:t>
      </w:r>
      <w:r w:rsidRPr="007807FC">
        <w:rPr>
          <w:rFonts w:ascii="Titillium" w:hAnsi="Titillium"/>
          <w:color w:val="000000" w:themeColor="text1"/>
          <w:sz w:val="18"/>
          <w:szCs w:val="18"/>
        </w:rPr>
        <w:t xml:space="preserve"> di una nuova polizza</w:t>
      </w:r>
      <w:r w:rsidR="00AF467B">
        <w:rPr>
          <w:rFonts w:ascii="Titillium" w:hAnsi="Titillium"/>
          <w:color w:val="000000" w:themeColor="text1"/>
          <w:sz w:val="18"/>
          <w:szCs w:val="18"/>
        </w:rPr>
        <w:t>;</w:t>
      </w:r>
    </w:p>
    <w:p w14:paraId="351ADEE4" w14:textId="41851622" w:rsidR="00B65613" w:rsidRPr="007807FC" w:rsidRDefault="00B65613" w:rsidP="00D26F03">
      <w:pPr>
        <w:pStyle w:val="Paragrafoelenco"/>
        <w:numPr>
          <w:ilvl w:val="0"/>
          <w:numId w:val="37"/>
        </w:numPr>
        <w:spacing w:before="60" w:after="60"/>
        <w:rPr>
          <w:rFonts w:ascii="Titillium" w:hAnsi="Titillium"/>
          <w:sz w:val="18"/>
          <w:szCs w:val="18"/>
        </w:rPr>
      </w:pPr>
      <w:r w:rsidRPr="007807FC">
        <w:rPr>
          <w:rFonts w:ascii="Titillium" w:hAnsi="Titillium"/>
          <w:sz w:val="18"/>
          <w:szCs w:val="18"/>
        </w:rPr>
        <w:t xml:space="preserve">il difetto di sottoscrizione della domanda di partecipazione, delle dichiarazioni richieste e </w:t>
      </w:r>
      <w:r w:rsidR="007807FC" w:rsidRPr="007807FC">
        <w:rPr>
          <w:rFonts w:ascii="Titillium" w:hAnsi="Titillium"/>
          <w:sz w:val="18"/>
          <w:szCs w:val="18"/>
        </w:rPr>
        <w:t>dell’offerta a</w:t>
      </w:r>
      <w:r w:rsidRPr="007807FC">
        <w:rPr>
          <w:rFonts w:ascii="Titillium" w:hAnsi="Titillium"/>
          <w:sz w:val="18"/>
          <w:szCs w:val="18"/>
        </w:rPr>
        <w:t xml:space="preserve"> condizione che la mancanza della sottoscrizione non precluda la riconoscibilità della provenienza dell’offerta e non comporti un’incertezza assoluta sulla stessa;</w:t>
      </w:r>
    </w:p>
    <w:p w14:paraId="4F993393" w14:textId="516C583B" w:rsidR="000D3677" w:rsidRPr="00CA6602" w:rsidRDefault="005B7C05" w:rsidP="00D26F03">
      <w:pPr>
        <w:pStyle w:val="Paragrafoelenco"/>
        <w:numPr>
          <w:ilvl w:val="0"/>
          <w:numId w:val="37"/>
        </w:numPr>
        <w:rPr>
          <w:rFonts w:ascii="Titillium" w:hAnsi="Titillium"/>
          <w:sz w:val="18"/>
          <w:szCs w:val="18"/>
        </w:rPr>
      </w:pPr>
      <w:r w:rsidRPr="00CA6602">
        <w:rPr>
          <w:rFonts w:ascii="Titillium" w:hAnsi="Titillium"/>
          <w:sz w:val="18"/>
          <w:szCs w:val="18"/>
        </w:rPr>
        <w:t>la mancata, incompleta o irregolare traduzione</w:t>
      </w:r>
      <w:r w:rsidR="000D3677" w:rsidRPr="00CA6602">
        <w:t xml:space="preserve"> </w:t>
      </w:r>
      <w:r w:rsidR="000D3677" w:rsidRPr="00CA6602">
        <w:rPr>
          <w:rFonts w:ascii="Titillium" w:hAnsi="Titillium"/>
          <w:sz w:val="18"/>
          <w:szCs w:val="18"/>
        </w:rPr>
        <w:t>in italiano della documentazione di gara, quando richiesta ai sensi del paragrafo 13.1.</w:t>
      </w:r>
    </w:p>
    <w:p w14:paraId="0023CAB8" w14:textId="435C761A" w:rsidR="005B7C05" w:rsidRPr="00AF467B" w:rsidRDefault="005B7C05" w:rsidP="00AF467B">
      <w:pPr>
        <w:spacing w:before="60" w:after="60"/>
        <w:ind w:left="360"/>
        <w:rPr>
          <w:rFonts w:ascii="Titillium" w:hAnsi="Titillium"/>
          <w:sz w:val="18"/>
          <w:szCs w:val="18"/>
        </w:rPr>
      </w:pPr>
    </w:p>
    <w:p w14:paraId="3F5AA455" w14:textId="7753F90A" w:rsidR="00B65613" w:rsidRDefault="00B65613" w:rsidP="00036BAE">
      <w:pPr>
        <w:spacing w:before="60" w:after="60"/>
        <w:rPr>
          <w:rFonts w:ascii="Titillium" w:hAnsi="Titillium"/>
          <w:sz w:val="18"/>
          <w:szCs w:val="18"/>
        </w:rPr>
      </w:pPr>
      <w:r w:rsidRPr="003820EF">
        <w:rPr>
          <w:rFonts w:ascii="Titillium" w:hAnsi="Titillium"/>
          <w:sz w:val="18"/>
          <w:szCs w:val="18"/>
        </w:rPr>
        <w:t xml:space="preserve">Non sono sanabili: </w:t>
      </w:r>
    </w:p>
    <w:p w14:paraId="5CE560B6" w14:textId="3903875D" w:rsidR="00B65613" w:rsidRPr="00DF1C17" w:rsidRDefault="00B65613" w:rsidP="00D26F03">
      <w:pPr>
        <w:pStyle w:val="Paragrafoelenco"/>
        <w:numPr>
          <w:ilvl w:val="0"/>
          <w:numId w:val="37"/>
        </w:numPr>
        <w:spacing w:before="60" w:after="60"/>
        <w:rPr>
          <w:rFonts w:ascii="Titillium" w:hAnsi="Titillium"/>
          <w:sz w:val="18"/>
          <w:szCs w:val="18"/>
        </w:rPr>
      </w:pPr>
      <w:r w:rsidRPr="00DF1C17">
        <w:rPr>
          <w:rFonts w:ascii="Titillium" w:hAnsi="Titillium"/>
          <w:sz w:val="18"/>
          <w:szCs w:val="18"/>
        </w:rPr>
        <w:t>il mancato possesso dei prescritti requisiti di partecipazione;</w:t>
      </w:r>
    </w:p>
    <w:p w14:paraId="2C3B5AE4" w14:textId="2DF432EE" w:rsidR="00B65613" w:rsidRPr="00DF1C17" w:rsidRDefault="00B65613" w:rsidP="00D26F03">
      <w:pPr>
        <w:pStyle w:val="Paragrafoelenco"/>
        <w:numPr>
          <w:ilvl w:val="0"/>
          <w:numId w:val="37"/>
        </w:numPr>
        <w:spacing w:before="60" w:after="60"/>
        <w:rPr>
          <w:rFonts w:ascii="Titillium" w:hAnsi="Titillium"/>
          <w:sz w:val="18"/>
          <w:szCs w:val="18"/>
        </w:rPr>
      </w:pPr>
      <w:r w:rsidRPr="00DF1C17">
        <w:rPr>
          <w:rFonts w:ascii="Titillium" w:hAnsi="Titillium"/>
          <w:sz w:val="18"/>
          <w:szCs w:val="18"/>
        </w:rPr>
        <w:t>le false dichiarazioni circa il possesso dei prescritti requisiti di partecipazione;</w:t>
      </w:r>
    </w:p>
    <w:p w14:paraId="2433C540" w14:textId="1DC2D868" w:rsidR="006D05C1" w:rsidRDefault="00E75A69" w:rsidP="00D26F03">
      <w:pPr>
        <w:pStyle w:val="Paragrafoelenco"/>
        <w:numPr>
          <w:ilvl w:val="0"/>
          <w:numId w:val="37"/>
        </w:numPr>
        <w:spacing w:before="60" w:after="60"/>
        <w:rPr>
          <w:rFonts w:ascii="Titillium" w:hAnsi="Titillium"/>
          <w:sz w:val="18"/>
          <w:szCs w:val="18"/>
        </w:rPr>
      </w:pPr>
      <w:r w:rsidRPr="004411C5">
        <w:rPr>
          <w:rFonts w:ascii="Titillium" w:hAnsi="Titillium"/>
          <w:sz w:val="18"/>
          <w:szCs w:val="18"/>
        </w:rPr>
        <w:t>la mancata indicazione</w:t>
      </w:r>
      <w:r w:rsidR="00E73F77" w:rsidRPr="004411C5">
        <w:rPr>
          <w:rFonts w:ascii="Titillium" w:hAnsi="Titillium"/>
          <w:sz w:val="18"/>
          <w:szCs w:val="18"/>
        </w:rPr>
        <w:t xml:space="preserve"> nel contratto di avvalimento</w:t>
      </w:r>
      <w:r w:rsidRPr="004411C5">
        <w:rPr>
          <w:rFonts w:ascii="Titillium" w:hAnsi="Titillium"/>
          <w:sz w:val="18"/>
          <w:szCs w:val="18"/>
        </w:rPr>
        <w:t xml:space="preserve"> delle risorse messe a disposizione dell’ausiliario, in quanto causa di nullità del contratto di avvalimento</w:t>
      </w:r>
      <w:r w:rsidR="006D05C1" w:rsidRPr="004411C5">
        <w:rPr>
          <w:rFonts w:ascii="Titillium" w:hAnsi="Titillium"/>
          <w:sz w:val="18"/>
          <w:szCs w:val="18"/>
        </w:rPr>
        <w:t>;</w:t>
      </w:r>
    </w:p>
    <w:p w14:paraId="7DD488DC" w14:textId="2E9BF0EE" w:rsidR="00034390" w:rsidRPr="000B0E59" w:rsidRDefault="00034390" w:rsidP="00D26F03">
      <w:pPr>
        <w:pStyle w:val="Paragrafoelenco"/>
        <w:numPr>
          <w:ilvl w:val="0"/>
          <w:numId w:val="37"/>
        </w:numPr>
        <w:spacing w:before="60" w:after="60"/>
        <w:rPr>
          <w:rFonts w:ascii="Titillium" w:hAnsi="Titillium"/>
          <w:sz w:val="18"/>
          <w:szCs w:val="18"/>
        </w:rPr>
      </w:pPr>
      <w:r w:rsidRPr="000B0E59">
        <w:rPr>
          <w:rFonts w:ascii="Titillium" w:hAnsi="Titillium"/>
          <w:sz w:val="18"/>
          <w:szCs w:val="18"/>
        </w:rPr>
        <w:t>la mancata espressa dichiarazione di subappalto necessario</w:t>
      </w:r>
      <w:r w:rsidRPr="000B0E59">
        <w:t xml:space="preserve"> </w:t>
      </w:r>
      <w:r w:rsidRPr="000B0E59">
        <w:rPr>
          <w:rFonts w:ascii="Titillium" w:hAnsi="Titillium"/>
          <w:sz w:val="18"/>
          <w:szCs w:val="18"/>
        </w:rPr>
        <w:t>ad un professionista in possesso dei requisiti di cui al paragrafo 6.1 della relazione geologica o di altra prestazione che richiede comunque la predisposizione e la sottoscrizione di un elaborato specialistico quale anche la progettazione antincendio o acustica;</w:t>
      </w:r>
    </w:p>
    <w:p w14:paraId="423965D2" w14:textId="587D542F" w:rsidR="00EE21FD" w:rsidRPr="0079416F" w:rsidRDefault="00036BAE" w:rsidP="00D26F03">
      <w:pPr>
        <w:pStyle w:val="Paragrafoelenco"/>
        <w:numPr>
          <w:ilvl w:val="0"/>
          <w:numId w:val="37"/>
        </w:numPr>
        <w:spacing w:before="60" w:after="60"/>
        <w:rPr>
          <w:rFonts w:ascii="Titillium" w:hAnsi="Titillium"/>
          <w:sz w:val="18"/>
          <w:szCs w:val="18"/>
        </w:rPr>
      </w:pPr>
      <w:r w:rsidRPr="0079416F">
        <w:rPr>
          <w:rFonts w:ascii="Titillium" w:hAnsi="Titillium"/>
          <w:sz w:val="18"/>
          <w:szCs w:val="18"/>
        </w:rPr>
        <w:t xml:space="preserve">qualora dovuta, </w:t>
      </w:r>
      <w:r w:rsidR="00EE21FD" w:rsidRPr="0079416F">
        <w:rPr>
          <w:rFonts w:ascii="Titillium" w:hAnsi="Titillium"/>
          <w:sz w:val="18"/>
          <w:szCs w:val="18"/>
        </w:rPr>
        <w:t xml:space="preserve">la </w:t>
      </w:r>
      <w:r w:rsidR="007D2F3A" w:rsidRPr="0079416F">
        <w:rPr>
          <w:rFonts w:ascii="Titillium" w:hAnsi="Titillium"/>
          <w:sz w:val="18"/>
          <w:szCs w:val="18"/>
        </w:rPr>
        <w:t xml:space="preserve">sottoscrizione </w:t>
      </w:r>
      <w:r w:rsidR="00395B26" w:rsidRPr="0079416F">
        <w:rPr>
          <w:rFonts w:ascii="Titillium" w:hAnsi="Titillium"/>
          <w:sz w:val="18"/>
          <w:szCs w:val="18"/>
        </w:rPr>
        <w:t>d</w:t>
      </w:r>
      <w:r w:rsidR="00EE21FD" w:rsidRPr="0079416F">
        <w:rPr>
          <w:rFonts w:ascii="Titillium" w:hAnsi="Titillium"/>
          <w:sz w:val="18"/>
          <w:szCs w:val="18"/>
        </w:rPr>
        <w:t xml:space="preserve">ella garanzia provvisoria da parte di un soggetto non legittimato a rilasciare la garanzia o non autorizzato ad impegnare il garante. </w:t>
      </w:r>
    </w:p>
    <w:p w14:paraId="2E7B0C35" w14:textId="53C05E88" w:rsidR="006842EE" w:rsidRPr="007E1E23" w:rsidRDefault="008F2625" w:rsidP="00DF1C17">
      <w:pPr>
        <w:spacing w:before="60" w:after="120"/>
        <w:rPr>
          <w:rFonts w:ascii="Titillium" w:hAnsi="Titillium" w:cs="Arial"/>
          <w:b/>
          <w:bCs/>
          <w:iCs/>
          <w:color w:val="000000" w:themeColor="text1"/>
          <w:sz w:val="18"/>
          <w:szCs w:val="18"/>
          <w:highlight w:val="green"/>
        </w:rPr>
      </w:pPr>
      <w:r w:rsidRPr="007E1E23">
        <w:rPr>
          <w:rFonts w:ascii="Titillium" w:hAnsi="Titillium" w:cs="Arial"/>
          <w:b/>
          <w:iCs/>
          <w:color w:val="000000" w:themeColor="text1"/>
          <w:sz w:val="18"/>
          <w:szCs w:val="18"/>
        </w:rPr>
        <w:t>[</w:t>
      </w:r>
      <w:r w:rsidR="00CB6426" w:rsidRPr="00114399">
        <w:rPr>
          <w:rFonts w:ascii="Titillium" w:hAnsi="Titillium" w:cs="Arial"/>
          <w:b/>
          <w:i/>
          <w:color w:val="000000" w:themeColor="text1"/>
          <w:sz w:val="18"/>
          <w:szCs w:val="18"/>
        </w:rPr>
        <w:t xml:space="preserve">Per le sole </w:t>
      </w:r>
      <w:r w:rsidRPr="00114399">
        <w:rPr>
          <w:rFonts w:ascii="Titillium" w:hAnsi="Titillium" w:cs="Arial"/>
          <w:b/>
          <w:bCs/>
          <w:i/>
          <w:color w:val="000000" w:themeColor="text1"/>
          <w:sz w:val="18"/>
          <w:szCs w:val="18"/>
        </w:rPr>
        <w:t xml:space="preserve">procedure afferenti agli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w:t>
      </w:r>
      <w:r w:rsidRPr="00114399">
        <w:rPr>
          <w:rFonts w:ascii="Titillium" w:hAnsi="Titillium" w:cs="Courier New"/>
          <w:b/>
          <w:i/>
          <w:color w:val="000000" w:themeColor="text1"/>
          <w:sz w:val="18"/>
          <w:szCs w:val="18"/>
        </w:rPr>
        <w:t>decreto legge 31 maggio 2021, n. 77, convertito, con modificazioni, dalla legge 29 luglio 2021, n. 108</w:t>
      </w:r>
      <w:r w:rsidRPr="007E1E23">
        <w:rPr>
          <w:rFonts w:ascii="Titillium" w:hAnsi="Titillium" w:cs="Arial"/>
          <w:b/>
          <w:bCs/>
          <w:iCs/>
          <w:color w:val="000000" w:themeColor="text1"/>
          <w:sz w:val="18"/>
          <w:szCs w:val="18"/>
        </w:rPr>
        <w:t xml:space="preserve">] </w:t>
      </w:r>
    </w:p>
    <w:p w14:paraId="28F00E08" w14:textId="054792AC" w:rsidR="00FE5B0B" w:rsidRPr="00DF1C17" w:rsidRDefault="00FE5B0B" w:rsidP="00DF1C17">
      <w:pPr>
        <w:spacing w:before="60" w:after="60"/>
        <w:rPr>
          <w:rFonts w:ascii="Titillium" w:hAnsi="Titillium"/>
          <w:sz w:val="18"/>
          <w:szCs w:val="18"/>
        </w:rPr>
      </w:pPr>
      <w:r w:rsidRPr="00DF1C17">
        <w:rPr>
          <w:rFonts w:ascii="Titillium" w:hAnsi="Titillium"/>
          <w:sz w:val="18"/>
          <w:szCs w:val="18"/>
        </w:rPr>
        <w:t>Inoltre, si rappresenta che:</w:t>
      </w:r>
    </w:p>
    <w:p w14:paraId="41901C14" w14:textId="269E7B61" w:rsidR="006842EE" w:rsidRPr="00197789" w:rsidRDefault="008F2625" w:rsidP="00D26F03">
      <w:pPr>
        <w:pStyle w:val="Paragrafoelenco"/>
        <w:numPr>
          <w:ilvl w:val="0"/>
          <w:numId w:val="37"/>
        </w:numPr>
        <w:spacing w:before="60" w:after="60"/>
        <w:rPr>
          <w:rFonts w:ascii="Titillium" w:hAnsi="Titillium"/>
          <w:sz w:val="18"/>
          <w:szCs w:val="18"/>
        </w:rPr>
      </w:pPr>
      <w:r w:rsidRPr="00DF1C17">
        <w:rPr>
          <w:rFonts w:ascii="Titillium" w:hAnsi="Titillium"/>
          <w:sz w:val="18"/>
          <w:szCs w:val="18"/>
        </w:rPr>
        <w:t>sono sanabili l’omessa dichiarazione sull’aver assolto agli obblighi di cui alla legge 68/1999 e, per i concorrenti che occupano oltre cinquanta dipendenti, l’omessa presentazione di copia dell’ultimo rapporto periodico sulla situazione del personale maschile e femminile, redatto ai sensi dell’articolo 46 decreto legislativo n. 198 del 2006, e la trasmissione dello stesso alle rappresentanze sindacali e ai consiglieri regionali di parità</w:t>
      </w:r>
      <w:r w:rsidRPr="00197789">
        <w:rPr>
          <w:rFonts w:ascii="Titillium" w:hAnsi="Titillium"/>
          <w:sz w:val="18"/>
          <w:szCs w:val="18"/>
        </w:rPr>
        <w:t xml:space="preserve">, purché redatto e trasmesso in data anteriore al termine per la presentazione delle offerte; </w:t>
      </w:r>
    </w:p>
    <w:p w14:paraId="53D82025" w14:textId="17F380F0" w:rsidR="00EE0393" w:rsidRPr="00DF1C17" w:rsidRDefault="008F2625" w:rsidP="00D26F03">
      <w:pPr>
        <w:pStyle w:val="Paragrafoelenco"/>
        <w:numPr>
          <w:ilvl w:val="0"/>
          <w:numId w:val="37"/>
        </w:numPr>
        <w:spacing w:before="60" w:after="60"/>
        <w:rPr>
          <w:rFonts w:ascii="Titillium" w:hAnsi="Titillium"/>
          <w:sz w:val="18"/>
          <w:szCs w:val="18"/>
        </w:rPr>
      </w:pPr>
      <w:r w:rsidRPr="00DF1C17">
        <w:rPr>
          <w:rFonts w:ascii="Titillium" w:hAnsi="Titillium"/>
          <w:sz w:val="18"/>
          <w:szCs w:val="18"/>
        </w:rPr>
        <w:t>non è sanabile mediante soccorso istruttorio l’omesso impegno ad assicurare, in caso di aggiudicazione del contratto, l’assunzione di una quota di occupazione giovanile e femminile</w:t>
      </w:r>
      <w:r w:rsidR="0004069E">
        <w:rPr>
          <w:rFonts w:ascii="Titillium" w:hAnsi="Titillium"/>
          <w:sz w:val="18"/>
          <w:szCs w:val="18"/>
        </w:rPr>
        <w:t xml:space="preserve"> di cui </w:t>
      </w:r>
      <w:r w:rsidR="00CA7A04">
        <w:rPr>
          <w:rFonts w:ascii="Titillium" w:hAnsi="Titillium"/>
          <w:sz w:val="18"/>
          <w:szCs w:val="18"/>
        </w:rPr>
        <w:t>al paragrafo</w:t>
      </w:r>
      <w:r w:rsidR="0004069E">
        <w:rPr>
          <w:rFonts w:ascii="Titillium" w:hAnsi="Titillium"/>
          <w:sz w:val="18"/>
          <w:szCs w:val="18"/>
        </w:rPr>
        <w:t xml:space="preserve"> 9 del presente Disciplinare</w:t>
      </w:r>
      <w:r w:rsidR="00783DCE">
        <w:rPr>
          <w:rFonts w:ascii="Titillium" w:hAnsi="Titillium"/>
          <w:sz w:val="18"/>
          <w:szCs w:val="18"/>
        </w:rPr>
        <w:t>.</w:t>
      </w:r>
    </w:p>
    <w:p w14:paraId="0D5928CB" w14:textId="6032F721" w:rsidR="006842EE" w:rsidRDefault="008F2625" w:rsidP="00B446E1">
      <w:pPr>
        <w:spacing w:before="60" w:after="60"/>
      </w:pPr>
      <w:bookmarkStart w:id="1706" w:name="_Hlk219465792"/>
      <w:r w:rsidRPr="00DF1C17">
        <w:rPr>
          <w:rFonts w:ascii="Titillium" w:hAnsi="Titillium"/>
          <w:sz w:val="18"/>
          <w:szCs w:val="18"/>
        </w:rPr>
        <w:t xml:space="preserve">Ai fini del soccorso istruttorio è assegnato al concorrente un termine non inferiore a cinque e non superiore a dieci giorni affinché siano rese, integrate o regolarizzate </w:t>
      </w:r>
      <w:r w:rsidRPr="004A273B">
        <w:rPr>
          <w:rFonts w:ascii="Titillium" w:hAnsi="Titillium"/>
          <w:sz w:val="18"/>
          <w:szCs w:val="18"/>
        </w:rPr>
        <w:t xml:space="preserve">le dichiarazioni </w:t>
      </w:r>
      <w:r w:rsidR="000772B9" w:rsidRPr="004A273B">
        <w:rPr>
          <w:rFonts w:ascii="Titillium" w:hAnsi="Titillium"/>
          <w:sz w:val="18"/>
          <w:szCs w:val="18"/>
        </w:rPr>
        <w:t xml:space="preserve">necessarie </w:t>
      </w:r>
      <w:r w:rsidR="000772B9">
        <w:rPr>
          <w:rFonts w:ascii="Titillium" w:hAnsi="Titillium"/>
          <w:sz w:val="18"/>
          <w:szCs w:val="18"/>
        </w:rPr>
        <w:t>indicando</w:t>
      </w:r>
      <w:r w:rsidRPr="00DF1C17">
        <w:rPr>
          <w:rFonts w:ascii="Titillium" w:hAnsi="Titillium"/>
          <w:sz w:val="18"/>
          <w:szCs w:val="18"/>
        </w:rPr>
        <w:t xml:space="preserve"> il contenuto e i soggetti che le devono rendere nonché la sezione della </w:t>
      </w:r>
      <w:r w:rsidR="00DF1C17" w:rsidRPr="00DF1C17">
        <w:rPr>
          <w:rFonts w:ascii="Titillium" w:hAnsi="Titillium"/>
          <w:color w:val="000000" w:themeColor="text1"/>
          <w:sz w:val="18"/>
          <w:szCs w:val="18"/>
        </w:rPr>
        <w:t xml:space="preserve">PAD </w:t>
      </w:r>
      <w:r w:rsidR="00DF1C17" w:rsidRPr="00DF1C17">
        <w:rPr>
          <w:rFonts w:ascii="Titillium" w:hAnsi="Titillium"/>
          <w:sz w:val="18"/>
          <w:szCs w:val="18"/>
        </w:rPr>
        <w:t>dove</w:t>
      </w:r>
      <w:r w:rsidRPr="00DF1C17">
        <w:rPr>
          <w:rFonts w:ascii="Titillium" w:hAnsi="Titillium"/>
          <w:sz w:val="18"/>
          <w:szCs w:val="18"/>
        </w:rPr>
        <w:t xml:space="preserve"> deve essere inserita la documentazione richiesta</w:t>
      </w:r>
      <w:r w:rsidR="00B446E1">
        <w:rPr>
          <w:rFonts w:ascii="Titillium" w:hAnsi="Titillium"/>
          <w:sz w:val="18"/>
          <w:szCs w:val="18"/>
        </w:rPr>
        <w:t>.</w:t>
      </w:r>
    </w:p>
    <w:p w14:paraId="307EB143" w14:textId="533C731D" w:rsidR="006842EE" w:rsidRDefault="008F2625">
      <w:pPr>
        <w:spacing w:before="60" w:after="60"/>
      </w:pPr>
      <w:r w:rsidRPr="004A273B">
        <w:rPr>
          <w:rFonts w:ascii="Titillium" w:hAnsi="Titillium"/>
          <w:sz w:val="18"/>
          <w:szCs w:val="18"/>
        </w:rPr>
        <w:t>In caso di inutile decorso del termine,</w:t>
      </w:r>
      <w:r w:rsidR="00CB5EC2">
        <w:rPr>
          <w:rFonts w:ascii="Titillium" w:hAnsi="Titillium"/>
          <w:sz w:val="18"/>
          <w:szCs w:val="18"/>
        </w:rPr>
        <w:t xml:space="preserve"> se </w:t>
      </w:r>
      <w:r w:rsidR="00CB5EC2" w:rsidRPr="00197789">
        <w:rPr>
          <w:rFonts w:ascii="Titillium" w:hAnsi="Titillium"/>
          <w:sz w:val="18"/>
          <w:szCs w:val="18"/>
        </w:rPr>
        <w:t xml:space="preserve">la mancata allegazione, integrazione o regolarizzazione riguarda </w:t>
      </w:r>
      <w:r w:rsidR="006B0367" w:rsidRPr="00197789">
        <w:rPr>
          <w:rFonts w:ascii="Titillium" w:hAnsi="Titillium"/>
          <w:sz w:val="18"/>
          <w:szCs w:val="18"/>
        </w:rPr>
        <w:t xml:space="preserve">la </w:t>
      </w:r>
      <w:r w:rsidR="00CB5EC2" w:rsidRPr="00197789">
        <w:rPr>
          <w:rFonts w:ascii="Titillium" w:hAnsi="Titillium"/>
          <w:sz w:val="18"/>
          <w:szCs w:val="18"/>
        </w:rPr>
        <w:t xml:space="preserve">domanda di </w:t>
      </w:r>
      <w:r w:rsidR="00CB5EC2" w:rsidRPr="000B0E59">
        <w:rPr>
          <w:rFonts w:ascii="Titillium" w:hAnsi="Titillium"/>
          <w:sz w:val="18"/>
          <w:szCs w:val="18"/>
        </w:rPr>
        <w:t xml:space="preserve">partecipazione, </w:t>
      </w:r>
      <w:r w:rsidR="006B0367" w:rsidRPr="000B0E59">
        <w:rPr>
          <w:rFonts w:ascii="Titillium" w:hAnsi="Titillium"/>
          <w:sz w:val="18"/>
          <w:szCs w:val="18"/>
        </w:rPr>
        <w:t>il</w:t>
      </w:r>
      <w:r w:rsidR="00CB5EC2" w:rsidRPr="000B0E59">
        <w:rPr>
          <w:rFonts w:ascii="Titillium" w:hAnsi="Titillium"/>
          <w:sz w:val="18"/>
          <w:szCs w:val="18"/>
        </w:rPr>
        <w:t xml:space="preserve"> DGUE o ogni altro documento richiesto necessariamente ai fini della partecipazione alla gara,</w:t>
      </w:r>
      <w:r w:rsidRPr="000B0E59">
        <w:rPr>
          <w:rFonts w:ascii="Titillium" w:hAnsi="Titillium"/>
          <w:sz w:val="18"/>
          <w:szCs w:val="18"/>
        </w:rPr>
        <w:t xml:space="preserve"> la stazione appaltante procede all’esclusione del concorrente dalla procedura</w:t>
      </w:r>
      <w:r w:rsidR="00197789" w:rsidRPr="001146EA">
        <w:rPr>
          <w:rFonts w:ascii="Titillium" w:hAnsi="Titillium"/>
          <w:sz w:val="18"/>
          <w:szCs w:val="18"/>
        </w:rPr>
        <w:t>.</w:t>
      </w:r>
      <w:r w:rsidR="00197789" w:rsidRPr="000B0E59">
        <w:rPr>
          <w:rFonts w:ascii="Titillium" w:hAnsi="Titillium"/>
          <w:color w:val="EE0000"/>
          <w:sz w:val="18"/>
          <w:szCs w:val="18"/>
        </w:rPr>
        <w:t xml:space="preserve"> </w:t>
      </w:r>
      <w:r w:rsidR="005D2AFE" w:rsidRPr="000B0E59">
        <w:rPr>
          <w:rFonts w:ascii="Titillium" w:hAnsi="Titillium"/>
          <w:sz w:val="18"/>
          <w:szCs w:val="18"/>
        </w:rPr>
        <w:t>Restano salvi i casi, come l</w:t>
      </w:r>
      <w:r w:rsidR="00197789" w:rsidRPr="000B0E59">
        <w:rPr>
          <w:rFonts w:ascii="Titillium" w:hAnsi="Titillium"/>
          <w:sz w:val="18"/>
          <w:szCs w:val="18"/>
        </w:rPr>
        <w:t>a mancata produzione del contratto di avvalimento premiale</w:t>
      </w:r>
      <w:r w:rsidR="005D2AFE" w:rsidRPr="000B0E59">
        <w:rPr>
          <w:rFonts w:ascii="Titillium" w:hAnsi="Titillium"/>
          <w:sz w:val="18"/>
          <w:szCs w:val="18"/>
        </w:rPr>
        <w:t xml:space="preserve"> che - non riguardando un </w:t>
      </w:r>
      <w:r w:rsidR="005D2AFE" w:rsidRPr="00811057">
        <w:rPr>
          <w:rFonts w:ascii="Titillium" w:hAnsi="Titillium"/>
          <w:sz w:val="18"/>
          <w:szCs w:val="18"/>
        </w:rPr>
        <w:t xml:space="preserve">requisito </w:t>
      </w:r>
      <w:r w:rsidR="001146EA" w:rsidRPr="00811057">
        <w:rPr>
          <w:rFonts w:ascii="Titillium" w:hAnsi="Titillium"/>
          <w:sz w:val="18"/>
          <w:szCs w:val="18"/>
        </w:rPr>
        <w:t xml:space="preserve">necessario </w:t>
      </w:r>
      <w:r w:rsidR="005D2AFE" w:rsidRPr="00811057">
        <w:rPr>
          <w:rFonts w:ascii="Titillium" w:hAnsi="Titillium"/>
          <w:sz w:val="18"/>
          <w:szCs w:val="18"/>
        </w:rPr>
        <w:t>ai</w:t>
      </w:r>
      <w:r w:rsidR="005D2AFE" w:rsidRPr="000B0E59">
        <w:rPr>
          <w:rFonts w:ascii="Titillium" w:hAnsi="Titillium"/>
          <w:sz w:val="18"/>
          <w:szCs w:val="18"/>
        </w:rPr>
        <w:t xml:space="preserve"> fini della partecipazione -</w:t>
      </w:r>
      <w:r w:rsidR="00197789" w:rsidRPr="000B0E59">
        <w:rPr>
          <w:rFonts w:ascii="Titillium" w:hAnsi="Titillium"/>
          <w:sz w:val="18"/>
          <w:szCs w:val="18"/>
        </w:rPr>
        <w:t xml:space="preserve"> non comporta l’esclusione</w:t>
      </w:r>
      <w:r w:rsidR="00926CC4" w:rsidRPr="000B0E59">
        <w:rPr>
          <w:rFonts w:ascii="Titillium" w:hAnsi="Titillium"/>
          <w:sz w:val="18"/>
          <w:szCs w:val="18"/>
        </w:rPr>
        <w:t xml:space="preserve"> ma</w:t>
      </w:r>
      <w:r w:rsidR="00926CC4" w:rsidRPr="000B0E59">
        <w:t xml:space="preserve"> </w:t>
      </w:r>
      <w:r w:rsidR="00926CC4" w:rsidRPr="000B0E59">
        <w:rPr>
          <w:rFonts w:ascii="Titillium" w:hAnsi="Titillium"/>
          <w:sz w:val="18"/>
          <w:szCs w:val="18"/>
        </w:rPr>
        <w:t>la mancata attribuzione del corrispondente punteggio premiale.</w:t>
      </w:r>
      <w:r w:rsidR="00926CC4" w:rsidRPr="005D2AFE">
        <w:rPr>
          <w:rFonts w:ascii="Titillium" w:hAnsi="Titillium"/>
          <w:sz w:val="18"/>
          <w:szCs w:val="18"/>
        </w:rPr>
        <w:t xml:space="preserve"> </w:t>
      </w:r>
      <w:r w:rsidR="00197789" w:rsidRPr="005D2AFE">
        <w:rPr>
          <w:rFonts w:ascii="Titillium" w:hAnsi="Titillium"/>
          <w:sz w:val="18"/>
          <w:szCs w:val="18"/>
        </w:rPr>
        <w:t xml:space="preserve">  </w:t>
      </w:r>
      <w:r w:rsidR="00855B8A" w:rsidRPr="005D2AFE">
        <w:rPr>
          <w:rFonts w:ascii="Titillium" w:hAnsi="Titillium"/>
          <w:sz w:val="18"/>
          <w:szCs w:val="18"/>
        </w:rPr>
        <w:t xml:space="preserve"> </w:t>
      </w:r>
    </w:p>
    <w:bookmarkEnd w:id="1706"/>
    <w:p w14:paraId="0763360E" w14:textId="77777777" w:rsidR="006842EE" w:rsidRPr="00855B8A" w:rsidRDefault="008F2625">
      <w:pPr>
        <w:spacing w:before="60" w:after="60"/>
        <w:rPr>
          <w:rFonts w:ascii="Titillium" w:hAnsi="Titillium"/>
          <w:sz w:val="18"/>
          <w:szCs w:val="18"/>
        </w:rPr>
      </w:pPr>
      <w:r>
        <w:rPr>
          <w:rFonts w:ascii="Titillium" w:hAnsi="Titillium"/>
          <w:sz w:val="18"/>
          <w:szCs w:val="18"/>
        </w:rPr>
        <w:t xml:space="preserve">Ove il concorrente produca dichiarazioni o documenti non perfettamente coerenti con la richiesta, la stazione appaltante può chiedere ulteriori precisazioni o chiarimenti, limitati alla documentazione presentata in fase di soccorso istruttorio, fissando un termine </w:t>
      </w:r>
      <w:r w:rsidRPr="00855B8A">
        <w:rPr>
          <w:rFonts w:ascii="Titillium" w:hAnsi="Titillium"/>
          <w:sz w:val="18"/>
          <w:szCs w:val="18"/>
        </w:rPr>
        <w:t>a pena di esclusione.</w:t>
      </w:r>
    </w:p>
    <w:p w14:paraId="041D5AFB" w14:textId="77777777" w:rsidR="006842EE" w:rsidRDefault="008F2625">
      <w:pPr>
        <w:spacing w:before="60" w:after="60"/>
        <w:rPr>
          <w:rFonts w:ascii="Titillium" w:hAnsi="Titillium"/>
          <w:sz w:val="18"/>
          <w:szCs w:val="18"/>
        </w:rPr>
      </w:pPr>
      <w:r>
        <w:rPr>
          <w:rFonts w:ascii="Titillium" w:hAnsi="Titillium"/>
          <w:sz w:val="18"/>
          <w:szCs w:val="18"/>
        </w:rPr>
        <w:t>La stazione appaltante può sempre chiedere chiarimenti sui contenuti dell’offerta tecnica e dell’offerta economica e su ogni loro allegato. L’operatore economico è tenuto a fornire risposta nel termine di ………. [</w:t>
      </w:r>
      <w:r>
        <w:rPr>
          <w:rFonts w:ascii="Titillium" w:hAnsi="Titillium"/>
          <w:i/>
          <w:iCs/>
          <w:sz w:val="18"/>
          <w:szCs w:val="18"/>
        </w:rPr>
        <w:t>indicare un termine che non può essere inferiore a cinque giorni e superiore a dieci giorni]</w:t>
      </w:r>
      <w:r>
        <w:rPr>
          <w:rFonts w:ascii="Titillium" w:hAnsi="Titillium"/>
          <w:sz w:val="18"/>
          <w:szCs w:val="18"/>
        </w:rPr>
        <w:t>. I chiarimenti resi dall’operatore economico non possono modificare il contenuto dell’offerta.</w:t>
      </w:r>
    </w:p>
    <w:p w14:paraId="753802E2" w14:textId="6EE26D91" w:rsidR="006842EE" w:rsidRPr="00A36142" w:rsidRDefault="008F2625" w:rsidP="00D26F03">
      <w:pPr>
        <w:pStyle w:val="Titolo2"/>
        <w:numPr>
          <w:ilvl w:val="0"/>
          <w:numId w:val="54"/>
        </w:numPr>
        <w:ind w:left="357" w:hanging="357"/>
        <w:rPr>
          <w:rFonts w:ascii="Titillium" w:hAnsi="Titillium"/>
          <w:caps w:val="0"/>
          <w:sz w:val="18"/>
          <w:szCs w:val="18"/>
        </w:rPr>
      </w:pPr>
      <w:bookmarkStart w:id="1707" w:name="_Toc227921639"/>
      <w:r w:rsidRPr="00A36142">
        <w:rPr>
          <w:rFonts w:ascii="Titillium" w:hAnsi="Titillium"/>
          <w:caps w:val="0"/>
          <w:sz w:val="18"/>
          <w:szCs w:val="18"/>
        </w:rPr>
        <w:t>DOMANDA DI PARTECIPAZIONE E DOCUMENTAZIONE AMMINISTRATIVA</w:t>
      </w:r>
      <w:bookmarkStart w:id="1708" w:name="_Ref481767076"/>
      <w:bookmarkStart w:id="1709" w:name="_Ref481767068"/>
      <w:bookmarkStart w:id="1710" w:name="_Toc354038186"/>
      <w:bookmarkStart w:id="1711" w:name="_Toc416423365"/>
      <w:bookmarkStart w:id="1712" w:name="_Toc406754180"/>
      <w:bookmarkStart w:id="1713" w:name="_Toc406058379"/>
      <w:bookmarkStart w:id="1714" w:name="_Toc403471273"/>
      <w:bookmarkStart w:id="1715" w:name="_Toc397422866"/>
      <w:bookmarkStart w:id="1716" w:name="_Toc397346825"/>
      <w:bookmarkStart w:id="1717" w:name="_Toc393706910"/>
      <w:bookmarkStart w:id="1718" w:name="_Toc393700837"/>
      <w:bookmarkStart w:id="1719" w:name="_Toc393283178"/>
      <w:bookmarkStart w:id="1720" w:name="_Toc393272662"/>
      <w:bookmarkStart w:id="1721" w:name="_Toc393272604"/>
      <w:bookmarkStart w:id="1722" w:name="_Toc393187848"/>
      <w:bookmarkStart w:id="1723" w:name="_Toc393112131"/>
      <w:bookmarkStart w:id="1724" w:name="_Toc393110567"/>
      <w:bookmarkStart w:id="1725" w:name="_Toc392577500"/>
      <w:bookmarkStart w:id="1726" w:name="_Toc391036059"/>
      <w:bookmarkStart w:id="1727" w:name="_Toc391035986"/>
      <w:bookmarkStart w:id="1728" w:name="_Toc380501873"/>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p>
    <w:p w14:paraId="00D37EAF" w14:textId="6F6BE3CB" w:rsidR="006842EE" w:rsidRDefault="008F2625">
      <w:pPr>
        <w:spacing w:before="60" w:after="60"/>
      </w:pPr>
      <w:r>
        <w:rPr>
          <w:rFonts w:ascii="Titillium" w:hAnsi="Titillium" w:cs="Calibri"/>
          <w:sz w:val="18"/>
          <w:szCs w:val="18"/>
        </w:rPr>
        <w:t>L’operatore economico utilizza la</w:t>
      </w:r>
      <w:r w:rsidR="00123B56">
        <w:rPr>
          <w:rFonts w:ascii="Titillium" w:hAnsi="Titillium" w:cs="Calibri"/>
          <w:sz w:val="18"/>
          <w:szCs w:val="18"/>
        </w:rPr>
        <w:t xml:space="preserve"> </w:t>
      </w:r>
      <w:r w:rsidR="00123B56" w:rsidRPr="00AF5A5B">
        <w:rPr>
          <w:rFonts w:ascii="Titillium" w:hAnsi="Titillium" w:cs="Calibri"/>
          <w:color w:val="000000" w:themeColor="text1"/>
          <w:sz w:val="18"/>
          <w:szCs w:val="18"/>
        </w:rPr>
        <w:t>PAD</w:t>
      </w:r>
      <w:r w:rsidRPr="00AF5A5B">
        <w:rPr>
          <w:rFonts w:ascii="Titillium" w:hAnsi="Titillium" w:cs="Calibri"/>
          <w:color w:val="000000" w:themeColor="text1"/>
          <w:sz w:val="18"/>
          <w:szCs w:val="18"/>
        </w:rPr>
        <w:t xml:space="preserve"> </w:t>
      </w:r>
      <w:r>
        <w:rPr>
          <w:rFonts w:ascii="Titillium" w:hAnsi="Titillium" w:cs="Calibri"/>
          <w:sz w:val="18"/>
          <w:szCs w:val="18"/>
        </w:rPr>
        <w:t xml:space="preserve">… </w:t>
      </w:r>
      <w:r>
        <w:rPr>
          <w:rFonts w:ascii="Titillium" w:hAnsi="Titillium" w:cs="Calibri"/>
          <w:i/>
          <w:sz w:val="18"/>
          <w:szCs w:val="18"/>
        </w:rPr>
        <w:t xml:space="preserve">[la SA indica la Sezione/Area della </w:t>
      </w:r>
      <w:r w:rsidR="00B67408" w:rsidRPr="00AF5A5B">
        <w:rPr>
          <w:rFonts w:ascii="Titillium" w:hAnsi="Titillium" w:cs="Calibri"/>
          <w:i/>
          <w:color w:val="000000" w:themeColor="text1"/>
          <w:sz w:val="18"/>
          <w:szCs w:val="18"/>
        </w:rPr>
        <w:t>PAD</w:t>
      </w:r>
      <w:r>
        <w:rPr>
          <w:rFonts w:ascii="Titillium" w:hAnsi="Titillium" w:cs="Calibri"/>
          <w:i/>
          <w:sz w:val="18"/>
          <w:szCs w:val="18"/>
        </w:rPr>
        <w:t>]</w:t>
      </w:r>
      <w:r>
        <w:rPr>
          <w:rFonts w:ascii="Titillium" w:hAnsi="Titillium" w:cs="Calibri"/>
          <w:sz w:val="18"/>
          <w:szCs w:val="18"/>
        </w:rPr>
        <w:t xml:space="preserve"> per compilare o allegare la seguente documentazione:</w:t>
      </w:r>
    </w:p>
    <w:p w14:paraId="4CAFA650" w14:textId="34BCE1E1" w:rsidR="006842EE" w:rsidRDefault="008F2625" w:rsidP="00D26F03">
      <w:pPr>
        <w:pStyle w:val="Paragrafoelenco"/>
        <w:numPr>
          <w:ilvl w:val="0"/>
          <w:numId w:val="10"/>
        </w:numPr>
        <w:spacing w:before="60" w:after="60"/>
      </w:pPr>
      <w:r>
        <w:rPr>
          <w:rFonts w:ascii="Titillium" w:hAnsi="Titillium" w:cs="Calibri"/>
          <w:sz w:val="18"/>
          <w:szCs w:val="18"/>
        </w:rPr>
        <w:t>domanda di partecipazione</w:t>
      </w:r>
      <w:r w:rsidR="00123B56">
        <w:rPr>
          <w:rFonts w:ascii="Titillium" w:hAnsi="Titillium" w:cs="Calibri"/>
          <w:sz w:val="18"/>
          <w:szCs w:val="18"/>
        </w:rPr>
        <w:t>;</w:t>
      </w:r>
    </w:p>
    <w:p w14:paraId="098C2162" w14:textId="4D325026" w:rsidR="006842EE" w:rsidRDefault="008F2625" w:rsidP="00D26F03">
      <w:pPr>
        <w:pStyle w:val="Paragrafoelenco"/>
        <w:numPr>
          <w:ilvl w:val="0"/>
          <w:numId w:val="10"/>
        </w:numPr>
        <w:spacing w:before="60" w:after="60"/>
      </w:pPr>
      <w:r>
        <w:rPr>
          <w:rFonts w:ascii="Titillium" w:hAnsi="Titillium" w:cs="Calibri"/>
          <w:sz w:val="18"/>
          <w:szCs w:val="18"/>
        </w:rPr>
        <w:t>DGUE</w:t>
      </w:r>
      <w:r w:rsidR="00123B56">
        <w:rPr>
          <w:rFonts w:ascii="Titillium" w:hAnsi="Titillium" w:cs="Calibri"/>
          <w:sz w:val="18"/>
          <w:szCs w:val="18"/>
        </w:rPr>
        <w:t>;</w:t>
      </w:r>
    </w:p>
    <w:p w14:paraId="5FE97521" w14:textId="77777777" w:rsidR="006842EE" w:rsidRDefault="008F2625" w:rsidP="00D26F03">
      <w:pPr>
        <w:pStyle w:val="Paragrafoelenco"/>
        <w:numPr>
          <w:ilvl w:val="0"/>
          <w:numId w:val="10"/>
        </w:numPr>
        <w:spacing w:before="60" w:after="60"/>
      </w:pPr>
      <w:r>
        <w:rPr>
          <w:rFonts w:ascii="Titillium" w:hAnsi="Titillium" w:cs="Calibri"/>
          <w:sz w:val="18"/>
          <w:szCs w:val="18"/>
        </w:rPr>
        <w:t>eventuale procura;</w:t>
      </w:r>
    </w:p>
    <w:p w14:paraId="1A3F6C99" w14:textId="3FBE0AF7" w:rsidR="006842EE" w:rsidRDefault="001621AE" w:rsidP="00D26F03">
      <w:pPr>
        <w:pStyle w:val="Paragrafoelenco"/>
        <w:numPr>
          <w:ilvl w:val="0"/>
          <w:numId w:val="10"/>
        </w:numPr>
        <w:spacing w:before="60" w:after="60"/>
      </w:pPr>
      <w:r w:rsidRPr="001621AE">
        <w:rPr>
          <w:rFonts w:ascii="Titillium" w:hAnsi="Titillium"/>
          <w:b/>
          <w:bCs/>
          <w:sz w:val="18"/>
          <w:szCs w:val="18"/>
        </w:rPr>
        <w:t>[</w:t>
      </w:r>
      <w:r w:rsidRPr="00114399">
        <w:rPr>
          <w:rFonts w:ascii="Titillium" w:hAnsi="Titillium"/>
          <w:b/>
          <w:bCs/>
          <w:i/>
          <w:iCs/>
          <w:sz w:val="18"/>
          <w:szCs w:val="18"/>
        </w:rPr>
        <w:t>se l’appalto comprende ulteriori prestazioni oltre ai servizi di progettazione, redazione del piano della sicurezza e coordinamento e compiti di supporto al RUP</w:t>
      </w:r>
      <w:r w:rsidRPr="001621AE">
        <w:rPr>
          <w:rFonts w:ascii="Titillium" w:hAnsi="Titillium"/>
          <w:b/>
          <w:bCs/>
          <w:sz w:val="18"/>
          <w:szCs w:val="18"/>
        </w:rPr>
        <w:t>]</w:t>
      </w:r>
      <w:r>
        <w:rPr>
          <w:rFonts w:ascii="Titillium" w:hAnsi="Titillium"/>
          <w:sz w:val="18"/>
          <w:szCs w:val="18"/>
        </w:rPr>
        <w:t xml:space="preserve"> </w:t>
      </w:r>
      <w:r w:rsidR="008F2625">
        <w:rPr>
          <w:rFonts w:ascii="Titillium" w:hAnsi="Titillium"/>
          <w:sz w:val="18"/>
          <w:szCs w:val="18"/>
        </w:rPr>
        <w:t>garanzia provvisoria</w:t>
      </w:r>
      <w:r w:rsidR="008F2625">
        <w:rPr>
          <w:rFonts w:ascii="Titillium" w:hAnsi="Titillium" w:cs="Calibri"/>
          <w:sz w:val="18"/>
          <w:szCs w:val="18"/>
        </w:rPr>
        <w:t>;</w:t>
      </w:r>
    </w:p>
    <w:p w14:paraId="0E35FBDB" w14:textId="6CE3216E" w:rsidR="006842EE" w:rsidRDefault="008F2625" w:rsidP="00D26F03">
      <w:pPr>
        <w:pStyle w:val="Paragrafoelenco"/>
        <w:numPr>
          <w:ilvl w:val="0"/>
          <w:numId w:val="10"/>
        </w:numPr>
        <w:spacing w:before="60" w:after="60"/>
        <w:rPr>
          <w:rFonts w:ascii="Titillium" w:hAnsi="Titillium" w:cs="Calibri"/>
          <w:sz w:val="18"/>
          <w:szCs w:val="18"/>
        </w:rPr>
      </w:pPr>
      <w:r>
        <w:rPr>
          <w:rFonts w:ascii="Titillium" w:hAnsi="Titillium" w:cs="Calibri"/>
          <w:sz w:val="18"/>
          <w:szCs w:val="18"/>
        </w:rPr>
        <w:t>documentazione in caso di avvalimento di cui al p</w:t>
      </w:r>
      <w:r w:rsidR="007466D9">
        <w:rPr>
          <w:rFonts w:ascii="Titillium" w:hAnsi="Titillium" w:cs="Calibri"/>
          <w:sz w:val="18"/>
          <w:szCs w:val="18"/>
        </w:rPr>
        <w:t xml:space="preserve">aragrafo </w:t>
      </w:r>
      <w:r>
        <w:rPr>
          <w:rFonts w:ascii="Titillium" w:hAnsi="Titillium" w:cs="Calibri"/>
          <w:sz w:val="18"/>
          <w:szCs w:val="18"/>
        </w:rPr>
        <w:fldChar w:fldCharType="begin"/>
      </w:r>
      <w:r>
        <w:rPr>
          <w:rFonts w:ascii="Titillium" w:hAnsi="Titillium" w:cs="Calibri"/>
          <w:sz w:val="18"/>
          <w:szCs w:val="18"/>
        </w:rPr>
        <w:instrText>REF _Ref132054207 \r \h</w:instrText>
      </w:r>
      <w:r>
        <w:rPr>
          <w:rFonts w:ascii="Titillium" w:hAnsi="Titillium" w:cs="Calibri"/>
          <w:sz w:val="18"/>
          <w:szCs w:val="18"/>
        </w:rPr>
      </w:r>
      <w:r>
        <w:rPr>
          <w:rFonts w:ascii="Titillium" w:hAnsi="Titillium" w:cs="Calibri"/>
          <w:sz w:val="18"/>
          <w:szCs w:val="18"/>
        </w:rPr>
        <w:fldChar w:fldCharType="separate"/>
      </w:r>
      <w:r w:rsidR="00722501">
        <w:rPr>
          <w:rFonts w:ascii="Titillium" w:hAnsi="Titillium" w:cs="Calibri"/>
          <w:sz w:val="18"/>
          <w:szCs w:val="18"/>
        </w:rPr>
        <w:t>15.4</w:t>
      </w:r>
      <w:r>
        <w:rPr>
          <w:rFonts w:ascii="Titillium" w:hAnsi="Titillium" w:cs="Calibri"/>
          <w:sz w:val="18"/>
          <w:szCs w:val="18"/>
        </w:rPr>
        <w:fldChar w:fldCharType="end"/>
      </w:r>
      <w:r>
        <w:rPr>
          <w:rFonts w:ascii="Titillium" w:hAnsi="Titillium" w:cs="Calibri"/>
          <w:sz w:val="18"/>
          <w:szCs w:val="18"/>
        </w:rPr>
        <w:t>;</w:t>
      </w:r>
    </w:p>
    <w:p w14:paraId="268A32C8" w14:textId="54D6ADA4" w:rsidR="00123B56" w:rsidRPr="00123B56" w:rsidRDefault="008F2625" w:rsidP="00D26F03">
      <w:pPr>
        <w:pStyle w:val="Paragrafoelenco"/>
        <w:numPr>
          <w:ilvl w:val="0"/>
          <w:numId w:val="10"/>
        </w:numPr>
        <w:spacing w:before="60" w:after="60"/>
      </w:pPr>
      <w:r>
        <w:rPr>
          <w:rFonts w:ascii="Titillium" w:hAnsi="Titillium" w:cs="Calibri"/>
          <w:sz w:val="18"/>
          <w:szCs w:val="18"/>
        </w:rPr>
        <w:t>documentazione per i soggetti associati di cui al p</w:t>
      </w:r>
      <w:r w:rsidR="007466D9">
        <w:rPr>
          <w:rFonts w:ascii="Titillium" w:hAnsi="Titillium" w:cs="Calibri"/>
          <w:sz w:val="18"/>
          <w:szCs w:val="18"/>
        </w:rPr>
        <w:t xml:space="preserve">aragrafo </w:t>
      </w:r>
      <w:r>
        <w:rPr>
          <w:rFonts w:ascii="Titillium" w:hAnsi="Titillium" w:cs="Calibri"/>
          <w:sz w:val="18"/>
          <w:szCs w:val="18"/>
        </w:rPr>
        <w:fldChar w:fldCharType="begin"/>
      </w:r>
      <w:r>
        <w:rPr>
          <w:rFonts w:ascii="Titillium" w:hAnsi="Titillium" w:cs="Calibri"/>
          <w:sz w:val="18"/>
          <w:szCs w:val="18"/>
        </w:rPr>
        <w:instrText>REF _Ref498427979 \r \h</w:instrText>
      </w:r>
      <w:r>
        <w:rPr>
          <w:rFonts w:ascii="Titillium" w:hAnsi="Titillium" w:cs="Calibri"/>
          <w:sz w:val="18"/>
          <w:szCs w:val="18"/>
        </w:rPr>
      </w:r>
      <w:r>
        <w:rPr>
          <w:rFonts w:ascii="Titillium" w:hAnsi="Titillium" w:cs="Calibri"/>
          <w:sz w:val="18"/>
          <w:szCs w:val="18"/>
        </w:rPr>
        <w:fldChar w:fldCharType="separate"/>
      </w:r>
      <w:r w:rsidR="00722501">
        <w:rPr>
          <w:rFonts w:ascii="Titillium" w:hAnsi="Titillium" w:cs="Calibri"/>
          <w:sz w:val="18"/>
          <w:szCs w:val="18"/>
        </w:rPr>
        <w:t>15.5</w:t>
      </w:r>
      <w:r>
        <w:rPr>
          <w:rFonts w:ascii="Titillium" w:hAnsi="Titillium" w:cs="Calibri"/>
          <w:sz w:val="18"/>
          <w:szCs w:val="18"/>
        </w:rPr>
        <w:fldChar w:fldCharType="end"/>
      </w:r>
      <w:r>
        <w:rPr>
          <w:rFonts w:ascii="Titillium" w:hAnsi="Titillium" w:cs="Calibri"/>
          <w:sz w:val="18"/>
          <w:szCs w:val="18"/>
        </w:rPr>
        <w:t>;</w:t>
      </w:r>
    </w:p>
    <w:p w14:paraId="069031B8" w14:textId="77777777" w:rsidR="006842EE" w:rsidRDefault="008F2625" w:rsidP="00D26F03">
      <w:pPr>
        <w:pStyle w:val="Paragrafoelenco"/>
        <w:numPr>
          <w:ilvl w:val="0"/>
          <w:numId w:val="10"/>
        </w:numPr>
        <w:spacing w:before="60" w:after="60"/>
      </w:pPr>
      <w:r w:rsidRPr="007E1E23">
        <w:rPr>
          <w:rFonts w:ascii="Titillium" w:hAnsi="Titillium" w:cs="Calibri"/>
          <w:b/>
          <w:iCs/>
          <w:sz w:val="18"/>
          <w:szCs w:val="18"/>
        </w:rPr>
        <w:t>[</w:t>
      </w:r>
      <w:r w:rsidRPr="00114399">
        <w:rPr>
          <w:rFonts w:ascii="Titillium" w:hAnsi="Titillium" w:cs="Calibri"/>
          <w:b/>
          <w:bCs/>
          <w:i/>
          <w:sz w:val="18"/>
          <w:szCs w:val="18"/>
        </w:rPr>
        <w:t>Se previsti altri documenti</w:t>
      </w:r>
      <w:r>
        <w:rPr>
          <w:rFonts w:ascii="Titillium" w:hAnsi="Titillium" w:cs="Calibri"/>
          <w:b/>
          <w:i/>
          <w:sz w:val="18"/>
          <w:szCs w:val="18"/>
        </w:rPr>
        <w:t>]</w:t>
      </w:r>
      <w:r>
        <w:rPr>
          <w:rFonts w:ascii="Titillium" w:hAnsi="Titillium" w:cs="Calibri"/>
          <w:sz w:val="18"/>
          <w:szCs w:val="18"/>
        </w:rPr>
        <w:t xml:space="preserve"> … [</w:t>
      </w:r>
      <w:r>
        <w:rPr>
          <w:rFonts w:ascii="Titillium" w:hAnsi="Titillium" w:cs="Calibri"/>
          <w:i/>
          <w:iCs/>
          <w:sz w:val="18"/>
          <w:szCs w:val="18"/>
        </w:rPr>
        <w:t>indicare gli altri documenti previsti in relazione alla specificità dell’affidamento, diversi da quelli già in possesso</w:t>
      </w:r>
      <w:r>
        <w:rPr>
          <w:rFonts w:ascii="Titillium" w:hAnsi="Titillium" w:cs="Calibri"/>
          <w:sz w:val="18"/>
          <w:szCs w:val="18"/>
        </w:rPr>
        <w:t>]</w:t>
      </w:r>
    </w:p>
    <w:p w14:paraId="6BCB7AB8" w14:textId="77777777" w:rsidR="00123B56" w:rsidRPr="007E1E23" w:rsidRDefault="008F2625" w:rsidP="00123B56">
      <w:pPr>
        <w:spacing w:before="60" w:after="60" w:line="240" w:lineRule="auto"/>
        <w:ind w:left="360"/>
        <w:rPr>
          <w:rFonts w:ascii="Titillium" w:hAnsi="Titillium"/>
          <w:iCs/>
          <w:sz w:val="18"/>
          <w:szCs w:val="18"/>
        </w:rPr>
      </w:pPr>
      <w:r w:rsidRPr="007E1E23">
        <w:rPr>
          <w:rFonts w:ascii="Titillium" w:hAnsi="Titillium" w:cs="Arial"/>
          <w:b/>
          <w:bCs/>
          <w:iCs/>
          <w:sz w:val="18"/>
          <w:szCs w:val="18"/>
        </w:rPr>
        <w:t>[</w:t>
      </w:r>
      <w:r w:rsidRPr="00114399">
        <w:rPr>
          <w:rFonts w:ascii="Titillium" w:hAnsi="Titillium" w:cs="Arial"/>
          <w:b/>
          <w:bCs/>
          <w:i/>
          <w:sz w:val="18"/>
          <w:szCs w:val="18"/>
        </w:rPr>
        <w:t xml:space="preserve">Per le procedure afferenti agli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w:t>
      </w:r>
      <w:r w:rsidRPr="00114399">
        <w:rPr>
          <w:rFonts w:ascii="Titillium" w:hAnsi="Titillium" w:cs="Courier New"/>
          <w:b/>
          <w:i/>
          <w:sz w:val="18"/>
          <w:szCs w:val="18"/>
        </w:rPr>
        <w:t>decreto legge 31 maggio 2021, n. 77, convertito, con modificazioni, dalla legge 29 luglio 2021, n. 108</w:t>
      </w:r>
      <w:r w:rsidRPr="007E1E23">
        <w:rPr>
          <w:rFonts w:ascii="Titillium" w:hAnsi="Titillium" w:cs="Arial"/>
          <w:b/>
          <w:bCs/>
          <w:iCs/>
          <w:sz w:val="18"/>
          <w:szCs w:val="18"/>
        </w:rPr>
        <w:t>]</w:t>
      </w:r>
    </w:p>
    <w:p w14:paraId="5EF00A70" w14:textId="30498EB3" w:rsidR="006842EE" w:rsidRPr="005913F3" w:rsidRDefault="008F2625" w:rsidP="00D26F03">
      <w:pPr>
        <w:pStyle w:val="Paragrafoelenco"/>
        <w:numPr>
          <w:ilvl w:val="0"/>
          <w:numId w:val="10"/>
        </w:numPr>
        <w:spacing w:before="60" w:after="60" w:line="240" w:lineRule="auto"/>
        <w:rPr>
          <w:rFonts w:ascii="Titillium" w:hAnsi="Titillium"/>
          <w:color w:val="FF0000"/>
          <w:sz w:val="18"/>
          <w:szCs w:val="18"/>
          <w:highlight w:val="white"/>
        </w:rPr>
      </w:pPr>
      <w:r w:rsidRPr="008A30D6">
        <w:rPr>
          <w:rFonts w:ascii="Titillium" w:hAnsi="Titillium" w:cs="Calibri"/>
          <w:color w:val="000000" w:themeColor="text1"/>
          <w:sz w:val="18"/>
          <w:szCs w:val="18"/>
        </w:rPr>
        <w:t xml:space="preserve">Per gli operatori economici che occupano oltre cinquanta dipendenti: copia dell'ultimo rapporto periodico sulla situazione del personale </w:t>
      </w:r>
      <w:r w:rsidRPr="008A30D6">
        <w:rPr>
          <w:rFonts w:ascii="Titillium" w:hAnsi="Titillium" w:cs="Courier New"/>
          <w:color w:val="000000" w:themeColor="text1"/>
          <w:sz w:val="18"/>
          <w:szCs w:val="18"/>
        </w:rPr>
        <w:t>maschile e femminile redatto ai sensi dell’articolo 46 del decreto legislativo n. 198/2006,</w:t>
      </w:r>
      <w:r w:rsidRPr="008A30D6">
        <w:rPr>
          <w:rFonts w:ascii="Titillium" w:hAnsi="Titillium" w:cs="Calibri"/>
          <w:color w:val="000000" w:themeColor="text1"/>
          <w:sz w:val="18"/>
          <w:szCs w:val="18"/>
        </w:rPr>
        <w:t xml:space="preserve"> unitamente all’attestazione di conformità a quello già trasmesso alle rappresentanze sindacali aziendali e ai consiglieri regionali di parità ovvero, in mancanza di tale precedente trasmissione, unitamente all’attestazione della sua contestuale trasmissione alle rappresentanze sindacali aziendali e alla consigliera e al consigliere regionale di parità</w:t>
      </w:r>
      <w:r w:rsidRPr="008A30D6">
        <w:rPr>
          <w:rFonts w:ascii="Titillium" w:hAnsi="Titillium" w:cs="Calibri"/>
          <w:color w:val="FF0000"/>
          <w:sz w:val="18"/>
          <w:szCs w:val="18"/>
        </w:rPr>
        <w:t>.</w:t>
      </w:r>
    </w:p>
    <w:p w14:paraId="27B22418" w14:textId="77777777" w:rsidR="005913F3" w:rsidRDefault="005913F3" w:rsidP="005913F3">
      <w:pPr>
        <w:spacing w:before="60" w:after="60" w:line="240" w:lineRule="auto"/>
        <w:rPr>
          <w:rFonts w:ascii="Titillium" w:hAnsi="Titillium"/>
          <w:sz w:val="18"/>
          <w:szCs w:val="18"/>
        </w:rPr>
      </w:pPr>
      <w:r w:rsidRPr="005913F3">
        <w:rPr>
          <w:rFonts w:ascii="Titillium" w:hAnsi="Titillium"/>
          <w:b/>
          <w:bCs/>
          <w:sz w:val="18"/>
          <w:szCs w:val="18"/>
        </w:rPr>
        <w:t>[</w:t>
      </w:r>
      <w:r w:rsidRPr="00114399">
        <w:rPr>
          <w:rFonts w:ascii="Titillium" w:hAnsi="Titillium"/>
          <w:b/>
          <w:bCs/>
          <w:i/>
          <w:iCs/>
          <w:sz w:val="18"/>
          <w:szCs w:val="18"/>
        </w:rPr>
        <w:t>Ove la PAD lo consenta</w:t>
      </w:r>
      <w:r w:rsidRPr="005913F3">
        <w:rPr>
          <w:rFonts w:ascii="Titillium" w:hAnsi="Titillium"/>
          <w:sz w:val="18"/>
          <w:szCs w:val="18"/>
        </w:rPr>
        <w:t xml:space="preserve">] La mancata allegazione di uno o più dei citati documenti viene segnalata dalla PAD con un alert all’operatore economico interessato. </w:t>
      </w:r>
    </w:p>
    <w:p w14:paraId="67A8C51A" w14:textId="77777777" w:rsidR="005913F3" w:rsidRPr="005913F3" w:rsidRDefault="005913F3" w:rsidP="005913F3">
      <w:pPr>
        <w:spacing w:before="60" w:after="60" w:line="240" w:lineRule="auto"/>
        <w:rPr>
          <w:rFonts w:ascii="Titillium" w:hAnsi="Titillium"/>
          <w:b/>
          <w:bCs/>
          <w:sz w:val="18"/>
          <w:szCs w:val="18"/>
        </w:rPr>
      </w:pPr>
      <w:r w:rsidRPr="005913F3">
        <w:rPr>
          <w:rFonts w:ascii="Titillium" w:hAnsi="Titillium"/>
          <w:sz w:val="18"/>
          <w:szCs w:val="18"/>
        </w:rPr>
        <w:t>[</w:t>
      </w:r>
      <w:r w:rsidRPr="007E1E23">
        <w:rPr>
          <w:rFonts w:ascii="Titillium" w:hAnsi="Titillium"/>
          <w:b/>
          <w:bCs/>
          <w:i/>
          <w:iCs/>
          <w:sz w:val="18"/>
          <w:szCs w:val="18"/>
        </w:rPr>
        <w:t>In alternativa</w:t>
      </w:r>
      <w:r w:rsidRPr="005913F3">
        <w:rPr>
          <w:rFonts w:ascii="Titillium" w:hAnsi="Titillium"/>
          <w:b/>
          <w:bCs/>
          <w:sz w:val="18"/>
          <w:szCs w:val="18"/>
        </w:rPr>
        <w:t xml:space="preserve">] </w:t>
      </w:r>
    </w:p>
    <w:p w14:paraId="1977E464" w14:textId="78B7784C" w:rsidR="005913F3" w:rsidRDefault="005913F3" w:rsidP="005913F3">
      <w:pPr>
        <w:spacing w:before="60" w:after="60" w:line="240" w:lineRule="auto"/>
        <w:rPr>
          <w:rFonts w:ascii="Titillium" w:hAnsi="Titillium"/>
          <w:sz w:val="18"/>
          <w:szCs w:val="18"/>
        </w:rPr>
      </w:pPr>
      <w:r w:rsidRPr="005913F3">
        <w:rPr>
          <w:rFonts w:ascii="Titillium" w:hAnsi="Titillium"/>
          <w:sz w:val="18"/>
          <w:szCs w:val="18"/>
        </w:rPr>
        <w:t>La mancata allegazione di uno o più dei citati documenti viene segnalata dalla PAD con un alert all’operatore economico interessato e comporta l’impossibilità di procedere con l’invio della documentazione amministrativa</w:t>
      </w:r>
      <w:r w:rsidR="00C63DFB">
        <w:rPr>
          <w:rFonts w:ascii="Titillium" w:hAnsi="Titillium"/>
          <w:sz w:val="18"/>
          <w:szCs w:val="18"/>
        </w:rPr>
        <w:t>.</w:t>
      </w:r>
    </w:p>
    <w:p w14:paraId="56566130" w14:textId="77777777" w:rsidR="00C63DFB" w:rsidRPr="005913F3" w:rsidRDefault="00C63DFB" w:rsidP="005913F3">
      <w:pPr>
        <w:spacing w:before="60" w:after="60" w:line="240" w:lineRule="auto"/>
        <w:rPr>
          <w:rFonts w:ascii="Titillium" w:hAnsi="Titillium"/>
          <w:sz w:val="18"/>
          <w:szCs w:val="18"/>
          <w:highlight w:val="white"/>
        </w:rPr>
      </w:pPr>
    </w:p>
    <w:p w14:paraId="39CD4E31" w14:textId="274DB607" w:rsidR="006842EE" w:rsidRPr="00A36142" w:rsidRDefault="008F2625" w:rsidP="00D26F03">
      <w:pPr>
        <w:pStyle w:val="Titolo3"/>
        <w:numPr>
          <w:ilvl w:val="1"/>
          <w:numId w:val="55"/>
        </w:numPr>
        <w:spacing w:before="120"/>
        <w:rPr>
          <w:rFonts w:ascii="Titillium" w:hAnsi="Titillium"/>
          <w:sz w:val="18"/>
          <w:szCs w:val="18"/>
          <w:lang w:val="it-IT"/>
        </w:rPr>
      </w:pPr>
      <w:bookmarkStart w:id="1729" w:name="_Toc497728162"/>
      <w:bookmarkStart w:id="1730" w:name="_Toc497484964"/>
      <w:bookmarkStart w:id="1731" w:name="_Toc498419754"/>
      <w:bookmarkStart w:id="1732" w:name="_Toc497831556"/>
      <w:bookmarkStart w:id="1733" w:name="_Toc497728161"/>
      <w:bookmarkStart w:id="1734" w:name="_Toc497484963"/>
      <w:bookmarkStart w:id="1735" w:name="_Toc498419755"/>
      <w:bookmarkStart w:id="1736" w:name="_Toc497831557"/>
      <w:bookmarkStart w:id="1737" w:name="_Ref129785861"/>
      <w:bookmarkStart w:id="1738" w:name="_Ref129789908"/>
      <w:bookmarkStart w:id="1739" w:name="_Toc227921640"/>
      <w:bookmarkEnd w:id="1729"/>
      <w:bookmarkEnd w:id="1730"/>
      <w:bookmarkEnd w:id="1731"/>
      <w:bookmarkEnd w:id="1732"/>
      <w:bookmarkEnd w:id="1733"/>
      <w:bookmarkEnd w:id="1734"/>
      <w:bookmarkEnd w:id="1735"/>
      <w:bookmarkEnd w:id="1736"/>
      <w:r w:rsidRPr="00A36142">
        <w:rPr>
          <w:rFonts w:ascii="Titillium" w:hAnsi="Titillium"/>
          <w:sz w:val="18"/>
          <w:szCs w:val="18"/>
          <w:lang w:val="it-IT"/>
        </w:rPr>
        <w:t>DOMANDA DI PARTECIPAZIONE ED EVENTUALE PROCURA</w:t>
      </w:r>
      <w:bookmarkEnd w:id="1737"/>
      <w:bookmarkEnd w:id="1738"/>
      <w:bookmarkEnd w:id="1739"/>
      <w:r w:rsidRPr="00A36142">
        <w:rPr>
          <w:rFonts w:ascii="Titillium" w:hAnsi="Titillium"/>
          <w:sz w:val="18"/>
          <w:szCs w:val="18"/>
          <w:lang w:val="it-IT"/>
        </w:rPr>
        <w:t xml:space="preserve"> </w:t>
      </w:r>
    </w:p>
    <w:p w14:paraId="143D9009" w14:textId="2E126AD8" w:rsidR="006842EE" w:rsidRPr="000B0E59" w:rsidRDefault="008F2625">
      <w:pPr>
        <w:tabs>
          <w:tab w:val="left" w:pos="2268"/>
        </w:tabs>
        <w:spacing w:before="60" w:after="60"/>
        <w:rPr>
          <w:rFonts w:ascii="Titillium" w:hAnsi="Titillium" w:cs="Calibri"/>
          <w:iCs/>
          <w:color w:val="000000" w:themeColor="text1"/>
          <w:sz w:val="18"/>
          <w:szCs w:val="18"/>
        </w:rPr>
      </w:pPr>
      <w:r>
        <w:rPr>
          <w:rFonts w:ascii="Titillium" w:hAnsi="Titillium" w:cs="Calibri"/>
          <w:sz w:val="18"/>
          <w:szCs w:val="18"/>
        </w:rPr>
        <w:t xml:space="preserve">La domanda di partecipazione </w:t>
      </w:r>
      <w:r w:rsidRPr="00807787">
        <w:rPr>
          <w:rFonts w:ascii="Titillium" w:hAnsi="Titillium" w:cs="Calibri"/>
          <w:color w:val="000000" w:themeColor="text1"/>
          <w:sz w:val="18"/>
          <w:szCs w:val="18"/>
        </w:rPr>
        <w:t xml:space="preserve">è </w:t>
      </w:r>
      <w:r w:rsidR="002D2F5F" w:rsidRPr="00807787">
        <w:rPr>
          <w:rFonts w:ascii="Titillium" w:hAnsi="Titillium" w:cs="Calibri"/>
          <w:color w:val="000000" w:themeColor="text1"/>
          <w:sz w:val="18"/>
          <w:szCs w:val="18"/>
        </w:rPr>
        <w:t>redatta secondo il modello di cui all’allegato n</w:t>
      </w:r>
      <w:r w:rsidR="002D2F5F" w:rsidRPr="00C01A6F">
        <w:rPr>
          <w:rFonts w:ascii="Titillium" w:hAnsi="Titillium" w:cs="Calibri"/>
          <w:sz w:val="18"/>
          <w:szCs w:val="18"/>
        </w:rPr>
        <w:t xml:space="preserve">. …. </w:t>
      </w:r>
      <w:r w:rsidR="002D2F5F" w:rsidRPr="00807787">
        <w:rPr>
          <w:rFonts w:ascii="Titillium" w:hAnsi="Titillium" w:cs="Calibri"/>
          <w:color w:val="000000" w:themeColor="text1"/>
          <w:sz w:val="18"/>
          <w:szCs w:val="18"/>
        </w:rPr>
        <w:t>[</w:t>
      </w:r>
      <w:r w:rsidR="002D2F5F" w:rsidRPr="00CA6602">
        <w:rPr>
          <w:rFonts w:ascii="Titillium" w:hAnsi="Titillium" w:cs="Calibri"/>
          <w:i/>
          <w:iCs/>
          <w:color w:val="000000" w:themeColor="text1"/>
          <w:sz w:val="18"/>
          <w:szCs w:val="18"/>
        </w:rPr>
        <w:t>inserire</w:t>
      </w:r>
      <w:r w:rsidR="002D2F5F" w:rsidRPr="00114399">
        <w:rPr>
          <w:rFonts w:ascii="Titillium" w:hAnsi="Titillium" w:cs="Calibri"/>
          <w:color w:val="000000" w:themeColor="text1"/>
          <w:sz w:val="18"/>
          <w:szCs w:val="18"/>
        </w:rPr>
        <w:t xml:space="preserve">] </w:t>
      </w:r>
      <w:r w:rsidR="002D2F5F" w:rsidRPr="00807787">
        <w:rPr>
          <w:rFonts w:ascii="Titillium" w:hAnsi="Titillium" w:cs="Calibri"/>
          <w:color w:val="000000" w:themeColor="text1"/>
          <w:sz w:val="18"/>
          <w:szCs w:val="18"/>
        </w:rPr>
        <w:t>[</w:t>
      </w:r>
      <w:r w:rsidR="002D2F5F" w:rsidRPr="00114399">
        <w:rPr>
          <w:rFonts w:ascii="Titillium" w:hAnsi="Titillium" w:cs="Calibri"/>
          <w:i/>
          <w:iCs/>
          <w:color w:val="000000" w:themeColor="text1"/>
          <w:sz w:val="18"/>
          <w:szCs w:val="18"/>
        </w:rPr>
        <w:t>o in alternativa</w:t>
      </w:r>
      <w:r w:rsidR="002D2F5F" w:rsidRPr="00114399">
        <w:rPr>
          <w:rFonts w:ascii="Titillium" w:hAnsi="Titillium" w:cs="Calibri"/>
          <w:sz w:val="18"/>
          <w:szCs w:val="18"/>
        </w:rPr>
        <w:t>]</w:t>
      </w:r>
      <w:r w:rsidR="002D2F5F" w:rsidRPr="002D2F5F">
        <w:rPr>
          <w:rFonts w:ascii="Titillium" w:hAnsi="Titillium" w:cs="Calibri"/>
          <w:color w:val="5B9BD5" w:themeColor="accent1"/>
          <w:sz w:val="18"/>
          <w:szCs w:val="18"/>
        </w:rPr>
        <w:t xml:space="preserve"> </w:t>
      </w:r>
      <w:r w:rsidR="002D2F5F" w:rsidRPr="002D2F5F">
        <w:rPr>
          <w:rFonts w:ascii="Titillium" w:hAnsi="Titillium" w:cs="Calibri"/>
          <w:sz w:val="18"/>
          <w:szCs w:val="18"/>
        </w:rPr>
        <w:t xml:space="preserve">è </w:t>
      </w:r>
      <w:r>
        <w:rPr>
          <w:rFonts w:ascii="Titillium" w:hAnsi="Titillium" w:cs="Calibri"/>
          <w:iCs/>
          <w:sz w:val="18"/>
          <w:szCs w:val="18"/>
        </w:rPr>
        <w:t xml:space="preserve">compilata </w:t>
      </w:r>
      <w:r w:rsidRPr="000B0E59">
        <w:rPr>
          <w:rFonts w:ascii="Titillium" w:hAnsi="Titillium" w:cs="Calibri"/>
          <w:iCs/>
          <w:sz w:val="18"/>
          <w:szCs w:val="18"/>
        </w:rPr>
        <w:t xml:space="preserve">online sulla </w:t>
      </w:r>
      <w:r w:rsidR="00865045" w:rsidRPr="000B0E59">
        <w:rPr>
          <w:rFonts w:ascii="Titillium" w:hAnsi="Titillium" w:cs="Calibri"/>
          <w:iCs/>
          <w:color w:val="000000" w:themeColor="text1"/>
          <w:sz w:val="18"/>
          <w:szCs w:val="18"/>
        </w:rPr>
        <w:t>PAD</w:t>
      </w:r>
      <w:r w:rsidR="008349EF" w:rsidRPr="000B0E59">
        <w:rPr>
          <w:rFonts w:ascii="Titillium" w:hAnsi="Titillium" w:cs="Calibri"/>
          <w:iCs/>
          <w:color w:val="000000" w:themeColor="text1"/>
          <w:sz w:val="18"/>
          <w:szCs w:val="18"/>
        </w:rPr>
        <w:t>.</w:t>
      </w:r>
    </w:p>
    <w:p w14:paraId="772363F8" w14:textId="11114716" w:rsidR="008349EF" w:rsidRPr="000B0E59" w:rsidRDefault="008349EF" w:rsidP="008349EF">
      <w:pPr>
        <w:tabs>
          <w:tab w:val="left" w:pos="2268"/>
        </w:tabs>
        <w:spacing w:before="60" w:after="60"/>
        <w:rPr>
          <w:rFonts w:ascii="Titillium" w:hAnsi="Titillium" w:cs="Calibri"/>
          <w:iCs/>
          <w:sz w:val="18"/>
          <w:szCs w:val="18"/>
        </w:rPr>
      </w:pPr>
      <w:r w:rsidRPr="000B0E59">
        <w:rPr>
          <w:rFonts w:ascii="Titillium" w:hAnsi="Titillium" w:cs="Calibri"/>
          <w:iCs/>
          <w:sz w:val="18"/>
          <w:szCs w:val="18"/>
        </w:rPr>
        <w:t>In conformità a quanto previsto dall’art</w:t>
      </w:r>
      <w:r w:rsidR="00F51AEF" w:rsidRPr="000B0E59">
        <w:rPr>
          <w:rFonts w:ascii="Titillium" w:hAnsi="Titillium" w:cs="Calibri"/>
          <w:iCs/>
          <w:sz w:val="18"/>
          <w:szCs w:val="18"/>
        </w:rPr>
        <w:t>icolo</w:t>
      </w:r>
      <w:r w:rsidRPr="000B0E59">
        <w:rPr>
          <w:rFonts w:ascii="Titillium" w:hAnsi="Titillium" w:cs="Calibri"/>
          <w:iCs/>
          <w:sz w:val="18"/>
          <w:szCs w:val="18"/>
        </w:rPr>
        <w:t xml:space="preserve"> 13 della </w:t>
      </w:r>
      <w:r w:rsidR="00F51AEF" w:rsidRPr="000B0E59">
        <w:rPr>
          <w:rFonts w:ascii="Titillium" w:hAnsi="Titillium" w:cs="Calibri"/>
          <w:iCs/>
          <w:sz w:val="18"/>
          <w:szCs w:val="18"/>
        </w:rPr>
        <w:t>legge</w:t>
      </w:r>
      <w:r w:rsidRPr="000B0E59">
        <w:rPr>
          <w:rFonts w:ascii="Titillium" w:hAnsi="Titillium" w:cs="Calibri"/>
          <w:iCs/>
          <w:sz w:val="18"/>
          <w:szCs w:val="18"/>
        </w:rPr>
        <w:t>132/2025 nella domanda il concorrente è tenuto a dichiarare:</w:t>
      </w:r>
    </w:p>
    <w:p w14:paraId="53951910" w14:textId="0055A045" w:rsidR="008349EF" w:rsidRPr="000B0E59" w:rsidRDefault="008349EF" w:rsidP="00D26F03">
      <w:pPr>
        <w:pStyle w:val="Paragrafoelenco"/>
        <w:numPr>
          <w:ilvl w:val="0"/>
          <w:numId w:val="51"/>
        </w:numPr>
        <w:tabs>
          <w:tab w:val="left" w:pos="2268"/>
        </w:tabs>
        <w:spacing w:before="60" w:after="60"/>
        <w:rPr>
          <w:rFonts w:ascii="Titillium" w:hAnsi="Titillium" w:cs="Calibri"/>
          <w:iCs/>
          <w:sz w:val="18"/>
          <w:szCs w:val="18"/>
        </w:rPr>
      </w:pPr>
      <w:r w:rsidRPr="000B0E59">
        <w:rPr>
          <w:rFonts w:ascii="Titillium" w:hAnsi="Titillium" w:cs="Calibri"/>
          <w:iCs/>
          <w:sz w:val="18"/>
          <w:szCs w:val="18"/>
        </w:rPr>
        <w:t>se nell’elaborazione dell’offerta tecnica si è avvalso dei sistemi di intelligenza artificiale, specificando in caso di dichiarazione positiva di quale tipologia ed assicurando comunque la prevalenza del lavoro intellettuale, il controllo e la verifica dei risultati ottenuti e garantendo che l’uso di tali sistemi è avvenuto nel pieno rispetto del Regolamento UE 2024/1689</w:t>
      </w:r>
      <w:r w:rsidR="009A310D" w:rsidRPr="000B0E59">
        <w:rPr>
          <w:rFonts w:ascii="Titillium" w:hAnsi="Titillium" w:cs="Calibri"/>
          <w:iCs/>
          <w:sz w:val="18"/>
          <w:szCs w:val="18"/>
        </w:rPr>
        <w:t>,</w:t>
      </w:r>
      <w:r w:rsidRPr="000B0E59">
        <w:rPr>
          <w:rFonts w:ascii="Titillium" w:hAnsi="Titillium" w:cs="Calibri"/>
          <w:iCs/>
          <w:sz w:val="18"/>
          <w:szCs w:val="18"/>
        </w:rPr>
        <w:t xml:space="preserve"> </w:t>
      </w:r>
      <w:r w:rsidR="009A310D" w:rsidRPr="000B0E59">
        <w:rPr>
          <w:rFonts w:ascii="Titillium" w:hAnsi="Titillium" w:cs="Calibri"/>
          <w:iCs/>
          <w:sz w:val="18"/>
          <w:szCs w:val="18"/>
        </w:rPr>
        <w:t xml:space="preserve">della legge n. 132 del 2025 </w:t>
      </w:r>
      <w:r w:rsidRPr="000B0E59">
        <w:rPr>
          <w:rFonts w:ascii="Titillium" w:hAnsi="Titillium" w:cs="Calibri"/>
          <w:iCs/>
          <w:sz w:val="18"/>
          <w:szCs w:val="18"/>
        </w:rPr>
        <w:t>e della vigente normativa sul trattamento e protezione dei dati (Reg</w:t>
      </w:r>
      <w:r w:rsidR="00F51AEF" w:rsidRPr="000B0E59">
        <w:rPr>
          <w:rFonts w:ascii="Titillium" w:hAnsi="Titillium" w:cs="Calibri"/>
          <w:iCs/>
          <w:sz w:val="18"/>
          <w:szCs w:val="18"/>
        </w:rPr>
        <w:t>olamento</w:t>
      </w:r>
      <w:r w:rsidRPr="000B0E59">
        <w:rPr>
          <w:rFonts w:ascii="Titillium" w:hAnsi="Titillium" w:cs="Calibri"/>
          <w:iCs/>
          <w:sz w:val="18"/>
          <w:szCs w:val="18"/>
        </w:rPr>
        <w:t xml:space="preserve"> UE 2016/679, </w:t>
      </w:r>
      <w:r w:rsidR="00F51AEF" w:rsidRPr="000B0E59">
        <w:rPr>
          <w:rFonts w:ascii="Titillium" w:hAnsi="Titillium" w:cs="Calibri"/>
          <w:iCs/>
          <w:sz w:val="18"/>
          <w:szCs w:val="18"/>
        </w:rPr>
        <w:t xml:space="preserve">decreto legislativo </w:t>
      </w:r>
      <w:r w:rsidRPr="000B0E59">
        <w:rPr>
          <w:rFonts w:ascii="Titillium" w:hAnsi="Titillium" w:cs="Calibri"/>
          <w:iCs/>
          <w:sz w:val="18"/>
          <w:szCs w:val="18"/>
        </w:rPr>
        <w:t>19</w:t>
      </w:r>
      <w:r w:rsidR="00312D6B" w:rsidRPr="000B0E59">
        <w:rPr>
          <w:rFonts w:ascii="Titillium" w:hAnsi="Titillium" w:cs="Calibri"/>
          <w:iCs/>
          <w:sz w:val="18"/>
          <w:szCs w:val="18"/>
        </w:rPr>
        <w:t>6</w:t>
      </w:r>
      <w:r w:rsidRPr="000B0E59">
        <w:rPr>
          <w:rFonts w:ascii="Titillium" w:hAnsi="Titillium" w:cs="Calibri"/>
          <w:iCs/>
          <w:sz w:val="18"/>
          <w:szCs w:val="18"/>
        </w:rPr>
        <w:t>/200</w:t>
      </w:r>
      <w:r w:rsidR="00312D6B" w:rsidRPr="000B0E59">
        <w:rPr>
          <w:rFonts w:ascii="Titillium" w:hAnsi="Titillium" w:cs="Calibri"/>
          <w:iCs/>
          <w:sz w:val="18"/>
          <w:szCs w:val="18"/>
        </w:rPr>
        <w:t>3</w:t>
      </w:r>
      <w:r w:rsidRPr="000B0E59">
        <w:rPr>
          <w:rFonts w:ascii="Titillium" w:hAnsi="Titillium" w:cs="Calibri"/>
          <w:iCs/>
          <w:sz w:val="18"/>
          <w:szCs w:val="18"/>
        </w:rPr>
        <w:t>)</w:t>
      </w:r>
      <w:r w:rsidR="00146D32" w:rsidRPr="000B0E59">
        <w:rPr>
          <w:rFonts w:ascii="Titillium" w:hAnsi="Titillium" w:cs="Calibri"/>
          <w:iCs/>
          <w:sz w:val="18"/>
          <w:szCs w:val="18"/>
        </w:rPr>
        <w:t>;</w:t>
      </w:r>
    </w:p>
    <w:p w14:paraId="768FB0CD" w14:textId="7CA725A8" w:rsidR="008349EF" w:rsidRPr="000B0E59" w:rsidRDefault="008349EF" w:rsidP="00D26F03">
      <w:pPr>
        <w:pStyle w:val="Paragrafoelenco"/>
        <w:numPr>
          <w:ilvl w:val="0"/>
          <w:numId w:val="51"/>
        </w:numPr>
        <w:tabs>
          <w:tab w:val="left" w:pos="2268"/>
        </w:tabs>
        <w:spacing w:before="60" w:after="60"/>
        <w:rPr>
          <w:rFonts w:ascii="Titillium" w:hAnsi="Titillium" w:cs="Calibri"/>
          <w:iCs/>
          <w:sz w:val="18"/>
          <w:szCs w:val="18"/>
        </w:rPr>
      </w:pPr>
      <w:r w:rsidRPr="000B0E59">
        <w:rPr>
          <w:rFonts w:ascii="Titillium" w:hAnsi="Titillium" w:cs="Calibri"/>
          <w:iCs/>
          <w:sz w:val="18"/>
          <w:szCs w:val="18"/>
        </w:rPr>
        <w:t xml:space="preserve">se, in caso di aggiudicazione dell’appalto, si avvarrà di sistemi di intelligenza </w:t>
      </w:r>
      <w:r w:rsidR="00F51AEF" w:rsidRPr="000B0E59">
        <w:rPr>
          <w:rFonts w:ascii="Titillium" w:hAnsi="Titillium" w:cs="Calibri"/>
          <w:iCs/>
          <w:sz w:val="18"/>
          <w:szCs w:val="18"/>
        </w:rPr>
        <w:t>artificiale ai</w:t>
      </w:r>
      <w:r w:rsidRPr="000B0E59">
        <w:rPr>
          <w:rFonts w:ascii="Titillium" w:hAnsi="Titillium" w:cs="Calibri"/>
          <w:iCs/>
          <w:sz w:val="18"/>
          <w:szCs w:val="18"/>
        </w:rPr>
        <w:t xml:space="preserve"> fini dell’esecuzione della prestazione impegnandosi ad assicurare il rispetto delle medesime condizioni e garantendo l’osservanza del medesimo Regolamento UE 2024/1689</w:t>
      </w:r>
      <w:r w:rsidR="00893834" w:rsidRPr="000B0E59">
        <w:rPr>
          <w:rFonts w:ascii="Titillium" w:hAnsi="Titillium" w:cs="Calibri"/>
          <w:iCs/>
          <w:sz w:val="18"/>
          <w:szCs w:val="18"/>
        </w:rPr>
        <w:t>, della legge n. 132 del 2025</w:t>
      </w:r>
      <w:r w:rsidRPr="000B0E59">
        <w:rPr>
          <w:rFonts w:ascii="Titillium" w:hAnsi="Titillium" w:cs="Calibri"/>
          <w:iCs/>
          <w:sz w:val="18"/>
          <w:szCs w:val="18"/>
        </w:rPr>
        <w:t xml:space="preserve"> e della normativa sul trattamento e protezione dei dati. </w:t>
      </w:r>
    </w:p>
    <w:p w14:paraId="70136399" w14:textId="21C959CA" w:rsidR="006842EE" w:rsidRPr="00BE42D5" w:rsidRDefault="008F2625">
      <w:pPr>
        <w:spacing w:before="60" w:after="60"/>
        <w:rPr>
          <w:rFonts w:ascii="Titillium" w:hAnsi="Titillium"/>
          <w:sz w:val="18"/>
          <w:szCs w:val="18"/>
        </w:rPr>
      </w:pPr>
      <w:r>
        <w:rPr>
          <w:rFonts w:ascii="Titillium" w:hAnsi="Titillium" w:cs="Calibri"/>
          <w:sz w:val="18"/>
          <w:szCs w:val="18"/>
        </w:rPr>
        <w:t xml:space="preserve">La domanda e le relative dichiarazioni sono </w:t>
      </w:r>
      <w:r w:rsidRPr="00197789">
        <w:rPr>
          <w:rFonts w:ascii="Titillium" w:hAnsi="Titillium" w:cs="Calibri"/>
          <w:sz w:val="18"/>
          <w:szCs w:val="18"/>
        </w:rPr>
        <w:t>sottoscritte</w:t>
      </w:r>
      <w:r w:rsidRPr="00197789">
        <w:rPr>
          <w:rFonts w:ascii="Titillium" w:hAnsi="Titillium"/>
          <w:sz w:val="18"/>
          <w:szCs w:val="18"/>
        </w:rPr>
        <w:t xml:space="preserve"> </w:t>
      </w:r>
      <w:r w:rsidR="00BE42D5" w:rsidRPr="00197789">
        <w:rPr>
          <w:rFonts w:ascii="Titillium" w:hAnsi="Titillium" w:cs="Calibri"/>
          <w:sz w:val="18"/>
          <w:szCs w:val="18"/>
        </w:rPr>
        <w:t>secondo</w:t>
      </w:r>
      <w:r w:rsidR="00BE42D5" w:rsidRPr="00197789">
        <w:rPr>
          <w:rFonts w:ascii="Titillium" w:hAnsi="Titillium" w:cs="Calibri"/>
          <w:color w:val="EE0000"/>
          <w:sz w:val="18"/>
          <w:szCs w:val="18"/>
        </w:rPr>
        <w:t xml:space="preserve"> </w:t>
      </w:r>
      <w:r w:rsidR="00BE42D5" w:rsidRPr="00197789">
        <w:rPr>
          <w:rFonts w:ascii="Titillium" w:hAnsi="Titillium" w:cs="Calibri"/>
          <w:sz w:val="18"/>
          <w:szCs w:val="18"/>
        </w:rPr>
        <w:t>le modalità di cui al precedente paragrafo 13</w:t>
      </w:r>
      <w:r w:rsidR="00DA498E" w:rsidRPr="00197789">
        <w:rPr>
          <w:rFonts w:ascii="Titillium" w:hAnsi="Titillium" w:cs="Calibri"/>
          <w:sz w:val="18"/>
          <w:szCs w:val="18"/>
        </w:rPr>
        <w:t>.</w:t>
      </w:r>
    </w:p>
    <w:p w14:paraId="32E0DF17" w14:textId="79D18A39" w:rsidR="006842EE" w:rsidRDefault="008F2625" w:rsidP="00D26F03">
      <w:pPr>
        <w:pStyle w:val="Paragrafoelenco"/>
        <w:numPr>
          <w:ilvl w:val="0"/>
          <w:numId w:val="7"/>
        </w:numPr>
        <w:spacing w:before="60" w:after="60"/>
        <w:rPr>
          <w:rFonts w:ascii="Titillium" w:hAnsi="Titillium"/>
          <w:sz w:val="18"/>
          <w:szCs w:val="18"/>
        </w:rPr>
      </w:pPr>
      <w:r w:rsidRPr="000772B9">
        <w:rPr>
          <w:rFonts w:ascii="Titillium" w:hAnsi="Titillium"/>
          <w:sz w:val="18"/>
          <w:szCs w:val="18"/>
        </w:rPr>
        <w:t xml:space="preserve">dal </w:t>
      </w:r>
      <w:r w:rsidR="002F3CD1" w:rsidRPr="000772B9">
        <w:rPr>
          <w:rFonts w:ascii="Titillium" w:hAnsi="Titillium"/>
          <w:sz w:val="18"/>
          <w:szCs w:val="18"/>
        </w:rPr>
        <w:t xml:space="preserve">professionista </w:t>
      </w:r>
      <w:r w:rsidRPr="000772B9">
        <w:rPr>
          <w:rFonts w:ascii="Titillium" w:hAnsi="Titillium"/>
          <w:sz w:val="18"/>
          <w:szCs w:val="18"/>
        </w:rPr>
        <w:t>che partecipa</w:t>
      </w:r>
      <w:r w:rsidRPr="00DF1C17">
        <w:rPr>
          <w:rFonts w:ascii="Titillium" w:hAnsi="Titillium"/>
          <w:sz w:val="18"/>
          <w:szCs w:val="18"/>
        </w:rPr>
        <w:t xml:space="preserve"> in forma singola;</w:t>
      </w:r>
    </w:p>
    <w:p w14:paraId="77DB4E98" w14:textId="77777777" w:rsidR="006842EE" w:rsidRDefault="008F2625" w:rsidP="00D26F03">
      <w:pPr>
        <w:pStyle w:val="Paragrafoelenco"/>
        <w:numPr>
          <w:ilvl w:val="0"/>
          <w:numId w:val="7"/>
        </w:numPr>
        <w:spacing w:before="60" w:after="60"/>
        <w:rPr>
          <w:rFonts w:ascii="Titillium" w:hAnsi="Titillium"/>
          <w:sz w:val="18"/>
          <w:szCs w:val="18"/>
        </w:rPr>
      </w:pPr>
      <w:r>
        <w:rPr>
          <w:rFonts w:ascii="Titillium" w:hAnsi="Titillium"/>
          <w:sz w:val="18"/>
          <w:szCs w:val="18"/>
        </w:rPr>
        <w:t>nel caso di studio associato, da tutti gli associati o dal rappresentante munito di idonei poteri;</w:t>
      </w:r>
    </w:p>
    <w:p w14:paraId="336303DF" w14:textId="73B1A899" w:rsidR="006842EE" w:rsidRDefault="008F2625" w:rsidP="00D26F03">
      <w:pPr>
        <w:pStyle w:val="Paragrafoelenco"/>
        <w:numPr>
          <w:ilvl w:val="0"/>
          <w:numId w:val="7"/>
        </w:numPr>
        <w:spacing w:before="60" w:after="60"/>
        <w:rPr>
          <w:rFonts w:ascii="Titillium" w:hAnsi="Titillium"/>
          <w:sz w:val="18"/>
          <w:szCs w:val="18"/>
        </w:rPr>
      </w:pPr>
      <w:r>
        <w:rPr>
          <w:rFonts w:ascii="Titillium" w:hAnsi="Titillium"/>
          <w:sz w:val="18"/>
          <w:szCs w:val="18"/>
        </w:rPr>
        <w:t>nel caso di società o consorzi stabili, dal legale rappresentante</w:t>
      </w:r>
      <w:r w:rsidR="006E5FA3">
        <w:rPr>
          <w:rFonts w:ascii="Titillium" w:hAnsi="Titillium"/>
          <w:sz w:val="18"/>
          <w:szCs w:val="18"/>
        </w:rPr>
        <w:t xml:space="preserve"> della società o del consorzio</w:t>
      </w:r>
      <w:r>
        <w:rPr>
          <w:rFonts w:ascii="Titillium" w:hAnsi="Titillium"/>
          <w:sz w:val="18"/>
          <w:szCs w:val="18"/>
        </w:rPr>
        <w:t>;</w:t>
      </w:r>
    </w:p>
    <w:p w14:paraId="78985627" w14:textId="77777777" w:rsidR="006842EE" w:rsidRDefault="008F2625" w:rsidP="00D26F03">
      <w:pPr>
        <w:pStyle w:val="Paragrafoelenco"/>
        <w:numPr>
          <w:ilvl w:val="0"/>
          <w:numId w:val="7"/>
        </w:numPr>
        <w:spacing w:before="60" w:after="60"/>
        <w:rPr>
          <w:rFonts w:ascii="Titillium" w:hAnsi="Titillium"/>
          <w:sz w:val="18"/>
          <w:szCs w:val="18"/>
        </w:rPr>
      </w:pPr>
      <w:r w:rsidRPr="00DF1C17">
        <w:rPr>
          <w:rFonts w:ascii="Titillium" w:hAnsi="Titillium"/>
          <w:sz w:val="18"/>
          <w:szCs w:val="18"/>
        </w:rPr>
        <w:t>nel caso di raggruppamento temporaneo o consorzio ordinario o GEIE costituiti, dalla mandataria/capofila;</w:t>
      </w:r>
    </w:p>
    <w:p w14:paraId="072E15B3" w14:textId="77777777" w:rsidR="006842EE" w:rsidRDefault="008F2625" w:rsidP="00D26F03">
      <w:pPr>
        <w:pStyle w:val="Paragrafoelenco"/>
        <w:numPr>
          <w:ilvl w:val="0"/>
          <w:numId w:val="7"/>
        </w:numPr>
        <w:spacing w:before="60" w:after="60"/>
        <w:rPr>
          <w:rFonts w:ascii="Titillium" w:hAnsi="Titillium"/>
          <w:sz w:val="18"/>
          <w:szCs w:val="18"/>
        </w:rPr>
      </w:pPr>
      <w:r w:rsidRPr="00DF1C17">
        <w:rPr>
          <w:rFonts w:ascii="Titillium" w:hAnsi="Titillium"/>
          <w:sz w:val="18"/>
          <w:szCs w:val="18"/>
        </w:rPr>
        <w:t>nel caso di raggruppamento temporaneo o consorzio ordinario o GEIE non ancora costituiti, da tutti i soggetti che costituiranno il raggruppamento o il consorzio o il gruppo;</w:t>
      </w:r>
    </w:p>
    <w:p w14:paraId="0E032D80" w14:textId="77777777" w:rsidR="006842EE" w:rsidRPr="00DF1C17" w:rsidRDefault="008F2625" w:rsidP="00D26F03">
      <w:pPr>
        <w:pStyle w:val="Paragrafoelenco"/>
        <w:numPr>
          <w:ilvl w:val="0"/>
          <w:numId w:val="7"/>
        </w:numPr>
        <w:spacing w:before="60" w:after="60"/>
        <w:rPr>
          <w:rFonts w:ascii="Titillium" w:hAnsi="Titillium"/>
          <w:sz w:val="18"/>
          <w:szCs w:val="18"/>
        </w:rPr>
      </w:pPr>
      <w:r w:rsidRPr="00DF1C17">
        <w:rPr>
          <w:rFonts w:ascii="Titillium" w:hAnsi="Titillium"/>
          <w:sz w:val="18"/>
          <w:szCs w:val="18"/>
        </w:rPr>
        <w:t>nel caso di aggregazioni di retisti:</w:t>
      </w:r>
    </w:p>
    <w:p w14:paraId="2AF54731" w14:textId="755431F3" w:rsidR="006842EE" w:rsidRDefault="008F2625">
      <w:pPr>
        <w:numPr>
          <w:ilvl w:val="4"/>
          <w:numId w:val="1"/>
        </w:numPr>
        <w:spacing w:before="60" w:after="60"/>
        <w:ind w:left="709" w:hanging="283"/>
        <w:rPr>
          <w:rFonts w:ascii="Titillium" w:hAnsi="Titillium"/>
          <w:sz w:val="18"/>
          <w:szCs w:val="18"/>
        </w:rPr>
      </w:pPr>
      <w:r>
        <w:rPr>
          <w:rFonts w:ascii="Titillium" w:hAnsi="Titillium" w:cs="Calibri"/>
          <w:sz w:val="18"/>
          <w:szCs w:val="18"/>
        </w:rPr>
        <w:t>se la rete è dotata di un organo comune con potere di rappresentanza e con soggettività giuridica, ai sensi dell’articolo 3, comma 4-</w:t>
      </w:r>
      <w:r>
        <w:rPr>
          <w:rFonts w:ascii="Titillium" w:hAnsi="Titillium" w:cs="Calibri"/>
          <w:i/>
          <w:sz w:val="18"/>
          <w:szCs w:val="18"/>
        </w:rPr>
        <w:t>quater</w:t>
      </w:r>
      <w:r>
        <w:rPr>
          <w:rFonts w:ascii="Titillium" w:hAnsi="Titillium" w:cs="Calibri"/>
          <w:sz w:val="18"/>
          <w:szCs w:val="18"/>
        </w:rPr>
        <w:t>, del decreto</w:t>
      </w:r>
      <w:r w:rsidR="00776DFE">
        <w:rPr>
          <w:rFonts w:ascii="Titillium" w:hAnsi="Titillium" w:cs="Calibri"/>
          <w:sz w:val="18"/>
          <w:szCs w:val="18"/>
        </w:rPr>
        <w:t>-</w:t>
      </w:r>
      <w:r>
        <w:rPr>
          <w:rFonts w:ascii="Titillium" w:hAnsi="Titillium" w:cs="Calibri"/>
          <w:sz w:val="18"/>
          <w:szCs w:val="18"/>
        </w:rPr>
        <w:t>legge 10 febbraio 2009, n. 5, la domanda di partecipazione deve essere sottoscritta dal solo operatore economico che riveste la funzione di organo comune;</w:t>
      </w:r>
    </w:p>
    <w:p w14:paraId="1EB8E56A" w14:textId="258F789B" w:rsidR="006842EE" w:rsidRDefault="008F2625">
      <w:pPr>
        <w:numPr>
          <w:ilvl w:val="4"/>
          <w:numId w:val="1"/>
        </w:numPr>
        <w:spacing w:before="60" w:after="60"/>
        <w:ind w:left="709" w:hanging="283"/>
        <w:rPr>
          <w:rFonts w:ascii="Titillium" w:hAnsi="Titillium"/>
          <w:sz w:val="18"/>
          <w:szCs w:val="18"/>
        </w:rPr>
      </w:pPr>
      <w:r>
        <w:rPr>
          <w:rFonts w:ascii="Titillium" w:hAnsi="Titillium" w:cs="Calibri"/>
          <w:sz w:val="18"/>
          <w:szCs w:val="18"/>
          <w:lang w:eastAsia="it-IT"/>
        </w:rPr>
        <w:t>se la rete è dotata di un organo comune con potere di rappresentanza ma è priva di soggettività giuridica, ai sensi dell’articolo 3, comma 4-</w:t>
      </w:r>
      <w:r>
        <w:rPr>
          <w:rFonts w:ascii="Titillium" w:hAnsi="Titillium" w:cs="Calibri"/>
          <w:i/>
          <w:sz w:val="18"/>
          <w:szCs w:val="18"/>
          <w:lang w:eastAsia="it-IT"/>
        </w:rPr>
        <w:t>quater</w:t>
      </w:r>
      <w:r>
        <w:rPr>
          <w:rFonts w:ascii="Titillium" w:hAnsi="Titillium" w:cs="Calibri"/>
          <w:sz w:val="18"/>
          <w:szCs w:val="18"/>
          <w:lang w:eastAsia="it-IT"/>
        </w:rPr>
        <w:t>, del decreto</w:t>
      </w:r>
      <w:r w:rsidR="00776DFE">
        <w:rPr>
          <w:rFonts w:ascii="Titillium" w:hAnsi="Titillium" w:cs="Calibri"/>
          <w:sz w:val="18"/>
          <w:szCs w:val="18"/>
          <w:lang w:eastAsia="it-IT"/>
        </w:rPr>
        <w:t>-</w:t>
      </w:r>
      <w:r>
        <w:rPr>
          <w:rFonts w:ascii="Titillium" w:hAnsi="Titillium" w:cs="Calibri"/>
          <w:sz w:val="18"/>
          <w:szCs w:val="18"/>
          <w:lang w:eastAsia="it-IT"/>
        </w:rPr>
        <w:t xml:space="preserve">legge 10 febbraio 2009, n. 5, la domanda di partecipazione deve essere sottoscritta </w:t>
      </w:r>
      <w:r>
        <w:rPr>
          <w:rFonts w:ascii="Titillium" w:hAnsi="Titillium" w:cs="Calibri"/>
          <w:sz w:val="18"/>
          <w:szCs w:val="18"/>
        </w:rPr>
        <w:t>dal</w:t>
      </w:r>
      <w:r>
        <w:rPr>
          <w:rFonts w:ascii="Titillium" w:hAnsi="Titillium" w:cs="Calibri"/>
          <w:sz w:val="18"/>
          <w:szCs w:val="18"/>
          <w:lang w:eastAsia="it-IT"/>
        </w:rPr>
        <w:t xml:space="preserve">l’impresa che riveste le funzioni di organo comune nonché da ognuno dei retisti che partecipa alla gara; </w:t>
      </w:r>
    </w:p>
    <w:p w14:paraId="3645D958" w14:textId="77777777" w:rsidR="006842EE" w:rsidRDefault="008F2625">
      <w:pPr>
        <w:numPr>
          <w:ilvl w:val="4"/>
          <w:numId w:val="1"/>
        </w:numPr>
        <w:spacing w:before="60" w:after="60"/>
        <w:ind w:left="709" w:hanging="283"/>
        <w:rPr>
          <w:rFonts w:ascii="Titillium" w:hAnsi="Titillium"/>
          <w:sz w:val="18"/>
          <w:szCs w:val="18"/>
        </w:rPr>
      </w:pPr>
      <w:r>
        <w:rPr>
          <w:rFonts w:ascii="Titillium" w:hAnsi="Titillium" w:cs="Calibri"/>
          <w:sz w:val="18"/>
          <w:szCs w:val="18"/>
          <w:lang w:eastAsia="it-IT"/>
        </w:rPr>
        <w:t xml:space="preserve">se la rete è dotata di un organo comune privo del potere di rappresentanza o se la rete è sprovvista di organo comune, oppure se l’organo comune è privo dei requisiti di qualificazione richiesti per assumere la veste di mandataria, la domanda di partecipazione deve essere sottoscritta dal retista che riveste la qualifica di mandatario, ovvero, in caso di partecipazione nelle forme del raggruppamento da costituirsi, da ognuno dei retisti che partecipa alla gara. </w:t>
      </w:r>
    </w:p>
    <w:p w14:paraId="28E1F13D" w14:textId="77777777" w:rsidR="00DF1C17" w:rsidRDefault="00DF1C17" w:rsidP="007872CA">
      <w:pPr>
        <w:spacing w:before="60" w:after="60"/>
        <w:ind w:left="426" w:hanging="256"/>
        <w:rPr>
          <w:rFonts w:ascii="Titillium" w:hAnsi="Titillium" w:cs="Arial"/>
          <w:sz w:val="18"/>
          <w:szCs w:val="18"/>
        </w:rPr>
      </w:pPr>
    </w:p>
    <w:p w14:paraId="62BBC033" w14:textId="627F48A4" w:rsidR="006842EE" w:rsidRDefault="008F2625" w:rsidP="00862788">
      <w:pPr>
        <w:spacing w:before="60" w:after="60"/>
        <w:rPr>
          <w:rFonts w:ascii="Titillium" w:hAnsi="Titillium"/>
          <w:iCs/>
          <w:sz w:val="18"/>
          <w:szCs w:val="18"/>
        </w:rPr>
      </w:pPr>
      <w:r>
        <w:rPr>
          <w:rFonts w:ascii="Titillium" w:hAnsi="Titillium"/>
          <w:sz w:val="18"/>
          <w:szCs w:val="18"/>
        </w:rPr>
        <w:t>La domanda e le relative dichiarazioni sono firmate dal legale rappresentante del concorrente o da un suo procuratore munito della relativa procura</w:t>
      </w:r>
      <w:r>
        <w:rPr>
          <w:rFonts w:ascii="Titillium" w:hAnsi="Titillium"/>
          <w:b/>
          <w:sz w:val="18"/>
          <w:szCs w:val="18"/>
        </w:rPr>
        <w:t xml:space="preserve">. </w:t>
      </w:r>
      <w:r>
        <w:rPr>
          <w:rFonts w:ascii="Titillium" w:hAnsi="Titillium"/>
          <w:sz w:val="18"/>
          <w:szCs w:val="18"/>
        </w:rPr>
        <w:t xml:space="preserve">In tal caso, il concorrente allega alla domanda copia conforme all’originale della procura. </w:t>
      </w:r>
      <w:r>
        <w:rPr>
          <w:rFonts w:ascii="Titillium" w:hAnsi="Titillium"/>
          <w:iCs/>
          <w:sz w:val="18"/>
          <w:szCs w:val="18"/>
        </w:rPr>
        <w:t>Non è necessario allegare la procura se dalla visura camerale del concorrente risulti l’indicazione espressa dei poteri rappresentativi conferiti al procuratore</w:t>
      </w:r>
      <w:r w:rsidR="00E66F46">
        <w:rPr>
          <w:rFonts w:ascii="Titillium" w:hAnsi="Titillium"/>
          <w:iCs/>
          <w:sz w:val="18"/>
          <w:szCs w:val="18"/>
        </w:rPr>
        <w:t>.</w:t>
      </w:r>
    </w:p>
    <w:p w14:paraId="57C943D6" w14:textId="77777777" w:rsidR="006842EE" w:rsidRPr="007872CA" w:rsidRDefault="008F2625">
      <w:pPr>
        <w:pBdr>
          <w:top w:val="single" w:sz="4" w:space="1" w:color="000000"/>
          <w:left w:val="single" w:sz="4" w:space="4" w:color="000000"/>
          <w:bottom w:val="single" w:sz="4" w:space="1" w:color="000000"/>
          <w:right w:val="single" w:sz="4" w:space="4" w:color="000000"/>
        </w:pBdr>
        <w:spacing w:before="60" w:after="60"/>
        <w:rPr>
          <w:rFonts w:ascii="Titillium" w:hAnsi="Titillium" w:cs="Arial"/>
          <w:i/>
          <w:iCs/>
          <w:sz w:val="18"/>
          <w:szCs w:val="18"/>
        </w:rPr>
      </w:pPr>
      <w:r w:rsidRPr="007872CA">
        <w:rPr>
          <w:rFonts w:ascii="Titillium" w:hAnsi="Titillium" w:cs="Arial"/>
          <w:i/>
          <w:iCs/>
          <w:sz w:val="18"/>
          <w:szCs w:val="18"/>
        </w:rPr>
        <w:t>N.B. Nel caso di suddivisione della gara in lotti in cui sono previsti criteri di selezione diversi, le dichiarazioni sono rese con riferimento a ciascun lotto cui si intende partecipare. Se vi sono lotti per i quali sono previsti i medesimi criteri di selezione, la stazione appaltante può prevedere la presentazione di un’unica dichiarazione.</w:t>
      </w:r>
    </w:p>
    <w:p w14:paraId="5F3C4461" w14:textId="235E2E34" w:rsidR="006842EE" w:rsidRPr="007872CA" w:rsidRDefault="008F2625">
      <w:pPr>
        <w:pBdr>
          <w:top w:val="single" w:sz="4" w:space="1" w:color="000000"/>
          <w:left w:val="single" w:sz="4" w:space="4" w:color="000000"/>
          <w:bottom w:val="single" w:sz="4" w:space="1" w:color="000000"/>
          <w:right w:val="single" w:sz="4" w:space="4" w:color="000000"/>
        </w:pBdr>
        <w:rPr>
          <w:rFonts w:ascii="Titillium" w:hAnsi="Titillium"/>
          <w:i/>
          <w:iCs/>
          <w:sz w:val="18"/>
          <w:szCs w:val="18"/>
        </w:rPr>
      </w:pPr>
      <w:r w:rsidRPr="007872CA">
        <w:rPr>
          <w:rFonts w:ascii="Titillium" w:hAnsi="Titillium" w:cs="Arial"/>
          <w:i/>
          <w:iCs/>
          <w:sz w:val="18"/>
          <w:szCs w:val="18"/>
        </w:rPr>
        <w:t xml:space="preserve">Qualora la </w:t>
      </w:r>
      <w:r w:rsidR="004656DD" w:rsidRPr="007872CA">
        <w:rPr>
          <w:rFonts w:ascii="Titillium" w:hAnsi="Titillium" w:cs="Arial"/>
          <w:i/>
          <w:iCs/>
          <w:color w:val="000000" w:themeColor="text1"/>
          <w:sz w:val="18"/>
          <w:szCs w:val="18"/>
        </w:rPr>
        <w:t>PAD</w:t>
      </w:r>
      <w:r w:rsidR="004656DD" w:rsidRPr="007872CA">
        <w:rPr>
          <w:rFonts w:ascii="Titillium" w:hAnsi="Titillium" w:cs="Arial"/>
          <w:i/>
          <w:iCs/>
          <w:color w:val="2E74B5" w:themeColor="accent1" w:themeShade="BF"/>
          <w:sz w:val="18"/>
          <w:szCs w:val="18"/>
        </w:rPr>
        <w:t xml:space="preserve"> </w:t>
      </w:r>
      <w:r w:rsidR="00807787" w:rsidRPr="007872CA">
        <w:rPr>
          <w:rFonts w:ascii="Titillium" w:hAnsi="Titillium" w:cs="Arial"/>
          <w:i/>
          <w:iCs/>
          <w:sz w:val="18"/>
          <w:szCs w:val="18"/>
        </w:rPr>
        <w:t>u</w:t>
      </w:r>
      <w:r w:rsidRPr="007872CA">
        <w:rPr>
          <w:rFonts w:ascii="Titillium" w:hAnsi="Titillium" w:cs="Arial"/>
          <w:i/>
          <w:iCs/>
          <w:sz w:val="18"/>
          <w:szCs w:val="18"/>
        </w:rPr>
        <w:t>tilizzata dalla stazione appaltante preveda che in caso di partecipazione di operatori riuniti o associati vengano autogenerate tante domande di partecipazione quanti sono i componenti del raggruppamento/ consorzio ordinario l’amministrazione definisce le modalità di presentazione e sottoscrizione delle stesse.</w:t>
      </w:r>
    </w:p>
    <w:p w14:paraId="26181CB3" w14:textId="77777777" w:rsidR="006842EE" w:rsidRDefault="006842EE">
      <w:pPr>
        <w:rPr>
          <w:rFonts w:ascii="Titillium" w:hAnsi="Titillium"/>
          <w:sz w:val="18"/>
          <w:szCs w:val="18"/>
        </w:rPr>
      </w:pPr>
    </w:p>
    <w:p w14:paraId="0611C23E" w14:textId="77777777" w:rsidR="006842EE" w:rsidRDefault="008F2625">
      <w:pPr>
        <w:pStyle w:val="Paragrafoelenco"/>
        <w:spacing w:before="60" w:after="60"/>
        <w:ind w:left="0"/>
      </w:pPr>
      <w:r>
        <w:rPr>
          <w:rFonts w:ascii="Titillium" w:hAnsi="Titillium" w:cs="Calibri"/>
          <w:sz w:val="18"/>
          <w:szCs w:val="18"/>
        </w:rPr>
        <w:t>La domanda di partecipazione deve essere presentata nel rispetto di quanto stabilito dal Decreto del Presidente della Repubblica n. 642/72 in ordine all’assolvimento dell’imposta di bollo. Il pagamento della suddetta imposta del valore di € 16,00 viene effettuato tramite F24, bollo virtuale previa autorizzazione rilasciata dall’Agenzia delle Entrate o tramite il servizio @e.bollo</w:t>
      </w:r>
      <w:r>
        <w:rPr>
          <w:rFonts w:ascii="Calibri" w:hAnsi="Calibri" w:cs="Calibri"/>
          <w:sz w:val="18"/>
          <w:szCs w:val="18"/>
        </w:rPr>
        <w:t xml:space="preserve"> </w:t>
      </w:r>
      <w:r>
        <w:rPr>
          <w:rFonts w:ascii="Titillium" w:hAnsi="Titillium" w:cs="Calibri"/>
          <w:sz w:val="18"/>
          <w:szCs w:val="18"/>
        </w:rPr>
        <w:t xml:space="preserve">dell'Agenzia delle Entrate o </w:t>
      </w:r>
      <w:r>
        <w:rPr>
          <w:rFonts w:ascii="Titillium" w:hAnsi="Titillium" w:cs="Calibri"/>
          <w:iCs/>
          <w:sz w:val="18"/>
          <w:szCs w:val="18"/>
        </w:rPr>
        <w:t xml:space="preserve">per gli operatori economici esteri tramite il pagamento del tributo con bonifico utilizzando il codice Iban IT07Y0100003245348008120501 e specificando nella causale la propria denominazione, codice fiscale (se presente) e gli estremi dell'atto a cui si riferisce il pagamento. </w:t>
      </w:r>
      <w:r>
        <w:rPr>
          <w:rFonts w:ascii="Titillium" w:hAnsi="Titillium" w:cs="Calibri"/>
          <w:i/>
          <w:iCs/>
          <w:sz w:val="18"/>
          <w:szCs w:val="18"/>
        </w:rPr>
        <w:t xml:space="preserve"> </w:t>
      </w:r>
    </w:p>
    <w:p w14:paraId="72557560" w14:textId="77777777" w:rsidR="006842EE" w:rsidRDefault="008F2625">
      <w:pPr>
        <w:pStyle w:val="Paragrafoelenco"/>
        <w:spacing w:before="60" w:after="60"/>
        <w:ind w:left="0"/>
      </w:pPr>
      <w:r>
        <w:rPr>
          <w:rFonts w:ascii="Titillium" w:hAnsi="Titillium" w:cs="Calibri"/>
          <w:sz w:val="18"/>
          <w:szCs w:val="18"/>
        </w:rPr>
        <w:t>A comprova del pagamento, il concorrente allega la ricevuta di pagamento elettronico ovvero del bonifico bancario.</w:t>
      </w:r>
    </w:p>
    <w:p w14:paraId="5384CE33" w14:textId="77777777" w:rsidR="006842EE" w:rsidRDefault="008F2625">
      <w:pPr>
        <w:pStyle w:val="Paragrafoelenco"/>
        <w:spacing w:before="60" w:after="60"/>
        <w:ind w:left="0"/>
        <w:rPr>
          <w:rFonts w:ascii="Titillium" w:hAnsi="Titillium" w:cs="Calibri"/>
          <w:iCs/>
          <w:sz w:val="18"/>
          <w:szCs w:val="18"/>
        </w:rPr>
      </w:pPr>
      <w:r>
        <w:rPr>
          <w:rFonts w:ascii="Titillium" w:hAnsi="Titillium" w:cs="Calibri"/>
          <w:iCs/>
          <w:sz w:val="18"/>
          <w:szCs w:val="18"/>
        </w:rPr>
        <w:t xml:space="preserve">In alternativa il concorrente può acquistare la marca da bollo da euro 16,00 ed inserire il suo numero seriale all'interno della dichiarazione contenuta nell'istanza telematica e allegare, obbligatoriamente copia del contrassegno in formato.pdf. Il concorrente si assume ogni responsabilità in caso di utilizzo plurimo dei contrassegni. </w:t>
      </w:r>
    </w:p>
    <w:p w14:paraId="28E74AC7" w14:textId="77777777" w:rsidR="006842EE" w:rsidRDefault="008F2625">
      <w:pPr>
        <w:pStyle w:val="Paragrafoelenco"/>
        <w:pBdr>
          <w:top w:val="single" w:sz="4" w:space="1" w:color="000000"/>
          <w:left w:val="single" w:sz="4" w:space="4" w:color="000000"/>
          <w:bottom w:val="single" w:sz="4" w:space="1" w:color="000000"/>
          <w:right w:val="single" w:sz="4" w:space="4" w:color="000000"/>
        </w:pBdr>
        <w:spacing w:before="60" w:after="60"/>
        <w:ind w:left="0"/>
      </w:pPr>
      <w:r w:rsidRPr="00C94D92">
        <w:rPr>
          <w:rFonts w:ascii="Titillium" w:hAnsi="Titillium" w:cs="Arial"/>
          <w:i/>
          <w:iCs/>
          <w:sz w:val="18"/>
          <w:szCs w:val="18"/>
        </w:rPr>
        <w:t xml:space="preserve">N.B. Le stazioni appaltanti considerano le esenzioni dal pagamento dell'imposta di bollo di cui al </w:t>
      </w:r>
      <w:hyperlink r:id="rId19" w:tgtFrame="_blank">
        <w:r w:rsidRPr="00C94D92">
          <w:rPr>
            <w:rFonts w:ascii="Titillium" w:hAnsi="Titillium"/>
            <w:i/>
            <w:iCs/>
            <w:sz w:val="18"/>
            <w:szCs w:val="18"/>
          </w:rPr>
          <w:t>Decreto del Presidente della Repubblica n. 642/72, allegato B e al Decreto legislativo  n. 117/17, articolo 82</w:t>
        </w:r>
      </w:hyperlink>
      <w:r>
        <w:rPr>
          <w:rFonts w:ascii="Titillium" w:hAnsi="Titillium"/>
          <w:sz w:val="18"/>
          <w:szCs w:val="18"/>
        </w:rPr>
        <w:t>.</w:t>
      </w:r>
      <w:bookmarkStart w:id="1740" w:name="_Ref484611693"/>
      <w:bookmarkStart w:id="1741" w:name="_Ref484611690"/>
      <w:bookmarkEnd w:id="1740"/>
      <w:bookmarkEnd w:id="1741"/>
    </w:p>
    <w:p w14:paraId="39866C39" w14:textId="77777777" w:rsidR="00C63DFB" w:rsidRDefault="00C63DFB" w:rsidP="00C63DFB"/>
    <w:p w14:paraId="61AC3EAC" w14:textId="02007587" w:rsidR="006842EE" w:rsidRPr="00A36142" w:rsidRDefault="008F2625" w:rsidP="00D26F03">
      <w:pPr>
        <w:pStyle w:val="Titolo3"/>
        <w:numPr>
          <w:ilvl w:val="1"/>
          <w:numId w:val="55"/>
        </w:numPr>
        <w:spacing w:before="120"/>
        <w:ind w:left="426" w:hanging="426"/>
        <w:rPr>
          <w:rFonts w:ascii="Titillium" w:hAnsi="Titillium"/>
          <w:caps w:val="0"/>
          <w:sz w:val="18"/>
          <w:szCs w:val="18"/>
          <w:lang w:val="it-IT"/>
        </w:rPr>
      </w:pPr>
      <w:bookmarkStart w:id="1742" w:name="_Toc227921641"/>
      <w:r w:rsidRPr="00A36142">
        <w:rPr>
          <w:rFonts w:ascii="Titillium" w:hAnsi="Titillium"/>
          <w:caps w:val="0"/>
          <w:sz w:val="18"/>
          <w:szCs w:val="18"/>
          <w:lang w:val="it-IT"/>
        </w:rPr>
        <w:t xml:space="preserve">DICHIARAZIONI DA RENDERE A CURA DEGLI OPERATORI ECONOMICI AMMESSI AL CONCORDATO PREVENTIVO CON CONTINUITÀ AZIENDALE DI CUI ALL’ARTICOLO 372 del DECRETO LEGISLATIVO 12 GENNAIO </w:t>
      </w:r>
      <w:r w:rsidR="00C63DFB" w:rsidRPr="00A36142">
        <w:rPr>
          <w:rFonts w:ascii="Titillium" w:hAnsi="Titillium"/>
          <w:caps w:val="0"/>
          <w:sz w:val="18"/>
          <w:szCs w:val="18"/>
          <w:lang w:val="it-IT"/>
        </w:rPr>
        <w:t>2019,</w:t>
      </w:r>
      <w:r w:rsidRPr="00A36142">
        <w:rPr>
          <w:rFonts w:ascii="Titillium" w:hAnsi="Titillium"/>
          <w:caps w:val="0"/>
          <w:sz w:val="18"/>
          <w:szCs w:val="18"/>
          <w:lang w:val="it-IT"/>
        </w:rPr>
        <w:t xml:space="preserve"> n. 14</w:t>
      </w:r>
      <w:bookmarkEnd w:id="1742"/>
    </w:p>
    <w:p w14:paraId="27ED377C" w14:textId="01A76B1F" w:rsidR="006842EE" w:rsidRDefault="002F3CD1">
      <w:pPr>
        <w:spacing w:before="60" w:after="60"/>
        <w:rPr>
          <w:rFonts w:ascii="Titillium" w:hAnsi="Titillium" w:cs="Calibri"/>
          <w:sz w:val="18"/>
          <w:szCs w:val="18"/>
        </w:rPr>
      </w:pPr>
      <w:r w:rsidRPr="000772B9">
        <w:rPr>
          <w:rFonts w:ascii="Titillium" w:hAnsi="Titillium" w:cs="Calibri"/>
          <w:sz w:val="18"/>
          <w:szCs w:val="18"/>
        </w:rPr>
        <w:t>Nella domanda di partecipazione il</w:t>
      </w:r>
      <w:r w:rsidR="008F2625" w:rsidRPr="000772B9">
        <w:rPr>
          <w:rFonts w:ascii="Titillium" w:hAnsi="Titillium" w:cs="Calibri"/>
          <w:sz w:val="18"/>
          <w:szCs w:val="18"/>
        </w:rPr>
        <w:t xml:space="preserve"> concorrente dichiara ai sensi degli articoli 46 e 47 del decreto del Presidente della Repubblica n. 445/2000 gli estremi del</w:t>
      </w:r>
      <w:r w:rsidR="008F2625">
        <w:rPr>
          <w:rFonts w:ascii="Titillium" w:hAnsi="Titillium" w:cs="Calibri"/>
          <w:sz w:val="18"/>
          <w:szCs w:val="18"/>
        </w:rPr>
        <w:t xml:space="preserve"> provvedimento di ammissione al concordato e del provvedimento di autorizzazione a partecipare alle gare, nonché dichiara che le altre imprese aderenti al raggruppamento non sono assoggettate ad una procedura concorsuale, ai sensi dell’articolo 95, commi 4 e 5, del decreto legislativo n. 14/2019</w:t>
      </w:r>
      <w:r w:rsidR="00E14915">
        <w:rPr>
          <w:rFonts w:ascii="Titillium" w:hAnsi="Titillium" w:cs="Calibri"/>
          <w:sz w:val="18"/>
          <w:szCs w:val="18"/>
        </w:rPr>
        <w:t>.</w:t>
      </w:r>
    </w:p>
    <w:p w14:paraId="52765235" w14:textId="77777777" w:rsidR="006842EE" w:rsidRDefault="008F2625">
      <w:pPr>
        <w:spacing w:before="60" w:after="60"/>
        <w:rPr>
          <w:rFonts w:ascii="Titillium" w:hAnsi="Titillium" w:cs="Calibri"/>
          <w:sz w:val="18"/>
          <w:szCs w:val="18"/>
        </w:rPr>
      </w:pPr>
      <w:r>
        <w:rPr>
          <w:rFonts w:ascii="Titillium" w:hAnsi="Titillium" w:cs="Calibri"/>
          <w:sz w:val="18"/>
          <w:szCs w:val="18"/>
        </w:rPr>
        <w:t>Il concorrente presenta una relazione di un professionista in possesso dei requisiti di cui all'</w:t>
      </w:r>
      <w:hyperlink r:id="rId20">
        <w:r>
          <w:rPr>
            <w:rStyle w:val="CollegamentoInternet"/>
            <w:rFonts w:ascii="Titillium" w:hAnsi="Titillium" w:cs="Calibri"/>
            <w:color w:val="auto"/>
            <w:sz w:val="18"/>
            <w:szCs w:val="18"/>
            <w:u w:val="none"/>
          </w:rPr>
          <w:t xml:space="preserve">articolo 2, comma 1, lettera o) del decreto legislativo succitato </w:t>
        </w:r>
      </w:hyperlink>
      <w:r>
        <w:rPr>
          <w:rFonts w:ascii="Titillium" w:hAnsi="Titillium" w:cs="Calibri"/>
          <w:sz w:val="18"/>
          <w:szCs w:val="18"/>
        </w:rPr>
        <w:t>che attesta la conformità al piano e la ragionevole capacità di adempimento del contratto.</w:t>
      </w:r>
    </w:p>
    <w:p w14:paraId="15E2FB78" w14:textId="7D4A29E2" w:rsidR="004C1378" w:rsidRDefault="004C1378">
      <w:pPr>
        <w:spacing w:before="60" w:after="60"/>
        <w:rPr>
          <w:rFonts w:ascii="Titillium" w:hAnsi="Titillium" w:cs="Calibri"/>
          <w:sz w:val="18"/>
          <w:szCs w:val="18"/>
        </w:rPr>
      </w:pPr>
      <w:r>
        <w:rPr>
          <w:rFonts w:ascii="Titillium" w:hAnsi="Titillium" w:cs="Calibri"/>
          <w:sz w:val="18"/>
          <w:szCs w:val="18"/>
        </w:rPr>
        <w:t xml:space="preserve"> </w:t>
      </w:r>
    </w:p>
    <w:p w14:paraId="4CE5E620" w14:textId="52F0B531" w:rsidR="00BC6DE3" w:rsidRPr="00A36142" w:rsidRDefault="00BC6DE3" w:rsidP="00D26F03">
      <w:pPr>
        <w:pStyle w:val="Titolo3"/>
        <w:numPr>
          <w:ilvl w:val="1"/>
          <w:numId w:val="55"/>
        </w:numPr>
        <w:spacing w:before="120"/>
        <w:ind w:left="426" w:hanging="426"/>
        <w:rPr>
          <w:rFonts w:ascii="Titillium" w:hAnsi="Titillium"/>
          <w:caps w:val="0"/>
          <w:sz w:val="18"/>
          <w:szCs w:val="18"/>
          <w:lang w:val="it-IT"/>
        </w:rPr>
      </w:pPr>
      <w:bookmarkStart w:id="1743" w:name="_Toc227921642"/>
      <w:r w:rsidRPr="00A36142">
        <w:rPr>
          <w:rFonts w:ascii="Titillium" w:hAnsi="Titillium"/>
          <w:caps w:val="0"/>
          <w:sz w:val="18"/>
          <w:szCs w:val="18"/>
          <w:lang w:val="it-IT"/>
        </w:rPr>
        <w:t>DICHIARAZIONI DA RENDERE NEL DGUE</w:t>
      </w:r>
      <w:bookmarkEnd w:id="1743"/>
    </w:p>
    <w:p w14:paraId="2ABA399C" w14:textId="77777777" w:rsidR="00BC6DE3" w:rsidRPr="00807787" w:rsidRDefault="00BC6DE3" w:rsidP="00BC6DE3">
      <w:pPr>
        <w:spacing w:before="60" w:after="60"/>
        <w:rPr>
          <w:rFonts w:ascii="Titillium" w:hAnsi="Titillium" w:cs="Calibri"/>
          <w:color w:val="000000" w:themeColor="text1"/>
          <w:sz w:val="18"/>
          <w:szCs w:val="18"/>
        </w:rPr>
      </w:pPr>
      <w:r w:rsidRPr="00807787">
        <w:rPr>
          <w:rFonts w:ascii="Titillium" w:hAnsi="Titillium" w:cs="Calibri"/>
          <w:color w:val="000000" w:themeColor="text1"/>
          <w:sz w:val="18"/>
          <w:szCs w:val="18"/>
        </w:rPr>
        <w:t>Le dichiarazioni in ordine all’insussistenza delle cause automatiche di esclusione di cui all’articolo 94, commi 1 e 2, del Codice sono rese dall’operatore economico nel DGUE, redatto digitalmente a sistema, in relazione a tutti i soggetti indicati al comma 3.</w:t>
      </w:r>
    </w:p>
    <w:p w14:paraId="4540E34C" w14:textId="4731D638" w:rsidR="00BC6DE3" w:rsidRPr="00807787" w:rsidRDefault="00BC6DE3" w:rsidP="00BC6DE3">
      <w:pPr>
        <w:spacing w:before="60" w:after="60"/>
        <w:rPr>
          <w:rFonts w:ascii="Titillium" w:hAnsi="Titillium" w:cs="Calibri"/>
          <w:color w:val="000000" w:themeColor="text1"/>
          <w:sz w:val="18"/>
          <w:szCs w:val="18"/>
        </w:rPr>
      </w:pPr>
      <w:r w:rsidRPr="00807787">
        <w:rPr>
          <w:rFonts w:ascii="Titillium" w:hAnsi="Titillium" w:cs="Calibri"/>
          <w:color w:val="000000" w:themeColor="text1"/>
          <w:sz w:val="18"/>
          <w:szCs w:val="18"/>
        </w:rPr>
        <w:t>Le dichiarazioni in ordine all’insussistenza delle cause non automatiche di esclusione di cui all’articolo 98</w:t>
      </w:r>
      <w:r w:rsidRPr="00237927">
        <w:rPr>
          <w:rFonts w:ascii="Titillium" w:hAnsi="Titillium" w:cs="Calibri"/>
          <w:color w:val="000000" w:themeColor="text1"/>
          <w:sz w:val="18"/>
          <w:szCs w:val="18"/>
        </w:rPr>
        <w:t xml:space="preserve">, comma </w:t>
      </w:r>
      <w:r w:rsidR="00C63DFB" w:rsidRPr="00237927">
        <w:rPr>
          <w:rFonts w:ascii="Titillium" w:hAnsi="Titillium" w:cs="Calibri"/>
          <w:color w:val="000000" w:themeColor="text1"/>
          <w:sz w:val="18"/>
          <w:szCs w:val="18"/>
        </w:rPr>
        <w:t>3</w:t>
      </w:r>
      <w:r w:rsidR="00C63DFB" w:rsidRPr="008516AD">
        <w:rPr>
          <w:rFonts w:ascii="Titillium" w:hAnsi="Titillium" w:cs="Calibri"/>
          <w:color w:val="000000" w:themeColor="text1"/>
          <w:sz w:val="18"/>
          <w:szCs w:val="18"/>
        </w:rPr>
        <w:t>,</w:t>
      </w:r>
      <w:r w:rsidRPr="00807787">
        <w:rPr>
          <w:rFonts w:ascii="Titillium" w:hAnsi="Titillium" w:cs="Calibri"/>
          <w:color w:val="000000" w:themeColor="text1"/>
          <w:sz w:val="18"/>
          <w:szCs w:val="18"/>
        </w:rPr>
        <w:t xml:space="preserve"> lettere g) ed h) del Codice sono rese dall’operatore economico in relazione ai soggetti di cui al punto precedente.</w:t>
      </w:r>
    </w:p>
    <w:p w14:paraId="655CBB57" w14:textId="15507141" w:rsidR="00BC6DE3" w:rsidRPr="00807787" w:rsidRDefault="00BC6DE3" w:rsidP="00BC6DE3">
      <w:pPr>
        <w:spacing w:before="60" w:after="60"/>
        <w:rPr>
          <w:rFonts w:ascii="Titillium" w:hAnsi="Titillium" w:cs="Calibri"/>
          <w:color w:val="000000" w:themeColor="text1"/>
          <w:sz w:val="18"/>
          <w:szCs w:val="18"/>
        </w:rPr>
      </w:pPr>
      <w:r w:rsidRPr="00807787">
        <w:rPr>
          <w:rFonts w:ascii="Titillium" w:hAnsi="Titillium" w:cs="Calibri"/>
          <w:color w:val="000000" w:themeColor="text1"/>
          <w:sz w:val="18"/>
          <w:szCs w:val="18"/>
        </w:rPr>
        <w:t>Le dichiarazioni in ordine all’insussistenza delle altre cause di esclusione sono rese in relazione all’operatore economi</w:t>
      </w:r>
      <w:r w:rsidR="00DE0A2A" w:rsidRPr="00807787">
        <w:rPr>
          <w:rFonts w:ascii="Titillium" w:hAnsi="Titillium" w:cs="Calibri"/>
          <w:color w:val="000000" w:themeColor="text1"/>
          <w:sz w:val="18"/>
          <w:szCs w:val="18"/>
        </w:rPr>
        <w:t>co</w:t>
      </w:r>
      <w:r w:rsidR="000963C7" w:rsidRPr="00807787">
        <w:rPr>
          <w:rFonts w:ascii="Titillium" w:hAnsi="Titillium" w:cs="Calibri"/>
          <w:color w:val="000000" w:themeColor="text1"/>
          <w:sz w:val="18"/>
          <w:szCs w:val="18"/>
        </w:rPr>
        <w:t>.</w:t>
      </w:r>
    </w:p>
    <w:p w14:paraId="318BE58D" w14:textId="77777777" w:rsidR="00BC6DE3" w:rsidRPr="00807787" w:rsidRDefault="00BC6DE3" w:rsidP="00BC6DE3">
      <w:pPr>
        <w:spacing w:before="60" w:after="60"/>
        <w:rPr>
          <w:rFonts w:ascii="Titillium" w:hAnsi="Titillium" w:cs="Calibri"/>
          <w:color w:val="000000" w:themeColor="text1"/>
          <w:sz w:val="18"/>
          <w:szCs w:val="18"/>
        </w:rPr>
      </w:pPr>
      <w:r w:rsidRPr="00807787">
        <w:rPr>
          <w:rFonts w:ascii="Titillium" w:hAnsi="Titillium" w:cs="Calibri"/>
          <w:color w:val="000000" w:themeColor="text1"/>
          <w:sz w:val="18"/>
          <w:szCs w:val="18"/>
        </w:rPr>
        <w:t>Con riferimento alle cause di esclusione di cui all’articolo 95 del Codice, il concorrente dichiara:</w:t>
      </w:r>
    </w:p>
    <w:p w14:paraId="5EF2301B" w14:textId="307DAE43" w:rsidR="00BC6DE3" w:rsidRPr="00807787" w:rsidRDefault="00BC6DE3" w:rsidP="00D26F03">
      <w:pPr>
        <w:pStyle w:val="Paragrafoelenco"/>
        <w:numPr>
          <w:ilvl w:val="0"/>
          <w:numId w:val="34"/>
        </w:numPr>
        <w:spacing w:before="60" w:after="60"/>
        <w:rPr>
          <w:rFonts w:ascii="Titillium" w:hAnsi="Titillium" w:cs="Calibri"/>
          <w:color w:val="000000" w:themeColor="text1"/>
          <w:sz w:val="18"/>
          <w:szCs w:val="18"/>
        </w:rPr>
      </w:pPr>
      <w:r w:rsidRPr="00807787">
        <w:rPr>
          <w:rFonts w:ascii="Titillium" w:hAnsi="Titillium" w:cs="Calibri"/>
          <w:color w:val="000000" w:themeColor="text1"/>
          <w:sz w:val="18"/>
          <w:szCs w:val="18"/>
        </w:rPr>
        <w:t xml:space="preserve">le gravi infrazioni di cui all’articolo 95, comma 1, lettera a) del Codice commesse nei tre anni antecedenti la data di pubblicazione del bando di gara; </w:t>
      </w:r>
    </w:p>
    <w:p w14:paraId="0C2C6C81" w14:textId="3BA16F88" w:rsidR="00BC6DE3" w:rsidRPr="00807787" w:rsidRDefault="00BC6DE3" w:rsidP="00D26F03">
      <w:pPr>
        <w:pStyle w:val="Paragrafoelenco"/>
        <w:numPr>
          <w:ilvl w:val="0"/>
          <w:numId w:val="34"/>
        </w:numPr>
        <w:spacing w:before="60" w:after="60"/>
        <w:rPr>
          <w:rFonts w:ascii="Titillium" w:hAnsi="Titillium" w:cs="Calibri"/>
          <w:color w:val="000000" w:themeColor="text1"/>
          <w:sz w:val="18"/>
          <w:szCs w:val="18"/>
        </w:rPr>
      </w:pPr>
      <w:r w:rsidRPr="00807787">
        <w:rPr>
          <w:rFonts w:ascii="Titillium" w:hAnsi="Titillium" w:cs="Calibri"/>
          <w:color w:val="000000" w:themeColor="text1"/>
          <w:sz w:val="18"/>
          <w:szCs w:val="18"/>
        </w:rPr>
        <w:t xml:space="preserve">gli atti e i provvedimenti indicati all’articolo 98 comma 6 del </w:t>
      </w:r>
      <w:r w:rsidR="00EC48E6">
        <w:rPr>
          <w:rFonts w:ascii="Titillium" w:hAnsi="Titillium" w:cs="Calibri"/>
          <w:color w:val="000000" w:themeColor="text1"/>
          <w:sz w:val="18"/>
          <w:szCs w:val="18"/>
        </w:rPr>
        <w:t>C</w:t>
      </w:r>
      <w:r w:rsidRPr="00807787">
        <w:rPr>
          <w:rFonts w:ascii="Titillium" w:hAnsi="Titillium" w:cs="Calibri"/>
          <w:color w:val="000000" w:themeColor="text1"/>
          <w:sz w:val="18"/>
          <w:szCs w:val="18"/>
        </w:rPr>
        <w:t>odice emessi nei tre anni antecedenti la data di pubblicazione del bando di gara</w:t>
      </w:r>
      <w:r w:rsidR="008708E1">
        <w:rPr>
          <w:rFonts w:ascii="Titillium" w:hAnsi="Titillium" w:cs="Calibri"/>
          <w:color w:val="000000" w:themeColor="text1"/>
          <w:sz w:val="18"/>
          <w:szCs w:val="18"/>
        </w:rPr>
        <w:t>;</w:t>
      </w:r>
    </w:p>
    <w:p w14:paraId="1F4B4B89" w14:textId="6705544A" w:rsidR="00BC6DE3" w:rsidRPr="00807787" w:rsidRDefault="00BC6DE3" w:rsidP="00D26F03">
      <w:pPr>
        <w:pStyle w:val="Paragrafoelenco"/>
        <w:numPr>
          <w:ilvl w:val="0"/>
          <w:numId w:val="34"/>
        </w:numPr>
        <w:spacing w:before="60" w:after="60"/>
        <w:rPr>
          <w:rFonts w:ascii="Titillium" w:hAnsi="Titillium" w:cs="Calibri"/>
          <w:color w:val="000000" w:themeColor="text1"/>
          <w:sz w:val="18"/>
          <w:szCs w:val="18"/>
        </w:rPr>
      </w:pPr>
      <w:r w:rsidRPr="00807787">
        <w:rPr>
          <w:rFonts w:ascii="Titillium" w:hAnsi="Titillium" w:cs="Calibri"/>
          <w:color w:val="000000" w:themeColor="text1"/>
          <w:sz w:val="18"/>
          <w:szCs w:val="18"/>
        </w:rPr>
        <w:t>tutti gli altri comportamenti di cui all’articolo 98 del Codice, commessi nei tre anni antecedenti la data di pubblicazione del bando di gara.</w:t>
      </w:r>
    </w:p>
    <w:p w14:paraId="269D82DD" w14:textId="5DF3F2D1" w:rsidR="00BC6DE3" w:rsidRPr="00807787" w:rsidRDefault="00BC6DE3" w:rsidP="00BC6DE3">
      <w:pPr>
        <w:spacing w:before="60" w:after="60"/>
        <w:rPr>
          <w:rFonts w:ascii="Titillium" w:hAnsi="Titillium" w:cs="Calibri"/>
          <w:color w:val="000000" w:themeColor="text1"/>
          <w:sz w:val="18"/>
          <w:szCs w:val="18"/>
        </w:rPr>
      </w:pPr>
      <w:r w:rsidRPr="00807787">
        <w:rPr>
          <w:rFonts w:ascii="Titillium" w:hAnsi="Titillium" w:cs="Calibri"/>
          <w:color w:val="000000" w:themeColor="text1"/>
          <w:sz w:val="18"/>
          <w:szCs w:val="18"/>
        </w:rPr>
        <w:t>La dichiarazione di cui sopra deve essere resa anche nel caso di impugnazione in giudizio dei relativi provvedimenti</w:t>
      </w:r>
      <w:r w:rsidR="00150D66">
        <w:rPr>
          <w:rFonts w:ascii="Titillium" w:hAnsi="Titillium" w:cs="Calibri"/>
          <w:color w:val="000000" w:themeColor="text1"/>
          <w:sz w:val="18"/>
          <w:szCs w:val="18"/>
        </w:rPr>
        <w:t xml:space="preserve">, </w:t>
      </w:r>
      <w:r w:rsidR="00150D66" w:rsidRPr="00C45174">
        <w:rPr>
          <w:rFonts w:ascii="Titillium" w:hAnsi="Titillium" w:cs="Calibri"/>
          <w:color w:val="000000" w:themeColor="text1"/>
          <w:sz w:val="18"/>
          <w:szCs w:val="18"/>
        </w:rPr>
        <w:t>fatta eccezione per la fattispecie di cui all’</w:t>
      </w:r>
      <w:r w:rsidR="00C63C5B">
        <w:rPr>
          <w:rFonts w:ascii="Titillium" w:hAnsi="Titillium" w:cs="Calibri"/>
          <w:color w:val="000000" w:themeColor="text1"/>
          <w:sz w:val="18"/>
          <w:szCs w:val="18"/>
        </w:rPr>
        <w:t>articolo</w:t>
      </w:r>
      <w:r w:rsidR="00150D66" w:rsidRPr="00C45174">
        <w:rPr>
          <w:rFonts w:ascii="Titillium" w:hAnsi="Titillium" w:cs="Calibri"/>
          <w:color w:val="000000" w:themeColor="text1"/>
          <w:sz w:val="18"/>
          <w:szCs w:val="18"/>
        </w:rPr>
        <w:t xml:space="preserve"> 98 comma 6 lett. e) per la quale va resa soltanto in caso di accert</w:t>
      </w:r>
      <w:r w:rsidR="00D712E9" w:rsidRPr="00C45174">
        <w:rPr>
          <w:rFonts w:ascii="Titillium" w:hAnsi="Titillium" w:cs="Calibri"/>
          <w:color w:val="000000" w:themeColor="text1"/>
          <w:sz w:val="18"/>
          <w:szCs w:val="18"/>
        </w:rPr>
        <w:t>amento definitivo della violazione.</w:t>
      </w:r>
    </w:p>
    <w:p w14:paraId="03B225B1" w14:textId="77777777" w:rsidR="00BC6DE3" w:rsidRPr="00807787" w:rsidRDefault="00BC6DE3" w:rsidP="00BC6DE3">
      <w:pPr>
        <w:spacing w:before="60" w:after="60"/>
        <w:rPr>
          <w:rFonts w:ascii="Titillium" w:hAnsi="Titillium" w:cs="Calibri"/>
          <w:color w:val="000000" w:themeColor="text1"/>
          <w:sz w:val="18"/>
          <w:szCs w:val="18"/>
        </w:rPr>
      </w:pPr>
      <w:r w:rsidRPr="00807787">
        <w:rPr>
          <w:rFonts w:ascii="Titillium" w:hAnsi="Titillium" w:cs="Calibri"/>
          <w:color w:val="000000" w:themeColor="text1"/>
          <w:sz w:val="18"/>
          <w:szCs w:val="18"/>
        </w:rPr>
        <w:t>L’operatore economico dichiara la sussistenza delle cause di esclusione che si sono verificate prima della presentazione dell’offerta e indica le misure di self-cleaning adottate, oppure dimostra l’impossibilità di adottare tali misure prima della presentazione dell’offerta.</w:t>
      </w:r>
    </w:p>
    <w:p w14:paraId="645C9CC3" w14:textId="77777777" w:rsidR="00BC6DE3" w:rsidRPr="00807787" w:rsidRDefault="00BC6DE3" w:rsidP="00BC6DE3">
      <w:pPr>
        <w:spacing w:before="60" w:after="60"/>
        <w:rPr>
          <w:rFonts w:ascii="Titillium" w:hAnsi="Titillium" w:cs="Calibri"/>
          <w:color w:val="000000" w:themeColor="text1"/>
          <w:sz w:val="18"/>
          <w:szCs w:val="18"/>
        </w:rPr>
      </w:pPr>
      <w:r w:rsidRPr="00807787">
        <w:rPr>
          <w:rFonts w:ascii="Titillium" w:hAnsi="Titillium" w:cs="Calibri"/>
          <w:color w:val="000000" w:themeColor="text1"/>
          <w:sz w:val="18"/>
          <w:szCs w:val="18"/>
        </w:rPr>
        <w:t>L’operatore economico adotta le misure di self-cleaning che è stato impossibilitato ad adottare prima della presentazione dell’offerta e quelle relative a cause di esclusione che si sono verificate dopo tale momento.</w:t>
      </w:r>
    </w:p>
    <w:p w14:paraId="4FF6DE26" w14:textId="77777777" w:rsidR="00BC6DE3" w:rsidRPr="00807787" w:rsidRDefault="00BC6DE3" w:rsidP="00BC6DE3">
      <w:pPr>
        <w:spacing w:before="60" w:after="60"/>
        <w:rPr>
          <w:rFonts w:ascii="Titillium" w:hAnsi="Titillium" w:cs="Calibri"/>
          <w:color w:val="000000" w:themeColor="text1"/>
          <w:sz w:val="18"/>
          <w:szCs w:val="18"/>
        </w:rPr>
      </w:pPr>
      <w:r w:rsidRPr="00807787">
        <w:rPr>
          <w:rFonts w:ascii="Titillium" w:hAnsi="Titillium" w:cs="Calibri"/>
          <w:color w:val="000000" w:themeColor="text1"/>
          <w:sz w:val="18"/>
          <w:szCs w:val="18"/>
        </w:rPr>
        <w:t>Se l’operatore economico omette di comunicare alla stazione appaltante la sussistenza dei fatti e dei provvedimenti che possono costituire una causa di esclusione ai sensi degli articoli 94 e 95 del Codice e detti fatti o provvedimenti non risultino nel FVOE, il triennio inizia a decorrere dalla data in cui la stazione appaltante ha acquisito gli stessi, anziché dalla commissione del fatto o dall’adozione del provvedimento.</w:t>
      </w:r>
    </w:p>
    <w:p w14:paraId="68BD3761" w14:textId="77777777" w:rsidR="00BC6DE3" w:rsidRDefault="00BC6DE3" w:rsidP="00BC6DE3">
      <w:pPr>
        <w:spacing w:before="60" w:after="60"/>
        <w:rPr>
          <w:rFonts w:ascii="Titillium" w:hAnsi="Titillium" w:cs="Calibri"/>
          <w:color w:val="5B9BD5" w:themeColor="accent1"/>
          <w:sz w:val="18"/>
          <w:szCs w:val="18"/>
        </w:rPr>
      </w:pPr>
    </w:p>
    <w:tbl>
      <w:tblPr>
        <w:tblStyle w:val="Grigliatabella"/>
        <w:tblW w:w="0" w:type="auto"/>
        <w:tblLook w:val="04A0" w:firstRow="1" w:lastRow="0" w:firstColumn="1" w:lastColumn="0" w:noHBand="0" w:noVBand="1"/>
      </w:tblPr>
      <w:tblGrid>
        <w:gridCol w:w="9214"/>
      </w:tblGrid>
      <w:tr w:rsidR="00BC6DE3" w:rsidRPr="00C21543" w14:paraId="1DBB1E0A" w14:textId="77777777" w:rsidTr="00BC6DE3">
        <w:tc>
          <w:tcPr>
            <w:tcW w:w="9214" w:type="dxa"/>
          </w:tcPr>
          <w:p w14:paraId="36DED5C1" w14:textId="6B51C79C" w:rsidR="00BC6DE3" w:rsidRPr="00C21543" w:rsidRDefault="00BC6DE3" w:rsidP="000963C7">
            <w:pPr>
              <w:rPr>
                <w:rFonts w:ascii="Titillium" w:hAnsi="Titillium" w:cs="Calibri"/>
                <w:i/>
                <w:iCs/>
                <w:color w:val="5B9BD5" w:themeColor="accent1"/>
                <w:sz w:val="18"/>
                <w:szCs w:val="18"/>
              </w:rPr>
            </w:pPr>
            <w:r w:rsidRPr="00C21543">
              <w:rPr>
                <w:rFonts w:ascii="Titillium" w:hAnsi="Titillium" w:cs="Calibri"/>
                <w:i/>
                <w:iCs/>
                <w:color w:val="000000" w:themeColor="text1"/>
                <w:sz w:val="18"/>
                <w:szCs w:val="18"/>
              </w:rPr>
              <w:t>NB. Le cause di esclusione di cui agli articoli 95, comma 1, lettere b), c) e d) e 98, comma</w:t>
            </w:r>
            <w:r w:rsidR="00D24E13" w:rsidRPr="00C21543">
              <w:rPr>
                <w:rFonts w:ascii="Titillium" w:hAnsi="Titillium" w:cs="Calibri"/>
                <w:i/>
                <w:iCs/>
                <w:color w:val="000000" w:themeColor="text1"/>
                <w:sz w:val="18"/>
                <w:szCs w:val="18"/>
              </w:rPr>
              <w:t xml:space="preserve"> 3</w:t>
            </w:r>
            <w:r w:rsidR="00DF1C17" w:rsidRPr="00C21543">
              <w:rPr>
                <w:rFonts w:ascii="Titillium" w:hAnsi="Titillium" w:cs="Calibri"/>
                <w:i/>
                <w:iCs/>
                <w:color w:val="000000" w:themeColor="text1"/>
                <w:sz w:val="18"/>
                <w:szCs w:val="18"/>
              </w:rPr>
              <w:t>,</w:t>
            </w:r>
            <w:r w:rsidRPr="00C21543">
              <w:rPr>
                <w:rFonts w:ascii="Titillium" w:hAnsi="Titillium" w:cs="Calibri"/>
                <w:i/>
                <w:iCs/>
                <w:color w:val="000000" w:themeColor="text1"/>
                <w:sz w:val="18"/>
                <w:szCs w:val="18"/>
              </w:rPr>
              <w:t xml:space="preserve"> lettera b) del Codice rilevano per la sola gara cui la condotta si riferisce. Pertanto, tali circostanze non devono essere dichiarate in occasione della partecipazione a gare successive e i relativi provvedimenti non sono inseriti nel FVOE.</w:t>
            </w:r>
          </w:p>
        </w:tc>
      </w:tr>
    </w:tbl>
    <w:p w14:paraId="01663750" w14:textId="77777777" w:rsidR="00BC6DE3" w:rsidRPr="00C21543" w:rsidRDefault="00BC6DE3" w:rsidP="00BC6DE3">
      <w:pPr>
        <w:spacing w:before="60" w:after="60"/>
        <w:rPr>
          <w:rFonts w:ascii="Titillium" w:hAnsi="Titillium" w:cs="Calibri"/>
          <w:i/>
          <w:iCs/>
          <w:color w:val="5B9BD5" w:themeColor="accent1"/>
          <w:sz w:val="18"/>
          <w:szCs w:val="18"/>
        </w:rPr>
      </w:pPr>
    </w:p>
    <w:p w14:paraId="203CA402" w14:textId="77777777" w:rsidR="006842EE" w:rsidRPr="00B511CF" w:rsidRDefault="008F2625" w:rsidP="00D26F03">
      <w:pPr>
        <w:pStyle w:val="Titolo3"/>
        <w:numPr>
          <w:ilvl w:val="1"/>
          <w:numId w:val="55"/>
        </w:numPr>
        <w:spacing w:before="120"/>
        <w:ind w:left="426" w:hanging="426"/>
        <w:rPr>
          <w:rFonts w:ascii="Titillium" w:hAnsi="Titillium"/>
          <w:caps w:val="0"/>
          <w:sz w:val="18"/>
          <w:szCs w:val="18"/>
          <w:lang w:val="it-IT"/>
        </w:rPr>
      </w:pPr>
      <w:bookmarkStart w:id="1744" w:name="_Ref132054207"/>
      <w:bookmarkStart w:id="1745" w:name="_Toc227921643"/>
      <w:r w:rsidRPr="00B511CF">
        <w:rPr>
          <w:rFonts w:ascii="Titillium" w:hAnsi="Titillium"/>
          <w:caps w:val="0"/>
          <w:sz w:val="18"/>
          <w:szCs w:val="18"/>
          <w:lang w:val="it-IT"/>
        </w:rPr>
        <w:t>DOCUMENTAZIONE IN CASO DI AVVALIMENTO</w:t>
      </w:r>
      <w:bookmarkEnd w:id="1744"/>
      <w:bookmarkEnd w:id="1745"/>
    </w:p>
    <w:p w14:paraId="516C91A7" w14:textId="77777777" w:rsidR="006842EE" w:rsidRDefault="008F2625">
      <w:pPr>
        <w:spacing w:before="60" w:after="60"/>
        <w:rPr>
          <w:rFonts w:ascii="Titillium" w:hAnsi="Titillium" w:cs="Calibri"/>
          <w:sz w:val="18"/>
          <w:szCs w:val="18"/>
        </w:rPr>
      </w:pPr>
      <w:r>
        <w:rPr>
          <w:rFonts w:ascii="Titillium" w:hAnsi="Titillium" w:cs="Calibri"/>
          <w:sz w:val="18"/>
          <w:szCs w:val="18"/>
        </w:rPr>
        <w:t xml:space="preserve">L’impresa ausiliaria rende le dichiarazioni sul possesso dei requisiti di ordine generale mediante compilazione dell’apposita sezione del DGUE. </w:t>
      </w:r>
    </w:p>
    <w:p w14:paraId="4D1CA4F6" w14:textId="77777777" w:rsidR="006842EE" w:rsidRDefault="008F2625">
      <w:pPr>
        <w:spacing w:before="60" w:after="60"/>
        <w:rPr>
          <w:rFonts w:ascii="Titillium" w:hAnsi="Titillium" w:cs="Calibri"/>
          <w:sz w:val="18"/>
          <w:szCs w:val="18"/>
        </w:rPr>
      </w:pPr>
      <w:r>
        <w:rPr>
          <w:rFonts w:ascii="Titillium" w:hAnsi="Titillium" w:cs="Calibri"/>
          <w:sz w:val="18"/>
          <w:szCs w:val="18"/>
        </w:rPr>
        <w:t>Il concorrente, per ciascuna ausiliaria, allega:</w:t>
      </w:r>
    </w:p>
    <w:p w14:paraId="296E731A" w14:textId="677C5DA5" w:rsidR="003E23D5" w:rsidRPr="00807787" w:rsidRDefault="003E23D5" w:rsidP="00D26F03">
      <w:pPr>
        <w:pStyle w:val="Paragrafoelenco"/>
        <w:numPr>
          <w:ilvl w:val="0"/>
          <w:numId w:val="35"/>
        </w:numPr>
        <w:spacing w:before="60" w:after="60"/>
        <w:ind w:left="567"/>
        <w:rPr>
          <w:rFonts w:ascii="Titillium" w:hAnsi="Titillium" w:cs="Calibri"/>
          <w:color w:val="000000" w:themeColor="text1"/>
          <w:sz w:val="18"/>
          <w:szCs w:val="18"/>
        </w:rPr>
      </w:pPr>
      <w:r w:rsidRPr="00807787">
        <w:rPr>
          <w:rFonts w:ascii="Titillium" w:hAnsi="Titillium" w:cs="Calibri"/>
          <w:color w:val="000000" w:themeColor="text1"/>
          <w:sz w:val="18"/>
          <w:szCs w:val="18"/>
        </w:rPr>
        <w:t xml:space="preserve">il consenso al trattamento dei dati tramite il fascicolo virtuale, nel rispetto di quanto previsto dal codice in materia di protezione dei dati personali, di cui al decreto legislativo 30 giugno 2003, n. 196, ai fini della verifica del possesso dei requisiti dichiarati;   </w:t>
      </w:r>
    </w:p>
    <w:p w14:paraId="54A2D736" w14:textId="77777777" w:rsidR="00DF1C17" w:rsidRDefault="008F2625" w:rsidP="00D26F03">
      <w:pPr>
        <w:pStyle w:val="Paragrafoelenco"/>
        <w:numPr>
          <w:ilvl w:val="0"/>
          <w:numId w:val="35"/>
        </w:numPr>
        <w:spacing w:before="60" w:after="60"/>
        <w:ind w:left="567"/>
        <w:rPr>
          <w:rFonts w:ascii="Titillium" w:hAnsi="Titillium" w:cs="Calibri"/>
          <w:sz w:val="18"/>
          <w:szCs w:val="18"/>
        </w:rPr>
      </w:pPr>
      <w:r w:rsidRPr="003E23D5">
        <w:rPr>
          <w:rFonts w:ascii="Titillium" w:hAnsi="Titillium" w:cs="Calibri"/>
          <w:sz w:val="18"/>
          <w:szCs w:val="18"/>
        </w:rPr>
        <w:t>la dichiarazione di avvalimento;</w:t>
      </w:r>
    </w:p>
    <w:p w14:paraId="6060315A" w14:textId="65524327" w:rsidR="00DF1C17" w:rsidRDefault="002C384E" w:rsidP="00D26F03">
      <w:pPr>
        <w:pStyle w:val="Paragrafoelenco"/>
        <w:numPr>
          <w:ilvl w:val="0"/>
          <w:numId w:val="35"/>
        </w:numPr>
        <w:spacing w:before="60" w:after="60"/>
        <w:ind w:left="567"/>
        <w:rPr>
          <w:rFonts w:ascii="Titillium" w:hAnsi="Titillium" w:cs="Calibri"/>
          <w:sz w:val="18"/>
          <w:szCs w:val="18"/>
        </w:rPr>
      </w:pPr>
      <w:r w:rsidRPr="00DF1C17">
        <w:rPr>
          <w:rFonts w:ascii="Titillium" w:hAnsi="Titillium" w:cs="Calibri"/>
          <w:sz w:val="18"/>
          <w:szCs w:val="18"/>
        </w:rPr>
        <w:t>il contratto di avvalimento</w:t>
      </w:r>
      <w:r w:rsidR="005913F3" w:rsidRPr="00DF1C17">
        <w:rPr>
          <w:rFonts w:ascii="Titillium" w:hAnsi="Titillium" w:cs="Calibri"/>
          <w:sz w:val="18"/>
          <w:szCs w:val="18"/>
        </w:rPr>
        <w:t>,</w:t>
      </w:r>
      <w:r w:rsidR="005913F3" w:rsidRPr="005913F3">
        <w:t xml:space="preserve"> </w:t>
      </w:r>
      <w:r w:rsidR="005913F3" w:rsidRPr="00DF1C17">
        <w:rPr>
          <w:rFonts w:ascii="Titillium" w:hAnsi="Titillium" w:cs="Calibri"/>
          <w:sz w:val="18"/>
          <w:szCs w:val="18"/>
        </w:rPr>
        <w:t>anche misto</w:t>
      </w:r>
      <w:r w:rsidR="00DF1C17">
        <w:rPr>
          <w:rFonts w:ascii="Titillium" w:hAnsi="Titillium" w:cs="Calibri"/>
          <w:sz w:val="18"/>
          <w:szCs w:val="18"/>
        </w:rPr>
        <w:t>;</w:t>
      </w:r>
    </w:p>
    <w:p w14:paraId="68BD9E9A" w14:textId="0C1299CB" w:rsidR="006842EE" w:rsidRDefault="005913F3" w:rsidP="00D26F03">
      <w:pPr>
        <w:pStyle w:val="Paragrafoelenco"/>
        <w:numPr>
          <w:ilvl w:val="0"/>
          <w:numId w:val="35"/>
        </w:numPr>
        <w:spacing w:before="60" w:after="60"/>
        <w:ind w:left="567"/>
        <w:rPr>
          <w:rFonts w:ascii="Titillium" w:hAnsi="Titillium" w:cs="Calibri"/>
          <w:sz w:val="18"/>
          <w:szCs w:val="18"/>
        </w:rPr>
      </w:pPr>
      <w:r w:rsidRPr="004E0164">
        <w:rPr>
          <w:rFonts w:ascii="Titillium" w:hAnsi="Titillium" w:cs="Calibri"/>
          <w:b/>
          <w:bCs/>
          <w:sz w:val="18"/>
          <w:szCs w:val="18"/>
        </w:rPr>
        <w:t>[</w:t>
      </w:r>
      <w:r w:rsidRPr="00776DFE">
        <w:rPr>
          <w:rFonts w:ascii="Titillium" w:hAnsi="Titillium" w:cs="Calibri"/>
          <w:b/>
          <w:bCs/>
          <w:i/>
          <w:iCs/>
          <w:sz w:val="18"/>
          <w:szCs w:val="18"/>
        </w:rPr>
        <w:t>se richiesto come allegato alla domanda di partecipazione</w:t>
      </w:r>
      <w:r w:rsidRPr="004E0164">
        <w:rPr>
          <w:rFonts w:ascii="Titillium" w:hAnsi="Titillium" w:cs="Calibri"/>
          <w:b/>
          <w:bCs/>
          <w:sz w:val="18"/>
          <w:szCs w:val="18"/>
        </w:rPr>
        <w:t>]</w:t>
      </w:r>
      <w:r w:rsidRPr="00DF1C17">
        <w:rPr>
          <w:rFonts w:ascii="Titillium" w:hAnsi="Titillium" w:cs="Calibri"/>
          <w:sz w:val="18"/>
          <w:szCs w:val="18"/>
        </w:rPr>
        <w:t xml:space="preserve"> il contratto di avvalimento premiale</w:t>
      </w:r>
      <w:r w:rsidR="00776DFE">
        <w:rPr>
          <w:rFonts w:ascii="Titillium" w:hAnsi="Titillium" w:cs="Calibri"/>
          <w:sz w:val="18"/>
          <w:szCs w:val="18"/>
        </w:rPr>
        <w:t>.</w:t>
      </w:r>
    </w:p>
    <w:p w14:paraId="68719DEF" w14:textId="77777777" w:rsidR="00EA5FDE" w:rsidRPr="00EA5FDE" w:rsidRDefault="00EA5FDE" w:rsidP="00EA5FDE">
      <w:pPr>
        <w:spacing w:before="60" w:after="60"/>
        <w:ind w:left="207"/>
        <w:rPr>
          <w:rFonts w:ascii="Titillium" w:hAnsi="Titillium" w:cs="Calibri"/>
          <w:sz w:val="18"/>
          <w:szCs w:val="18"/>
        </w:rPr>
      </w:pPr>
    </w:p>
    <w:p w14:paraId="6E1A3C12" w14:textId="5DBD7FFF" w:rsidR="006842EE" w:rsidRPr="005D69F4" w:rsidRDefault="008F2625" w:rsidP="00D26F03">
      <w:pPr>
        <w:pStyle w:val="Titolo3"/>
        <w:numPr>
          <w:ilvl w:val="1"/>
          <w:numId w:val="55"/>
        </w:numPr>
        <w:spacing w:before="120"/>
        <w:ind w:left="426" w:hanging="426"/>
        <w:rPr>
          <w:rFonts w:ascii="Titillium" w:hAnsi="Titillium"/>
          <w:caps w:val="0"/>
          <w:sz w:val="18"/>
          <w:szCs w:val="18"/>
          <w:lang w:val="it-IT"/>
        </w:rPr>
      </w:pPr>
      <w:bookmarkStart w:id="1746" w:name="_Ref498427979"/>
      <w:bookmarkStart w:id="1747" w:name="_Toc227921644"/>
      <w:r w:rsidRPr="005D69F4">
        <w:rPr>
          <w:rFonts w:ascii="Titillium" w:hAnsi="Titillium"/>
          <w:caps w:val="0"/>
          <w:sz w:val="18"/>
          <w:szCs w:val="18"/>
          <w:lang w:val="it-IT"/>
        </w:rPr>
        <w:t>DOCUMENTAZIONE ULTERIORE PER I SOGGETTI ASSOCIATI</w:t>
      </w:r>
      <w:bookmarkEnd w:id="1746"/>
      <w:bookmarkEnd w:id="1747"/>
    </w:p>
    <w:p w14:paraId="7F7F6A48" w14:textId="77777777" w:rsidR="006842EE" w:rsidRDefault="008F2625">
      <w:pPr>
        <w:spacing w:before="60" w:after="60"/>
        <w:rPr>
          <w:rFonts w:ascii="Titillium" w:hAnsi="Titillium"/>
          <w:b/>
          <w:sz w:val="18"/>
          <w:szCs w:val="18"/>
        </w:rPr>
      </w:pPr>
      <w:r>
        <w:rPr>
          <w:rFonts w:ascii="Titillium" w:hAnsi="Titillium"/>
          <w:b/>
          <w:sz w:val="18"/>
          <w:szCs w:val="18"/>
        </w:rPr>
        <w:t>Per i raggruppamenti temporanei già costituiti</w:t>
      </w:r>
    </w:p>
    <w:p w14:paraId="561D5426" w14:textId="77777777" w:rsidR="006842EE" w:rsidRDefault="008F2625" w:rsidP="00D26F03">
      <w:pPr>
        <w:pStyle w:val="Paragrafoelenco"/>
        <w:numPr>
          <w:ilvl w:val="0"/>
          <w:numId w:val="14"/>
        </w:numPr>
        <w:spacing w:before="60" w:after="60"/>
        <w:ind w:left="284" w:hanging="284"/>
        <w:rPr>
          <w:rFonts w:ascii="Titillium" w:hAnsi="Titillium" w:cs="Calibri"/>
          <w:sz w:val="18"/>
          <w:szCs w:val="18"/>
        </w:rPr>
      </w:pPr>
      <w:r>
        <w:rPr>
          <w:rFonts w:ascii="Titillium" w:hAnsi="Titillium" w:cs="Calibri"/>
          <w:sz w:val="18"/>
          <w:szCs w:val="18"/>
        </w:rPr>
        <w:t>copia del mandato collettivo irrevocabile con rappresentanza conferito alla mandataria per atto pubblico o scrittura privata autenticata;</w:t>
      </w:r>
    </w:p>
    <w:p w14:paraId="6415E871" w14:textId="55B250EB" w:rsidR="000963C7" w:rsidRPr="00807787" w:rsidRDefault="008F2625" w:rsidP="00D26F03">
      <w:pPr>
        <w:pStyle w:val="Paragrafoelenco"/>
        <w:numPr>
          <w:ilvl w:val="0"/>
          <w:numId w:val="14"/>
        </w:numPr>
        <w:spacing w:before="60" w:after="60"/>
        <w:ind w:left="284" w:hanging="284"/>
        <w:rPr>
          <w:rFonts w:ascii="Titillium" w:hAnsi="Titillium" w:cs="Calibri"/>
          <w:color w:val="000000" w:themeColor="text1"/>
          <w:sz w:val="18"/>
          <w:szCs w:val="18"/>
        </w:rPr>
      </w:pPr>
      <w:r w:rsidRPr="008A558B">
        <w:rPr>
          <w:rFonts w:ascii="Titillium" w:hAnsi="Titillium" w:cs="Calibri"/>
          <w:sz w:val="18"/>
          <w:szCs w:val="18"/>
        </w:rPr>
        <w:t>dichiarazione delle parti del servizio, ovvero della percentuale in caso di servizio indivisibil</w:t>
      </w:r>
      <w:r w:rsidR="00C94D92">
        <w:rPr>
          <w:rFonts w:ascii="Titillium" w:hAnsi="Titillium" w:cs="Calibri"/>
          <w:sz w:val="18"/>
          <w:szCs w:val="18"/>
        </w:rPr>
        <w:t>e</w:t>
      </w:r>
      <w:r w:rsidRPr="008A558B">
        <w:rPr>
          <w:rFonts w:ascii="Titillium" w:hAnsi="Titillium" w:cs="Calibri"/>
          <w:sz w:val="18"/>
          <w:szCs w:val="18"/>
        </w:rPr>
        <w:t xml:space="preserve">, che saranno eseguite dai singoli operatori economici riuniti </w:t>
      </w:r>
      <w:r w:rsidRPr="00807787">
        <w:rPr>
          <w:rFonts w:ascii="Titillium" w:hAnsi="Titillium" w:cs="Calibri"/>
          <w:color w:val="000000" w:themeColor="text1"/>
          <w:sz w:val="18"/>
          <w:szCs w:val="18"/>
        </w:rPr>
        <w:t>o consorziati;</w:t>
      </w:r>
    </w:p>
    <w:p w14:paraId="2577519C" w14:textId="75EB6F33" w:rsidR="006842EE" w:rsidRPr="00237927" w:rsidRDefault="008F2625" w:rsidP="00D26F03">
      <w:pPr>
        <w:pStyle w:val="Paragrafoelenco"/>
        <w:numPr>
          <w:ilvl w:val="0"/>
          <w:numId w:val="14"/>
        </w:numPr>
        <w:spacing w:before="60" w:after="60"/>
        <w:ind w:left="284" w:hanging="284"/>
        <w:rPr>
          <w:rFonts w:ascii="Titillium" w:hAnsi="Titillium" w:cs="Calibri"/>
          <w:sz w:val="18"/>
          <w:szCs w:val="18"/>
        </w:rPr>
      </w:pPr>
      <w:r w:rsidRPr="00237927">
        <w:rPr>
          <w:rFonts w:ascii="Titillium" w:hAnsi="Titillium" w:cs="Calibri"/>
          <w:sz w:val="18"/>
          <w:szCs w:val="18"/>
        </w:rPr>
        <w:t>dichiarazione dei seguenti dati: nome, cognome, codice fiscale, estremi dei requisiti (titolo di studio, data di abilitazione e n. iscrizione all’albo professionale), posizione nel raggruppamento del giovane professionista di cui all’</w:t>
      </w:r>
      <w:r w:rsidR="00D61BD7" w:rsidRPr="00237927">
        <w:rPr>
          <w:rFonts w:ascii="Titillium" w:hAnsi="Titillium" w:cs="Calibri"/>
          <w:sz w:val="18"/>
          <w:szCs w:val="18"/>
        </w:rPr>
        <w:t>articolo</w:t>
      </w:r>
      <w:r w:rsidRPr="00237927">
        <w:rPr>
          <w:rFonts w:ascii="Titillium" w:hAnsi="Titillium" w:cs="Calibri"/>
          <w:sz w:val="18"/>
          <w:szCs w:val="18"/>
        </w:rPr>
        <w:t xml:space="preserve"> 39 dell’allegato II.12.</w:t>
      </w:r>
      <w:r w:rsidR="008A558B" w:rsidRPr="00237927">
        <w:rPr>
          <w:rFonts w:ascii="Titillium" w:hAnsi="Titillium" w:cs="Calibri"/>
          <w:sz w:val="18"/>
          <w:szCs w:val="18"/>
        </w:rPr>
        <w:t xml:space="preserve">  </w:t>
      </w:r>
    </w:p>
    <w:p w14:paraId="6D82985F" w14:textId="77777777" w:rsidR="006842EE" w:rsidRDefault="008F2625">
      <w:pPr>
        <w:spacing w:before="60" w:after="60"/>
        <w:rPr>
          <w:rFonts w:ascii="Titillium" w:hAnsi="Titillium"/>
          <w:b/>
          <w:sz w:val="18"/>
          <w:szCs w:val="18"/>
        </w:rPr>
      </w:pPr>
      <w:r>
        <w:rPr>
          <w:rFonts w:ascii="Titillium" w:hAnsi="Titillium"/>
          <w:b/>
          <w:sz w:val="18"/>
          <w:szCs w:val="18"/>
        </w:rPr>
        <w:t>Per i consorzi ordinari o GEIE già costituiti</w:t>
      </w:r>
    </w:p>
    <w:p w14:paraId="461C7863" w14:textId="77777777" w:rsidR="006842EE" w:rsidRDefault="008F2625" w:rsidP="00D26F03">
      <w:pPr>
        <w:pStyle w:val="Paragrafoelenco"/>
        <w:numPr>
          <w:ilvl w:val="0"/>
          <w:numId w:val="14"/>
        </w:numPr>
        <w:spacing w:before="60" w:after="60"/>
        <w:ind w:left="284" w:hanging="284"/>
        <w:rPr>
          <w:rFonts w:ascii="Titillium" w:hAnsi="Titillium" w:cs="Calibri"/>
          <w:sz w:val="18"/>
          <w:szCs w:val="18"/>
        </w:rPr>
      </w:pPr>
      <w:r>
        <w:rPr>
          <w:rFonts w:ascii="Titillium" w:hAnsi="Titillium" w:cs="Calibri"/>
          <w:sz w:val="18"/>
          <w:szCs w:val="18"/>
        </w:rPr>
        <w:t xml:space="preserve">copia dell’atto costitutivo e dello statuto del consorzio o GEIE, con indicazione del soggetto designato quale capofila; </w:t>
      </w:r>
    </w:p>
    <w:p w14:paraId="4D433BD1" w14:textId="792A193A" w:rsidR="006842EE" w:rsidRDefault="008F2625" w:rsidP="00D26F03">
      <w:pPr>
        <w:pStyle w:val="Paragrafoelenco"/>
        <w:numPr>
          <w:ilvl w:val="0"/>
          <w:numId w:val="14"/>
        </w:numPr>
        <w:spacing w:before="60" w:after="60"/>
        <w:ind w:left="284" w:hanging="284"/>
        <w:rPr>
          <w:rFonts w:ascii="Titillium" w:hAnsi="Titillium" w:cs="Calibri"/>
          <w:sz w:val="18"/>
          <w:szCs w:val="18"/>
        </w:rPr>
      </w:pPr>
      <w:r>
        <w:rPr>
          <w:rFonts w:ascii="Titillium" w:hAnsi="Titillium" w:cs="Calibri"/>
          <w:sz w:val="18"/>
          <w:szCs w:val="18"/>
        </w:rPr>
        <w:t>dichiarazione sottoscritta delle parti del servizio, ovvero la percentuale in caso di servizi</w:t>
      </w:r>
      <w:r w:rsidR="00F37828">
        <w:rPr>
          <w:rFonts w:ascii="Titillium" w:hAnsi="Titillium" w:cs="Calibri"/>
          <w:sz w:val="18"/>
          <w:szCs w:val="18"/>
        </w:rPr>
        <w:t xml:space="preserve"> </w:t>
      </w:r>
      <w:r>
        <w:rPr>
          <w:rFonts w:ascii="Titillium" w:hAnsi="Titillium" w:cs="Calibri"/>
          <w:sz w:val="18"/>
          <w:szCs w:val="18"/>
        </w:rPr>
        <w:t>indivisibili, che saranno eseguite dai singoli operatori economici consorziati;</w:t>
      </w:r>
    </w:p>
    <w:p w14:paraId="585AD51C" w14:textId="77777777" w:rsidR="006842EE" w:rsidRDefault="008F2625">
      <w:pPr>
        <w:spacing w:before="60" w:after="60"/>
        <w:rPr>
          <w:rFonts w:ascii="Titillium" w:hAnsi="Titillium"/>
          <w:b/>
          <w:sz w:val="18"/>
          <w:szCs w:val="18"/>
        </w:rPr>
      </w:pPr>
      <w:r>
        <w:rPr>
          <w:rFonts w:ascii="Titillium" w:hAnsi="Titillium"/>
          <w:b/>
          <w:sz w:val="18"/>
          <w:szCs w:val="18"/>
        </w:rPr>
        <w:t>Per i raggruppamenti temporanei o consorzi ordinari o GEIE non ancora costituiti</w:t>
      </w:r>
    </w:p>
    <w:p w14:paraId="2FAE722F" w14:textId="77777777" w:rsidR="006842EE" w:rsidRDefault="008F2625" w:rsidP="00D26F03">
      <w:pPr>
        <w:pStyle w:val="Paragrafoelenco"/>
        <w:numPr>
          <w:ilvl w:val="0"/>
          <w:numId w:val="14"/>
        </w:numPr>
        <w:spacing w:before="60" w:after="60"/>
        <w:ind w:left="284" w:hanging="284"/>
        <w:rPr>
          <w:rFonts w:ascii="Titillium" w:hAnsi="Titillium" w:cs="Calibri"/>
          <w:sz w:val="18"/>
          <w:szCs w:val="18"/>
        </w:rPr>
      </w:pPr>
      <w:r>
        <w:rPr>
          <w:rFonts w:ascii="Titillium" w:hAnsi="Titillium" w:cs="Calibri"/>
          <w:sz w:val="18"/>
          <w:szCs w:val="18"/>
        </w:rPr>
        <w:t xml:space="preserve"> dichiarazione rese da ciascun concorrente, attestante:</w:t>
      </w:r>
    </w:p>
    <w:p w14:paraId="525F34D6" w14:textId="77777777" w:rsidR="006842EE" w:rsidRDefault="008F2625" w:rsidP="00D26F03">
      <w:pPr>
        <w:numPr>
          <w:ilvl w:val="0"/>
          <w:numId w:val="8"/>
        </w:numPr>
        <w:spacing w:before="60" w:after="60"/>
        <w:ind w:left="709" w:hanging="284"/>
        <w:rPr>
          <w:rFonts w:ascii="Titillium" w:hAnsi="Titillium" w:cs="Calibri"/>
          <w:sz w:val="18"/>
          <w:szCs w:val="18"/>
        </w:rPr>
      </w:pPr>
      <w:r>
        <w:rPr>
          <w:rFonts w:ascii="Titillium" w:hAnsi="Titillium" w:cs="Calibri"/>
          <w:sz w:val="18"/>
          <w:szCs w:val="18"/>
        </w:rPr>
        <w:t>a quale operatore economico, in caso di aggiudicazione, sarà conferito mandato speciale con rappresentanza o funzioni di capogruppo;</w:t>
      </w:r>
    </w:p>
    <w:p w14:paraId="297AE5B0" w14:textId="77777777" w:rsidR="006842EE" w:rsidRDefault="008F2625" w:rsidP="00D26F03">
      <w:pPr>
        <w:numPr>
          <w:ilvl w:val="0"/>
          <w:numId w:val="8"/>
        </w:numPr>
        <w:spacing w:before="60" w:after="60"/>
        <w:ind w:left="709" w:hanging="284"/>
      </w:pPr>
      <w:r>
        <w:rPr>
          <w:rFonts w:ascii="Titillium" w:hAnsi="Titillium" w:cs="Calibri"/>
          <w:sz w:val="18"/>
          <w:szCs w:val="18"/>
        </w:rPr>
        <w:t>l’impegno,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0DDBCCEF" w14:textId="201A7553" w:rsidR="0016006D" w:rsidRPr="00DF1C17" w:rsidRDefault="008F2625" w:rsidP="00D26F03">
      <w:pPr>
        <w:pStyle w:val="Paragrafoelenco"/>
        <w:numPr>
          <w:ilvl w:val="0"/>
          <w:numId w:val="14"/>
        </w:numPr>
        <w:spacing w:before="60" w:after="60"/>
        <w:ind w:left="284" w:hanging="284"/>
        <w:rPr>
          <w:rFonts w:ascii="Titillium" w:hAnsi="Titillium" w:cs="Calibri"/>
          <w:sz w:val="18"/>
          <w:szCs w:val="18"/>
        </w:rPr>
      </w:pPr>
      <w:r>
        <w:rPr>
          <w:rFonts w:ascii="Titillium" w:hAnsi="Titillium" w:cs="Calibri"/>
          <w:sz w:val="18"/>
          <w:szCs w:val="18"/>
        </w:rPr>
        <w:t>le parti del servizio, ovvero la percentuale in caso di servizi indivisibil</w:t>
      </w:r>
      <w:r w:rsidR="00F37828">
        <w:rPr>
          <w:rFonts w:ascii="Titillium" w:hAnsi="Titillium" w:cs="Calibri"/>
          <w:sz w:val="18"/>
          <w:szCs w:val="18"/>
        </w:rPr>
        <w:t>i</w:t>
      </w:r>
      <w:r>
        <w:rPr>
          <w:rFonts w:ascii="Titillium" w:hAnsi="Titillium" w:cs="Calibri"/>
          <w:sz w:val="18"/>
          <w:szCs w:val="18"/>
        </w:rPr>
        <w:t xml:space="preserve">, che saranno eseguite dai singoli operatori economici riuniti o consorziati. </w:t>
      </w:r>
    </w:p>
    <w:p w14:paraId="4F994BAF" w14:textId="54F26D55" w:rsidR="0016006D" w:rsidRPr="00DF1C17" w:rsidRDefault="0016006D" w:rsidP="00D26F03">
      <w:pPr>
        <w:pStyle w:val="Paragrafoelenco"/>
        <w:numPr>
          <w:ilvl w:val="0"/>
          <w:numId w:val="14"/>
        </w:numPr>
        <w:spacing w:before="60" w:after="60"/>
        <w:ind w:left="284" w:hanging="284"/>
        <w:rPr>
          <w:rFonts w:ascii="Titillium" w:hAnsi="Titillium" w:cs="Calibri"/>
          <w:sz w:val="18"/>
          <w:szCs w:val="18"/>
        </w:rPr>
      </w:pPr>
      <w:r w:rsidRPr="00237927">
        <w:rPr>
          <w:rFonts w:ascii="Titillium" w:hAnsi="Titillium" w:cs="Calibri"/>
          <w:sz w:val="18"/>
          <w:szCs w:val="18"/>
        </w:rPr>
        <w:t>dichiarazione dei seguenti dati: nome, cognome, codice fiscale, estremi dei requisiti (titolo di studio, data di abilitazione e n. iscrizione all’albo professionale), posizione nel raggruppamento del giovane professionista di cui all’</w:t>
      </w:r>
      <w:r w:rsidR="00D61BD7" w:rsidRPr="00237927">
        <w:rPr>
          <w:rFonts w:ascii="Titillium" w:hAnsi="Titillium" w:cs="Calibri"/>
          <w:sz w:val="18"/>
          <w:szCs w:val="18"/>
        </w:rPr>
        <w:t>articolo</w:t>
      </w:r>
      <w:r w:rsidRPr="00237927">
        <w:rPr>
          <w:rFonts w:ascii="Titillium" w:hAnsi="Titillium" w:cs="Calibri"/>
          <w:sz w:val="18"/>
          <w:szCs w:val="18"/>
        </w:rPr>
        <w:t xml:space="preserve"> 39 dell’</w:t>
      </w:r>
      <w:r w:rsidR="00A66380">
        <w:rPr>
          <w:rFonts w:ascii="Titillium" w:hAnsi="Titillium" w:cs="Calibri"/>
          <w:sz w:val="18"/>
          <w:szCs w:val="18"/>
        </w:rPr>
        <w:t>A</w:t>
      </w:r>
      <w:r w:rsidRPr="00237927">
        <w:rPr>
          <w:rFonts w:ascii="Titillium" w:hAnsi="Titillium" w:cs="Calibri"/>
          <w:sz w:val="18"/>
          <w:szCs w:val="18"/>
        </w:rPr>
        <w:t>llegato II.12</w:t>
      </w:r>
      <w:r w:rsidR="00A66380">
        <w:rPr>
          <w:rFonts w:ascii="Titillium" w:hAnsi="Titillium" w:cs="Calibri"/>
          <w:sz w:val="18"/>
          <w:szCs w:val="18"/>
        </w:rPr>
        <w:t xml:space="preserve"> al Codice</w:t>
      </w:r>
      <w:r w:rsidRPr="00237927">
        <w:rPr>
          <w:rFonts w:ascii="Titillium" w:hAnsi="Titillium" w:cs="Calibri"/>
          <w:sz w:val="18"/>
          <w:szCs w:val="18"/>
        </w:rPr>
        <w:t>.</w:t>
      </w:r>
    </w:p>
    <w:p w14:paraId="6ED18F9B" w14:textId="77777777" w:rsidR="006842EE" w:rsidRDefault="008F2625">
      <w:pPr>
        <w:spacing w:before="60" w:after="60"/>
        <w:rPr>
          <w:rFonts w:ascii="Titillium" w:hAnsi="Titillium"/>
          <w:b/>
          <w:sz w:val="18"/>
          <w:szCs w:val="18"/>
        </w:rPr>
      </w:pPr>
      <w:r>
        <w:rPr>
          <w:rFonts w:ascii="Titillium" w:hAnsi="Titillium"/>
          <w:b/>
          <w:sz w:val="18"/>
          <w:szCs w:val="18"/>
        </w:rPr>
        <w:t>Per le aggregazioni di retisti: se la rete è dotata di un organo comune con potere di rappresentanza e soggettività giuridica</w:t>
      </w:r>
    </w:p>
    <w:p w14:paraId="787F1D53" w14:textId="77777777" w:rsidR="006842EE" w:rsidRDefault="008F2625" w:rsidP="00D26F03">
      <w:pPr>
        <w:pStyle w:val="Paragrafoelenco"/>
        <w:numPr>
          <w:ilvl w:val="0"/>
          <w:numId w:val="14"/>
        </w:numPr>
        <w:spacing w:before="60" w:after="60"/>
        <w:ind w:left="284" w:hanging="284"/>
        <w:rPr>
          <w:rFonts w:ascii="Titillium" w:hAnsi="Titillium" w:cs="Calibri"/>
          <w:sz w:val="18"/>
          <w:szCs w:val="18"/>
        </w:rPr>
      </w:pPr>
      <w:r>
        <w:rPr>
          <w:rFonts w:ascii="Titillium" w:hAnsi="Titillium" w:cs="Calibri"/>
          <w:sz w:val="18"/>
          <w:szCs w:val="18"/>
        </w:rPr>
        <w:t>copia del contratto di rete, con indicazione dell’organo comune che agisce in rappresentanza della rete.</w:t>
      </w:r>
    </w:p>
    <w:p w14:paraId="3F94E845" w14:textId="77777777" w:rsidR="006842EE" w:rsidRDefault="008F2625" w:rsidP="00D26F03">
      <w:pPr>
        <w:pStyle w:val="Paragrafoelenco"/>
        <w:numPr>
          <w:ilvl w:val="0"/>
          <w:numId w:val="14"/>
        </w:numPr>
        <w:spacing w:before="60" w:after="60"/>
        <w:ind w:left="284" w:hanging="284"/>
        <w:rPr>
          <w:rFonts w:ascii="Titillium" w:hAnsi="Titillium" w:cs="Calibri"/>
          <w:sz w:val="18"/>
          <w:szCs w:val="18"/>
        </w:rPr>
      </w:pPr>
      <w:r>
        <w:rPr>
          <w:rFonts w:ascii="Titillium" w:hAnsi="Titillium" w:cs="Calibri"/>
          <w:sz w:val="18"/>
          <w:szCs w:val="18"/>
        </w:rPr>
        <w:t xml:space="preserve">dichiarazione che indichi per quali imprese la rete concorre; </w:t>
      </w:r>
    </w:p>
    <w:p w14:paraId="4E9F874B" w14:textId="2B210386" w:rsidR="006842EE" w:rsidRDefault="008F2625" w:rsidP="00D26F03">
      <w:pPr>
        <w:pStyle w:val="Paragrafoelenco"/>
        <w:numPr>
          <w:ilvl w:val="0"/>
          <w:numId w:val="14"/>
        </w:numPr>
        <w:spacing w:before="60" w:after="60"/>
        <w:ind w:left="284" w:hanging="284"/>
        <w:rPr>
          <w:rFonts w:ascii="Titillium" w:hAnsi="Titillium" w:cs="Calibri"/>
          <w:sz w:val="18"/>
          <w:szCs w:val="18"/>
        </w:rPr>
      </w:pPr>
      <w:r>
        <w:rPr>
          <w:rFonts w:ascii="Titillium" w:hAnsi="Titillium" w:cs="Calibri"/>
          <w:sz w:val="18"/>
          <w:szCs w:val="18"/>
        </w:rPr>
        <w:t xml:space="preserve">dichiarazione sottoscritta con firma digitale delle parti del servizio, ovvero la percentuale in caso di servizi indivisibili, che saranno eseguite dai singoli operatori economici aggregati in rete. </w:t>
      </w:r>
    </w:p>
    <w:p w14:paraId="5916151F" w14:textId="77777777" w:rsidR="006842EE" w:rsidRDefault="008F2625">
      <w:pPr>
        <w:spacing w:before="60" w:after="60"/>
        <w:rPr>
          <w:rFonts w:ascii="Titillium" w:hAnsi="Titillium"/>
          <w:b/>
          <w:sz w:val="18"/>
          <w:szCs w:val="18"/>
        </w:rPr>
      </w:pPr>
      <w:r>
        <w:rPr>
          <w:rFonts w:ascii="Titillium" w:hAnsi="Titillium"/>
          <w:b/>
          <w:sz w:val="18"/>
          <w:szCs w:val="18"/>
        </w:rPr>
        <w:t>Per le aggregazioni di retisti: se la rete è dotata di un organo comune con potere di rappresentanza ma è priva di soggettività giuridica</w:t>
      </w:r>
    </w:p>
    <w:p w14:paraId="3F352E0A" w14:textId="77777777" w:rsidR="006842EE" w:rsidRDefault="008F2625" w:rsidP="00D26F03">
      <w:pPr>
        <w:pStyle w:val="Paragrafoelenco"/>
        <w:numPr>
          <w:ilvl w:val="0"/>
          <w:numId w:val="14"/>
        </w:numPr>
        <w:spacing w:before="60" w:after="60"/>
        <w:ind w:left="284" w:hanging="284"/>
        <w:rPr>
          <w:rFonts w:ascii="Titillium" w:hAnsi="Titillium" w:cs="Calibri"/>
          <w:sz w:val="18"/>
          <w:szCs w:val="18"/>
        </w:rPr>
      </w:pPr>
      <w:r>
        <w:rPr>
          <w:rFonts w:ascii="Titillium" w:hAnsi="Titillium" w:cs="Calibri"/>
          <w:sz w:val="18"/>
          <w:szCs w:val="18"/>
        </w:rPr>
        <w:t>copia del contratto di rete;</w:t>
      </w:r>
    </w:p>
    <w:p w14:paraId="7633FF0F" w14:textId="77777777" w:rsidR="006842EE" w:rsidRDefault="008F2625" w:rsidP="00D26F03">
      <w:pPr>
        <w:pStyle w:val="Paragrafoelenco"/>
        <w:numPr>
          <w:ilvl w:val="0"/>
          <w:numId w:val="14"/>
        </w:numPr>
        <w:spacing w:before="60" w:after="60"/>
        <w:ind w:left="284" w:hanging="284"/>
        <w:rPr>
          <w:rFonts w:ascii="Titillium" w:hAnsi="Titillium" w:cs="Calibri"/>
          <w:sz w:val="18"/>
          <w:szCs w:val="18"/>
        </w:rPr>
      </w:pPr>
      <w:r>
        <w:rPr>
          <w:rFonts w:ascii="Titillium" w:hAnsi="Titillium" w:cs="Calibri"/>
          <w:sz w:val="18"/>
          <w:szCs w:val="18"/>
        </w:rPr>
        <w:t xml:space="preserve">copia del mandato collettivo irrevocabile con rappresentanza conferito all’organo comune; </w:t>
      </w:r>
    </w:p>
    <w:p w14:paraId="43CCE2F4" w14:textId="77777777" w:rsidR="006842EE" w:rsidRDefault="008F2625" w:rsidP="00D26F03">
      <w:pPr>
        <w:pStyle w:val="Paragrafoelenco"/>
        <w:numPr>
          <w:ilvl w:val="0"/>
          <w:numId w:val="14"/>
        </w:numPr>
        <w:spacing w:before="60" w:after="60"/>
        <w:ind w:left="284" w:hanging="284"/>
        <w:rPr>
          <w:rFonts w:ascii="Titillium" w:hAnsi="Titillium" w:cs="Calibri"/>
          <w:sz w:val="18"/>
          <w:szCs w:val="18"/>
        </w:rPr>
      </w:pPr>
      <w:r>
        <w:rPr>
          <w:rFonts w:ascii="Titillium" w:hAnsi="Titillium" w:cs="Calibri"/>
          <w:sz w:val="18"/>
          <w:szCs w:val="18"/>
        </w:rPr>
        <w:t>dichiarazione delle parti del servizio o della fornitura, ovvero la percentuale in caso di servizio/forniture indivisibili, che saranno eseguite dai singoli operatori economici aggregati in rete.</w:t>
      </w:r>
    </w:p>
    <w:p w14:paraId="262B71E6" w14:textId="77777777" w:rsidR="006842EE" w:rsidRDefault="008F2625">
      <w:pPr>
        <w:spacing w:before="60" w:after="60"/>
        <w:rPr>
          <w:rFonts w:ascii="Titillium" w:hAnsi="Titillium"/>
          <w:b/>
          <w:sz w:val="18"/>
          <w:szCs w:val="18"/>
        </w:rPr>
      </w:pPr>
      <w:r>
        <w:rPr>
          <w:rFonts w:ascii="Titillium" w:hAnsi="Titillium"/>
          <w:b/>
          <w:sz w:val="18"/>
          <w:szCs w:val="18"/>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6BBD546D" w14:textId="77777777" w:rsidR="006842EE" w:rsidRPr="00DF1C17" w:rsidRDefault="008F2625" w:rsidP="00D26F03">
      <w:pPr>
        <w:pStyle w:val="Paragrafoelenco"/>
        <w:numPr>
          <w:ilvl w:val="0"/>
          <w:numId w:val="14"/>
        </w:numPr>
        <w:spacing w:before="60" w:after="60"/>
        <w:ind w:left="284" w:hanging="284"/>
        <w:rPr>
          <w:rFonts w:ascii="Titillium" w:hAnsi="Titillium" w:cs="Calibri"/>
          <w:b/>
          <w:bCs/>
          <w:sz w:val="18"/>
          <w:szCs w:val="18"/>
        </w:rPr>
      </w:pPr>
      <w:r w:rsidRPr="00DF1C17">
        <w:rPr>
          <w:rFonts w:ascii="Titillium" w:hAnsi="Titillium" w:cs="Calibri"/>
          <w:b/>
          <w:bCs/>
          <w:sz w:val="18"/>
          <w:szCs w:val="18"/>
        </w:rPr>
        <w:t xml:space="preserve">in caso di raggruppamento temporaneo di imprese costituito: </w:t>
      </w:r>
    </w:p>
    <w:p w14:paraId="595CCB90" w14:textId="77777777" w:rsidR="006842EE" w:rsidRDefault="008F2625" w:rsidP="00D26F03">
      <w:pPr>
        <w:pStyle w:val="Paragrafoelenco"/>
        <w:numPr>
          <w:ilvl w:val="0"/>
          <w:numId w:val="14"/>
        </w:numPr>
        <w:spacing w:before="60" w:after="60"/>
        <w:ind w:left="284" w:hanging="284"/>
        <w:rPr>
          <w:rFonts w:ascii="Titillium" w:hAnsi="Titillium" w:cs="Calibri"/>
          <w:sz w:val="18"/>
          <w:szCs w:val="18"/>
        </w:rPr>
      </w:pPr>
      <w:r>
        <w:rPr>
          <w:rFonts w:ascii="Titillium" w:hAnsi="Titillium" w:cs="Calibri"/>
          <w:sz w:val="18"/>
          <w:szCs w:val="18"/>
        </w:rPr>
        <w:t>copia del contratto di rete</w:t>
      </w:r>
    </w:p>
    <w:p w14:paraId="57FA37CA" w14:textId="77777777" w:rsidR="006842EE" w:rsidRDefault="008F2625" w:rsidP="00D26F03">
      <w:pPr>
        <w:pStyle w:val="Paragrafoelenco"/>
        <w:numPr>
          <w:ilvl w:val="0"/>
          <w:numId w:val="14"/>
        </w:numPr>
        <w:spacing w:before="60" w:after="60"/>
        <w:ind w:left="284" w:hanging="284"/>
        <w:rPr>
          <w:rFonts w:ascii="Titillium" w:hAnsi="Titillium" w:cs="Calibri"/>
          <w:sz w:val="18"/>
          <w:szCs w:val="18"/>
        </w:rPr>
      </w:pPr>
      <w:r>
        <w:rPr>
          <w:rFonts w:ascii="Titillium" w:hAnsi="Titillium" w:cs="Calibri"/>
          <w:sz w:val="18"/>
          <w:szCs w:val="18"/>
        </w:rPr>
        <w:t>copia del mandato collettivo irrevocabile con rappresentanza conferito alla mandataria</w:t>
      </w:r>
    </w:p>
    <w:p w14:paraId="353B307A" w14:textId="4041E6A2" w:rsidR="006842EE" w:rsidRDefault="008F2625" w:rsidP="00D26F03">
      <w:pPr>
        <w:pStyle w:val="Paragrafoelenco"/>
        <w:numPr>
          <w:ilvl w:val="0"/>
          <w:numId w:val="14"/>
        </w:numPr>
        <w:spacing w:before="60" w:after="60"/>
        <w:ind w:left="284" w:hanging="284"/>
        <w:rPr>
          <w:rFonts w:ascii="Titillium" w:hAnsi="Titillium" w:cs="Calibri"/>
          <w:sz w:val="18"/>
          <w:szCs w:val="18"/>
        </w:rPr>
      </w:pPr>
      <w:r>
        <w:rPr>
          <w:rFonts w:ascii="Titillium" w:hAnsi="Titillium" w:cs="Calibri"/>
          <w:sz w:val="18"/>
          <w:szCs w:val="18"/>
        </w:rPr>
        <w:t>dichiarazione delle parti del servizio, ovvero la percentuale in caso di servizi indivisibili, che saranno eseguite dai singoli operatori economici aggregati in rete.</w:t>
      </w:r>
    </w:p>
    <w:p w14:paraId="3ABF87F8" w14:textId="77777777" w:rsidR="006842EE" w:rsidRPr="00DF1C17" w:rsidRDefault="008F2625" w:rsidP="00D26F03">
      <w:pPr>
        <w:pStyle w:val="Paragrafoelenco"/>
        <w:numPr>
          <w:ilvl w:val="0"/>
          <w:numId w:val="14"/>
        </w:numPr>
        <w:spacing w:before="60" w:after="60"/>
        <w:ind w:left="284" w:hanging="284"/>
        <w:rPr>
          <w:rFonts w:ascii="Titillium" w:hAnsi="Titillium" w:cs="Calibri"/>
          <w:b/>
          <w:bCs/>
          <w:sz w:val="18"/>
          <w:szCs w:val="18"/>
        </w:rPr>
      </w:pPr>
      <w:r w:rsidRPr="00DF1C17">
        <w:rPr>
          <w:rFonts w:ascii="Titillium" w:hAnsi="Titillium" w:cs="Calibri"/>
          <w:b/>
          <w:bCs/>
          <w:sz w:val="18"/>
          <w:szCs w:val="18"/>
        </w:rPr>
        <w:t xml:space="preserve">in caso di raggruppamento temporaneo di imprese costituendo: </w:t>
      </w:r>
    </w:p>
    <w:p w14:paraId="60D01227" w14:textId="77777777" w:rsidR="006842EE" w:rsidRDefault="008F2625" w:rsidP="00D26F03">
      <w:pPr>
        <w:pStyle w:val="Paragrafoelenco"/>
        <w:numPr>
          <w:ilvl w:val="0"/>
          <w:numId w:val="14"/>
        </w:numPr>
        <w:spacing w:before="60" w:after="60"/>
        <w:ind w:left="284" w:hanging="284"/>
        <w:rPr>
          <w:rFonts w:ascii="Titillium" w:hAnsi="Titillium" w:cs="Calibri"/>
          <w:sz w:val="18"/>
          <w:szCs w:val="18"/>
        </w:rPr>
      </w:pPr>
      <w:r>
        <w:rPr>
          <w:rFonts w:ascii="Titillium" w:hAnsi="Titillium" w:cs="Calibri"/>
          <w:sz w:val="18"/>
          <w:szCs w:val="18"/>
        </w:rPr>
        <w:t>copia del contratto di rete</w:t>
      </w:r>
    </w:p>
    <w:p w14:paraId="295552F0" w14:textId="77777777" w:rsidR="006842EE" w:rsidRDefault="008F2625" w:rsidP="00D26F03">
      <w:pPr>
        <w:pStyle w:val="Paragrafoelenco"/>
        <w:numPr>
          <w:ilvl w:val="0"/>
          <w:numId w:val="14"/>
        </w:numPr>
        <w:spacing w:before="60" w:after="60"/>
        <w:ind w:left="284" w:hanging="284"/>
        <w:rPr>
          <w:rFonts w:ascii="Titillium" w:hAnsi="Titillium" w:cs="Calibri"/>
          <w:sz w:val="18"/>
          <w:szCs w:val="18"/>
        </w:rPr>
      </w:pPr>
      <w:r>
        <w:rPr>
          <w:rFonts w:ascii="Titillium" w:hAnsi="Titillium" w:cs="Calibri"/>
          <w:sz w:val="18"/>
          <w:szCs w:val="18"/>
        </w:rPr>
        <w:t>dichiarazioni, rese da ciascun concorrente aderente all’aggregazione di rete, attestanti:</w:t>
      </w:r>
    </w:p>
    <w:p w14:paraId="495B82D3" w14:textId="77777777" w:rsidR="006842EE" w:rsidRDefault="008F2625" w:rsidP="00D26F03">
      <w:pPr>
        <w:numPr>
          <w:ilvl w:val="3"/>
          <w:numId w:val="9"/>
        </w:numPr>
        <w:spacing w:before="60" w:after="60"/>
        <w:ind w:left="851" w:hanging="284"/>
        <w:rPr>
          <w:rFonts w:ascii="Titillium" w:hAnsi="Titillium" w:cs="Calibri"/>
          <w:sz w:val="18"/>
          <w:szCs w:val="18"/>
        </w:rPr>
      </w:pPr>
      <w:r>
        <w:rPr>
          <w:rFonts w:ascii="Titillium" w:hAnsi="Titillium" w:cs="Calibri"/>
          <w:sz w:val="18"/>
          <w:szCs w:val="18"/>
        </w:rPr>
        <w:t>a quale concorrente, in caso di aggiudicazione, sarà conferito mandato speciale con rappresentanza o funzioni di capogruppo;</w:t>
      </w:r>
    </w:p>
    <w:p w14:paraId="56B6B6FC" w14:textId="77777777" w:rsidR="006842EE" w:rsidRDefault="008F2625" w:rsidP="00D26F03">
      <w:pPr>
        <w:numPr>
          <w:ilvl w:val="3"/>
          <w:numId w:val="9"/>
        </w:numPr>
        <w:spacing w:before="60" w:after="60"/>
        <w:ind w:left="851" w:hanging="284"/>
        <w:rPr>
          <w:rFonts w:ascii="Titillium" w:hAnsi="Titillium" w:cs="Calibri"/>
          <w:sz w:val="18"/>
          <w:szCs w:val="18"/>
        </w:rPr>
      </w:pPr>
      <w:r>
        <w:rPr>
          <w:rFonts w:ascii="Titillium" w:hAnsi="Titillium" w:cs="Calibri"/>
          <w:sz w:val="18"/>
          <w:szCs w:val="18"/>
        </w:rPr>
        <w:t>l’impegno, in caso di aggiudicazione, ad uniformarsi alla disciplina vigente in materia di raggruppamenti temporanei;</w:t>
      </w:r>
    </w:p>
    <w:p w14:paraId="3A96D5B0" w14:textId="77777777" w:rsidR="006842EE" w:rsidRDefault="008F2625" w:rsidP="00D26F03">
      <w:pPr>
        <w:numPr>
          <w:ilvl w:val="3"/>
          <w:numId w:val="9"/>
        </w:numPr>
        <w:spacing w:before="60" w:after="60"/>
        <w:ind w:left="851" w:hanging="284"/>
        <w:rPr>
          <w:rFonts w:ascii="Titillium" w:hAnsi="Titillium" w:cs="Calibri"/>
          <w:sz w:val="18"/>
          <w:szCs w:val="18"/>
        </w:rPr>
      </w:pPr>
      <w:r>
        <w:rPr>
          <w:rFonts w:ascii="Titillium" w:hAnsi="Titillium" w:cs="Calibri"/>
          <w:sz w:val="18"/>
          <w:szCs w:val="18"/>
        </w:rPr>
        <w:t>le parti del servizio o della fornitura, ovvero la percentuale in caso di servizio/forniture indivisibili, che saranno eseguite dai singoli operatori economici aggregati in rete.</w:t>
      </w:r>
    </w:p>
    <w:p w14:paraId="699197F7" w14:textId="029A83AB" w:rsidR="009525A1" w:rsidRPr="00807787" w:rsidRDefault="009525A1" w:rsidP="009525A1">
      <w:pPr>
        <w:spacing w:before="60" w:after="60"/>
        <w:rPr>
          <w:rFonts w:ascii="Titillium" w:hAnsi="Titillium" w:cs="Calibri"/>
          <w:b/>
          <w:bCs/>
          <w:color w:val="000000" w:themeColor="text1"/>
          <w:sz w:val="18"/>
          <w:szCs w:val="18"/>
        </w:rPr>
      </w:pPr>
      <w:r w:rsidRPr="00807787">
        <w:rPr>
          <w:rFonts w:ascii="Titillium" w:hAnsi="Titillium" w:cs="Calibri"/>
          <w:b/>
          <w:bCs/>
          <w:color w:val="000000" w:themeColor="text1"/>
          <w:sz w:val="18"/>
          <w:szCs w:val="18"/>
        </w:rPr>
        <w:t>Per i consorzi stabili</w:t>
      </w:r>
      <w:r w:rsidR="009B2983" w:rsidRPr="009B2983">
        <w:t xml:space="preserve"> </w:t>
      </w:r>
      <w:r w:rsidR="009B2983" w:rsidRPr="009B2983">
        <w:rPr>
          <w:rFonts w:ascii="Titillium" w:hAnsi="Titillium" w:cs="Calibri"/>
          <w:b/>
          <w:bCs/>
          <w:color w:val="000000" w:themeColor="text1"/>
          <w:sz w:val="18"/>
          <w:szCs w:val="18"/>
        </w:rPr>
        <w:t>di società di professionisti e di società di ingegneria, anche in forma mista</w:t>
      </w:r>
    </w:p>
    <w:p w14:paraId="5BE91F85" w14:textId="77777777" w:rsidR="000963C7" w:rsidRPr="00DF1C17" w:rsidRDefault="009525A1" w:rsidP="00D26F03">
      <w:pPr>
        <w:pStyle w:val="Paragrafoelenco"/>
        <w:numPr>
          <w:ilvl w:val="0"/>
          <w:numId w:val="14"/>
        </w:numPr>
        <w:spacing w:before="60" w:after="60"/>
        <w:ind w:left="284" w:hanging="284"/>
        <w:rPr>
          <w:rFonts w:ascii="Titillium" w:hAnsi="Titillium" w:cs="Calibri"/>
          <w:sz w:val="18"/>
          <w:szCs w:val="18"/>
        </w:rPr>
      </w:pPr>
      <w:r w:rsidRPr="00DF1C17">
        <w:rPr>
          <w:rFonts w:ascii="Titillium" w:hAnsi="Titillium" w:cs="Calibri"/>
          <w:sz w:val="18"/>
          <w:szCs w:val="18"/>
        </w:rPr>
        <w:t>DGUE compilato e sottoscritto da ciascuna consorziata esecutrice e da ciascuna consorziata che presta i requisiti;</w:t>
      </w:r>
    </w:p>
    <w:p w14:paraId="50FD0539" w14:textId="77777777" w:rsidR="003516C3" w:rsidRDefault="009525A1" w:rsidP="00D26F03">
      <w:pPr>
        <w:pStyle w:val="Paragrafoelenco"/>
        <w:numPr>
          <w:ilvl w:val="0"/>
          <w:numId w:val="14"/>
        </w:numPr>
        <w:spacing w:before="60" w:after="60"/>
        <w:ind w:left="284" w:hanging="284"/>
        <w:rPr>
          <w:rFonts w:ascii="Titillium" w:hAnsi="Titillium" w:cs="Calibri"/>
          <w:sz w:val="18"/>
          <w:szCs w:val="18"/>
        </w:rPr>
      </w:pPr>
      <w:r w:rsidRPr="00DF1C17">
        <w:rPr>
          <w:rFonts w:ascii="Titillium" w:hAnsi="Titillium" w:cs="Calibri"/>
          <w:sz w:val="18"/>
          <w:szCs w:val="18"/>
        </w:rPr>
        <w:t>dichiarazione resa da ciascuna consorziata esecutrice e da ciascuna consorziata che presta i requisiti, attestante</w:t>
      </w:r>
      <w:r w:rsidR="003516C3">
        <w:rPr>
          <w:rFonts w:ascii="Titillium" w:hAnsi="Titillium" w:cs="Calibri"/>
          <w:sz w:val="18"/>
          <w:szCs w:val="18"/>
        </w:rPr>
        <w:t>:</w:t>
      </w:r>
    </w:p>
    <w:p w14:paraId="1BC40F61" w14:textId="7BB64635" w:rsidR="000963C7" w:rsidRPr="00EA5FDE" w:rsidRDefault="000963C7" w:rsidP="00D26F03">
      <w:pPr>
        <w:pStyle w:val="Paragrafoelenco"/>
        <w:numPr>
          <w:ilvl w:val="1"/>
          <w:numId w:val="46"/>
        </w:numPr>
        <w:spacing w:before="60" w:after="60"/>
        <w:ind w:left="851"/>
        <w:rPr>
          <w:rFonts w:ascii="Titillium" w:hAnsi="Titillium" w:cs="Calibri"/>
          <w:color w:val="000000" w:themeColor="text1"/>
          <w:sz w:val="18"/>
          <w:szCs w:val="18"/>
        </w:rPr>
      </w:pPr>
      <w:r w:rsidRPr="00EA5FDE">
        <w:rPr>
          <w:rFonts w:ascii="Titillium" w:hAnsi="Titillium" w:cs="Calibri"/>
          <w:color w:val="000000" w:themeColor="text1"/>
          <w:sz w:val="18"/>
          <w:szCs w:val="18"/>
        </w:rPr>
        <w:t>di non partecipare a più di un consorzio stabile;</w:t>
      </w:r>
    </w:p>
    <w:p w14:paraId="30D55A06" w14:textId="77777777" w:rsidR="005D69F4" w:rsidRDefault="009525A1" w:rsidP="00D26F03">
      <w:pPr>
        <w:pStyle w:val="Paragrafoelenco"/>
        <w:numPr>
          <w:ilvl w:val="0"/>
          <w:numId w:val="46"/>
        </w:numPr>
        <w:spacing w:before="60" w:after="60"/>
        <w:ind w:left="851"/>
        <w:rPr>
          <w:rFonts w:ascii="Titillium" w:hAnsi="Titillium" w:cs="Calibri"/>
          <w:color w:val="000000" w:themeColor="text1"/>
          <w:sz w:val="18"/>
          <w:szCs w:val="18"/>
        </w:rPr>
      </w:pPr>
      <w:r w:rsidRPr="00EA5FDE">
        <w:rPr>
          <w:rFonts w:ascii="Titillium" w:hAnsi="Titillium" w:cs="Calibri"/>
          <w:color w:val="000000" w:themeColor="text1"/>
          <w:sz w:val="18"/>
          <w:szCs w:val="18"/>
        </w:rPr>
        <w:t xml:space="preserve">di prestare il consenso al trattamento dei dati tramite il FVOE, nel rispetto di quanto previsto dal </w:t>
      </w:r>
      <w:r w:rsidR="00D61BD7" w:rsidRPr="00EA5FDE">
        <w:rPr>
          <w:rFonts w:ascii="Titillium" w:hAnsi="Titillium" w:cs="Calibri"/>
          <w:color w:val="000000" w:themeColor="text1"/>
          <w:sz w:val="18"/>
          <w:szCs w:val="18"/>
        </w:rPr>
        <w:t>Decreto legislativo</w:t>
      </w:r>
      <w:r w:rsidRPr="00EA5FDE">
        <w:rPr>
          <w:rFonts w:ascii="Titillium" w:hAnsi="Titillium" w:cs="Calibri"/>
          <w:color w:val="000000" w:themeColor="text1"/>
          <w:sz w:val="18"/>
          <w:szCs w:val="18"/>
        </w:rPr>
        <w:t xml:space="preserve"> 196 del 30 giugno 2003, ai fini della verifica da parte della stazione appaltante del possesso dei requisiti dichiarati; </w:t>
      </w:r>
    </w:p>
    <w:p w14:paraId="4F9564CE" w14:textId="547F405F" w:rsidR="009525A1" w:rsidRPr="005D69F4" w:rsidRDefault="009525A1" w:rsidP="00D26F03">
      <w:pPr>
        <w:pStyle w:val="Paragrafoelenco"/>
        <w:numPr>
          <w:ilvl w:val="0"/>
          <w:numId w:val="46"/>
        </w:numPr>
        <w:spacing w:before="60" w:after="60"/>
        <w:ind w:left="851"/>
        <w:rPr>
          <w:rFonts w:ascii="Titillium" w:hAnsi="Titillium" w:cs="Calibri"/>
          <w:color w:val="000000" w:themeColor="text1"/>
          <w:sz w:val="18"/>
          <w:szCs w:val="18"/>
        </w:rPr>
      </w:pPr>
      <w:r w:rsidRPr="005D69F4">
        <w:rPr>
          <w:rFonts w:ascii="Titillium" w:hAnsi="Titillium" w:cs="Calibri"/>
          <w:color w:val="000000" w:themeColor="text1"/>
          <w:sz w:val="18"/>
          <w:szCs w:val="18"/>
        </w:rPr>
        <w:t>di non partecipare alla medesima gara contemporaneamente in forme diverse (singola/associata, in più forme associate, in forma singola e quale consorziato esecutore di un consorzio) e come impresa ausiliaria di altro concorrente che sia ricorso all’avvalimento per migliorare la propria offerta;</w:t>
      </w:r>
    </w:p>
    <w:p w14:paraId="31491644" w14:textId="77777777" w:rsidR="009525A1" w:rsidRPr="00F37828" w:rsidRDefault="009525A1" w:rsidP="009525A1">
      <w:pPr>
        <w:spacing w:before="60" w:after="60"/>
        <w:rPr>
          <w:rFonts w:ascii="Titillium" w:hAnsi="Titillium" w:cs="Calibri"/>
          <w:b/>
          <w:bCs/>
          <w:color w:val="000000" w:themeColor="text1"/>
          <w:sz w:val="18"/>
          <w:szCs w:val="18"/>
        </w:rPr>
      </w:pPr>
      <w:r w:rsidRPr="00F37828">
        <w:rPr>
          <w:rFonts w:ascii="Titillium" w:hAnsi="Titillium" w:cs="Calibri"/>
          <w:b/>
          <w:bCs/>
          <w:color w:val="000000" w:themeColor="text1"/>
          <w:sz w:val="18"/>
          <w:szCs w:val="18"/>
        </w:rPr>
        <w:t>(</w:t>
      </w:r>
      <w:r w:rsidRPr="00776DFE">
        <w:rPr>
          <w:rFonts w:ascii="Titillium" w:hAnsi="Titillium" w:cs="Calibri"/>
          <w:b/>
          <w:bCs/>
          <w:i/>
          <w:iCs/>
          <w:color w:val="000000" w:themeColor="text1"/>
          <w:sz w:val="18"/>
          <w:szCs w:val="18"/>
        </w:rPr>
        <w:t>o, in alternativa</w:t>
      </w:r>
      <w:r w:rsidRPr="00F37828">
        <w:rPr>
          <w:rFonts w:ascii="Titillium" w:hAnsi="Titillium" w:cs="Calibri"/>
          <w:b/>
          <w:bCs/>
          <w:color w:val="000000" w:themeColor="text1"/>
          <w:sz w:val="18"/>
          <w:szCs w:val="18"/>
        </w:rPr>
        <w:t xml:space="preserve">) </w:t>
      </w:r>
    </w:p>
    <w:p w14:paraId="5BE809F7" w14:textId="7EA095AD" w:rsidR="009525A1" w:rsidRPr="003420B9" w:rsidRDefault="009525A1" w:rsidP="00D26F03">
      <w:pPr>
        <w:pStyle w:val="Paragrafoelenco"/>
        <w:numPr>
          <w:ilvl w:val="0"/>
          <w:numId w:val="48"/>
        </w:numPr>
        <w:spacing w:before="60" w:after="60"/>
        <w:ind w:left="851"/>
        <w:rPr>
          <w:rFonts w:ascii="Titillium" w:hAnsi="Titillium" w:cs="Calibri"/>
          <w:color w:val="000000" w:themeColor="text1"/>
          <w:sz w:val="18"/>
          <w:szCs w:val="18"/>
        </w:rPr>
      </w:pPr>
      <w:r w:rsidRPr="003420B9">
        <w:rPr>
          <w:rFonts w:ascii="Titillium" w:hAnsi="Titillium" w:cs="Calibri"/>
          <w:color w:val="000000" w:themeColor="text1"/>
          <w:sz w:val="18"/>
          <w:szCs w:val="18"/>
        </w:rPr>
        <w:t xml:space="preserve">di partecipare in più di una forma, ………………… </w:t>
      </w:r>
      <w:r w:rsidR="0057278C">
        <w:rPr>
          <w:rFonts w:ascii="Titillium" w:hAnsi="Titillium" w:cs="Calibri"/>
          <w:color w:val="000000" w:themeColor="text1"/>
          <w:sz w:val="18"/>
          <w:szCs w:val="18"/>
        </w:rPr>
        <w:t>[</w:t>
      </w:r>
      <w:r w:rsidRPr="0057278C">
        <w:rPr>
          <w:rFonts w:ascii="Titillium" w:hAnsi="Titillium" w:cs="Calibri"/>
          <w:i/>
          <w:iCs/>
          <w:color w:val="000000" w:themeColor="text1"/>
          <w:sz w:val="18"/>
          <w:szCs w:val="18"/>
        </w:rPr>
        <w:t>indicare quali</w:t>
      </w:r>
      <w:r w:rsidR="0057278C" w:rsidRPr="0057278C">
        <w:rPr>
          <w:rFonts w:ascii="Titillium" w:hAnsi="Titillium" w:cs="Calibri"/>
          <w:color w:val="000000" w:themeColor="text1"/>
          <w:sz w:val="18"/>
          <w:szCs w:val="18"/>
        </w:rPr>
        <w:t>]</w:t>
      </w:r>
      <w:r w:rsidRPr="003420B9">
        <w:rPr>
          <w:rFonts w:ascii="Titillium" w:hAnsi="Titillium" w:cs="Calibri"/>
          <w:color w:val="000000" w:themeColor="text1"/>
          <w:sz w:val="18"/>
          <w:szCs w:val="18"/>
        </w:rPr>
        <w:t xml:space="preserve"> e inserisce nel FVOE idonea documentazione atta a dimostrare che la circostanza non ha influito sulla gara, né è idonea a incidere sulla capacità di rispettare gli obblighi contrattuali;</w:t>
      </w:r>
    </w:p>
    <w:p w14:paraId="6FD32BB5" w14:textId="77777777" w:rsidR="009525A1" w:rsidRPr="00807787" w:rsidRDefault="009525A1" w:rsidP="009525A1">
      <w:pPr>
        <w:spacing w:before="60" w:after="60"/>
        <w:rPr>
          <w:rFonts w:ascii="Titillium" w:hAnsi="Titillium" w:cs="Calibri"/>
          <w:color w:val="000000" w:themeColor="text1"/>
          <w:sz w:val="18"/>
          <w:szCs w:val="18"/>
        </w:rPr>
      </w:pPr>
      <w:r w:rsidRPr="00807787">
        <w:rPr>
          <w:rFonts w:ascii="Titillium" w:hAnsi="Titillium" w:cs="Calibri"/>
          <w:color w:val="000000" w:themeColor="text1"/>
          <w:sz w:val="18"/>
          <w:szCs w:val="18"/>
        </w:rPr>
        <w:t>(</w:t>
      </w:r>
      <w:r w:rsidRPr="00776DFE">
        <w:rPr>
          <w:rFonts w:ascii="Titillium" w:hAnsi="Titillium" w:cs="Calibri"/>
          <w:b/>
          <w:bCs/>
          <w:i/>
          <w:iCs/>
          <w:color w:val="000000" w:themeColor="text1"/>
          <w:sz w:val="18"/>
          <w:szCs w:val="18"/>
        </w:rPr>
        <w:t>o, in alternativa</w:t>
      </w:r>
      <w:r w:rsidRPr="00F37828">
        <w:rPr>
          <w:rFonts w:ascii="Titillium" w:hAnsi="Titillium" w:cs="Calibri"/>
          <w:b/>
          <w:bCs/>
          <w:color w:val="000000" w:themeColor="text1"/>
          <w:sz w:val="18"/>
          <w:szCs w:val="18"/>
        </w:rPr>
        <w:t>)</w:t>
      </w:r>
      <w:r w:rsidRPr="00807787">
        <w:rPr>
          <w:rFonts w:ascii="Titillium" w:hAnsi="Titillium" w:cs="Calibri"/>
          <w:color w:val="000000" w:themeColor="text1"/>
          <w:sz w:val="18"/>
          <w:szCs w:val="18"/>
        </w:rPr>
        <w:t xml:space="preserve"> </w:t>
      </w:r>
    </w:p>
    <w:p w14:paraId="040CBE98" w14:textId="5B6BC750" w:rsidR="003516C3" w:rsidRPr="003420B9" w:rsidRDefault="009525A1" w:rsidP="00D26F03">
      <w:pPr>
        <w:pStyle w:val="Paragrafoelenco"/>
        <w:numPr>
          <w:ilvl w:val="0"/>
          <w:numId w:val="49"/>
        </w:numPr>
        <w:spacing w:before="60" w:after="60"/>
        <w:ind w:left="851"/>
        <w:rPr>
          <w:rFonts w:ascii="Titillium" w:hAnsi="Titillium" w:cs="Calibri"/>
          <w:color w:val="000000" w:themeColor="text1"/>
          <w:sz w:val="18"/>
          <w:szCs w:val="18"/>
        </w:rPr>
      </w:pPr>
      <w:r w:rsidRPr="003420B9">
        <w:rPr>
          <w:rFonts w:ascii="Titillium" w:hAnsi="Titillium" w:cs="Calibri"/>
          <w:color w:val="000000" w:themeColor="text1"/>
          <w:sz w:val="18"/>
          <w:szCs w:val="18"/>
        </w:rPr>
        <w:t xml:space="preserve">di avere prestato risorse, in qualità di impresa ausiliaria, al concorrente …. </w:t>
      </w:r>
      <w:r w:rsidR="0057278C">
        <w:rPr>
          <w:rFonts w:ascii="Titillium" w:hAnsi="Titillium" w:cs="Calibri"/>
          <w:color w:val="000000" w:themeColor="text1"/>
          <w:sz w:val="18"/>
          <w:szCs w:val="18"/>
        </w:rPr>
        <w:t>[</w:t>
      </w:r>
      <w:r w:rsidRPr="0057278C">
        <w:rPr>
          <w:rFonts w:ascii="Titillium" w:hAnsi="Titillium" w:cs="Calibri"/>
          <w:i/>
          <w:iCs/>
          <w:color w:val="000000" w:themeColor="text1"/>
          <w:sz w:val="18"/>
          <w:szCs w:val="18"/>
        </w:rPr>
        <w:t>indicare il nominativo</w:t>
      </w:r>
      <w:r w:rsidR="0057278C" w:rsidRPr="0057278C">
        <w:rPr>
          <w:rFonts w:ascii="Titillium" w:hAnsi="Titillium" w:cs="Calibri"/>
          <w:color w:val="000000" w:themeColor="text1"/>
          <w:sz w:val="18"/>
          <w:szCs w:val="18"/>
        </w:rPr>
        <w:t>]</w:t>
      </w:r>
      <w:r w:rsidRPr="003420B9">
        <w:rPr>
          <w:rFonts w:ascii="Titillium" w:hAnsi="Titillium" w:cs="Calibri"/>
          <w:color w:val="000000" w:themeColor="text1"/>
          <w:sz w:val="18"/>
          <w:szCs w:val="18"/>
        </w:rPr>
        <w:t>, che se ne è avvalso ai fini del miglioramento dell’offerta, e inserisce nel FVOE idonea documentazione atta a dimostrare che non sussistono collegamenti tali da ricondurre entrambe le imprese allo stesso centro decisionale.</w:t>
      </w:r>
    </w:p>
    <w:p w14:paraId="59A9CA1F" w14:textId="02A9927A" w:rsidR="00CC60B2" w:rsidRPr="003D72EA" w:rsidRDefault="00CC60B2" w:rsidP="001B637D">
      <w:pPr>
        <w:spacing w:before="60" w:after="60"/>
        <w:ind w:left="360"/>
        <w:rPr>
          <w:rFonts w:ascii="Titillium" w:hAnsi="Titillium" w:cs="Calibri"/>
          <w:strike/>
          <w:sz w:val="18"/>
          <w:szCs w:val="18"/>
        </w:rPr>
      </w:pPr>
    </w:p>
    <w:p w14:paraId="3E85429F" w14:textId="7DFB5F9B" w:rsidR="00A2321E" w:rsidRPr="007E1E23" w:rsidRDefault="008F2C6C" w:rsidP="00A2321E">
      <w:pPr>
        <w:spacing w:before="60" w:after="60"/>
        <w:rPr>
          <w:rFonts w:ascii="Titillium" w:hAnsi="Titillium" w:cs="Calibri"/>
          <w:color w:val="000000" w:themeColor="text1"/>
          <w:sz w:val="18"/>
          <w:szCs w:val="18"/>
        </w:rPr>
      </w:pPr>
      <w:r w:rsidRPr="00DB7F17">
        <w:rPr>
          <w:rFonts w:ascii="Titillium" w:hAnsi="Titillium" w:cs="Calibri"/>
          <w:b/>
          <w:bCs/>
          <w:color w:val="000000" w:themeColor="text1"/>
          <w:sz w:val="18"/>
          <w:szCs w:val="18"/>
        </w:rPr>
        <w:t>[</w:t>
      </w:r>
      <w:r w:rsidR="00A2321E" w:rsidRPr="00776DFE">
        <w:rPr>
          <w:rFonts w:ascii="Titillium" w:hAnsi="Titillium" w:cs="Calibri"/>
          <w:b/>
          <w:bCs/>
          <w:i/>
          <w:iCs/>
          <w:color w:val="000000" w:themeColor="text1"/>
          <w:sz w:val="18"/>
          <w:szCs w:val="18"/>
        </w:rPr>
        <w:t xml:space="preserve">Eventuale in caso di </w:t>
      </w:r>
      <w:r w:rsidR="00EA5FDE" w:rsidRPr="00776DFE">
        <w:rPr>
          <w:rFonts w:ascii="Titillium" w:hAnsi="Titillium" w:cs="Calibri"/>
          <w:b/>
          <w:bCs/>
          <w:i/>
          <w:iCs/>
          <w:color w:val="000000" w:themeColor="text1"/>
          <w:sz w:val="18"/>
          <w:szCs w:val="18"/>
        </w:rPr>
        <w:t>adozione di</w:t>
      </w:r>
      <w:r w:rsidR="00A2321E" w:rsidRPr="00776DFE">
        <w:rPr>
          <w:rFonts w:ascii="Titillium" w:hAnsi="Titillium" w:cs="Calibri"/>
          <w:b/>
          <w:bCs/>
          <w:i/>
          <w:iCs/>
          <w:color w:val="000000" w:themeColor="text1"/>
          <w:sz w:val="18"/>
          <w:szCs w:val="18"/>
        </w:rPr>
        <w:t xml:space="preserve"> misure di self-cleaning</w:t>
      </w:r>
      <w:r w:rsidR="00EA5FDE" w:rsidRPr="00DB7F17">
        <w:rPr>
          <w:rFonts w:ascii="Titillium" w:hAnsi="Titillium" w:cs="Calibri"/>
          <w:b/>
          <w:bCs/>
          <w:color w:val="000000" w:themeColor="text1"/>
          <w:sz w:val="18"/>
          <w:szCs w:val="18"/>
        </w:rPr>
        <w:t>]</w:t>
      </w:r>
      <w:r w:rsidR="00A2321E" w:rsidRPr="00DB7F17">
        <w:rPr>
          <w:rFonts w:ascii="Titillium" w:hAnsi="Titillium" w:cs="Calibri"/>
          <w:color w:val="000000" w:themeColor="text1"/>
          <w:sz w:val="18"/>
          <w:szCs w:val="18"/>
        </w:rPr>
        <w:t>:</w:t>
      </w:r>
    </w:p>
    <w:p w14:paraId="1959ABB9" w14:textId="2EE116EC" w:rsidR="00A2321E" w:rsidRPr="00BD76BA" w:rsidRDefault="008F2C6C" w:rsidP="00D26F03">
      <w:pPr>
        <w:pStyle w:val="Paragrafoelenco"/>
        <w:numPr>
          <w:ilvl w:val="0"/>
          <w:numId w:val="49"/>
        </w:numPr>
        <w:spacing w:before="60" w:after="60"/>
        <w:ind w:left="851"/>
        <w:rPr>
          <w:rFonts w:ascii="Titillium" w:hAnsi="Titillium" w:cs="Calibri"/>
          <w:color w:val="000000" w:themeColor="text1"/>
          <w:sz w:val="18"/>
          <w:szCs w:val="18"/>
        </w:rPr>
      </w:pPr>
      <w:r w:rsidRPr="00BD76BA">
        <w:rPr>
          <w:rFonts w:ascii="Titillium" w:hAnsi="Titillium" w:cs="Calibri"/>
          <w:color w:val="000000" w:themeColor="text1"/>
          <w:sz w:val="18"/>
          <w:szCs w:val="18"/>
        </w:rPr>
        <w:t>di</w:t>
      </w:r>
      <w:r w:rsidR="00A2321E" w:rsidRPr="00BD76BA">
        <w:rPr>
          <w:rFonts w:ascii="Titillium" w:hAnsi="Titillium" w:cs="Calibri"/>
          <w:color w:val="000000" w:themeColor="text1"/>
          <w:sz w:val="18"/>
          <w:szCs w:val="18"/>
        </w:rPr>
        <w:t xml:space="preserve"> avere inserito nel FVOE la relazione che illustra le misure di self cleaning adottate in relazione alle cause di esclusione verificate prima della presentazione della domanda e di aver indicato nel DGUE, il riferimento al documento caricato nel FVOE;</w:t>
      </w:r>
    </w:p>
    <w:p w14:paraId="201DA982" w14:textId="77777777" w:rsidR="00A2321E" w:rsidRPr="00AD512E" w:rsidRDefault="00A2321E" w:rsidP="00A2321E">
      <w:pPr>
        <w:spacing w:before="60" w:after="60"/>
        <w:rPr>
          <w:rFonts w:ascii="Titillium" w:hAnsi="Titillium" w:cs="Calibri"/>
          <w:color w:val="000000" w:themeColor="text1"/>
          <w:sz w:val="18"/>
          <w:szCs w:val="18"/>
        </w:rPr>
      </w:pPr>
      <w:r w:rsidRPr="005D69F4">
        <w:rPr>
          <w:rFonts w:ascii="Titillium" w:hAnsi="Titillium" w:cs="Calibri"/>
          <w:color w:val="000000" w:themeColor="text1"/>
          <w:sz w:val="18"/>
          <w:szCs w:val="18"/>
        </w:rPr>
        <w:t>(</w:t>
      </w:r>
      <w:r w:rsidRPr="005D69F4">
        <w:rPr>
          <w:rFonts w:ascii="Titillium" w:hAnsi="Titillium" w:cs="Calibri"/>
          <w:b/>
          <w:bCs/>
          <w:i/>
          <w:iCs/>
          <w:color w:val="000000" w:themeColor="text1"/>
          <w:sz w:val="18"/>
          <w:szCs w:val="18"/>
        </w:rPr>
        <w:t>o, in alternativa)</w:t>
      </w:r>
      <w:r w:rsidRPr="00AD512E">
        <w:rPr>
          <w:rFonts w:ascii="Titillium" w:hAnsi="Titillium" w:cs="Calibri"/>
          <w:color w:val="000000" w:themeColor="text1"/>
          <w:sz w:val="18"/>
          <w:szCs w:val="18"/>
        </w:rPr>
        <w:t xml:space="preserve"> </w:t>
      </w:r>
    </w:p>
    <w:p w14:paraId="2CFC96C7" w14:textId="1B46C737" w:rsidR="00A2321E" w:rsidRPr="00BD76BA" w:rsidRDefault="00A2321E" w:rsidP="00D26F03">
      <w:pPr>
        <w:pStyle w:val="Paragrafoelenco"/>
        <w:numPr>
          <w:ilvl w:val="0"/>
          <w:numId w:val="50"/>
        </w:numPr>
        <w:spacing w:before="60" w:after="60"/>
        <w:ind w:left="851"/>
        <w:rPr>
          <w:rFonts w:ascii="Titillium" w:hAnsi="Titillium" w:cs="Calibri"/>
          <w:color w:val="000000" w:themeColor="text1"/>
          <w:sz w:val="18"/>
          <w:szCs w:val="18"/>
        </w:rPr>
      </w:pPr>
      <w:r w:rsidRPr="00BD76BA">
        <w:rPr>
          <w:rFonts w:ascii="Titillium" w:hAnsi="Titillium" w:cs="Calibri"/>
          <w:color w:val="000000" w:themeColor="text1"/>
          <w:sz w:val="18"/>
          <w:szCs w:val="18"/>
        </w:rPr>
        <w:t>di essere stato impossibilitato ad adottare misure di self cleaning per i seguenti motivi ……………………………. [</w:t>
      </w:r>
      <w:r w:rsidRPr="00776DFE">
        <w:rPr>
          <w:rFonts w:ascii="Titillium" w:hAnsi="Titillium" w:cs="Calibri"/>
          <w:i/>
          <w:iCs/>
          <w:color w:val="000000" w:themeColor="text1"/>
          <w:sz w:val="18"/>
          <w:szCs w:val="18"/>
        </w:rPr>
        <w:t>indicare le motivazioni</w:t>
      </w:r>
      <w:r w:rsidRPr="00BD76BA">
        <w:rPr>
          <w:rFonts w:ascii="Titillium" w:hAnsi="Titillium" w:cs="Calibri"/>
          <w:color w:val="000000" w:themeColor="text1"/>
          <w:sz w:val="18"/>
          <w:szCs w:val="18"/>
        </w:rPr>
        <w:t>] e si impegna ad adottare misure idonee e a comunicare le stesse tempestivamente e comunque prima dell’aggiudicazione;</w:t>
      </w:r>
    </w:p>
    <w:p w14:paraId="71310CC2" w14:textId="50E35157" w:rsidR="00A2321E" w:rsidRPr="007E1E23" w:rsidRDefault="00A2321E" w:rsidP="00A2321E">
      <w:pPr>
        <w:spacing w:before="60" w:after="60"/>
        <w:rPr>
          <w:rFonts w:ascii="Titillium" w:hAnsi="Titillium" w:cs="Calibri"/>
          <w:b/>
          <w:bCs/>
          <w:sz w:val="18"/>
          <w:szCs w:val="18"/>
        </w:rPr>
      </w:pPr>
      <w:r w:rsidRPr="007E1E23">
        <w:rPr>
          <w:rFonts w:ascii="Titillium" w:hAnsi="Titillium" w:cs="Calibri"/>
          <w:color w:val="000000" w:themeColor="text1"/>
          <w:sz w:val="18"/>
          <w:szCs w:val="18"/>
        </w:rPr>
        <w:t>[</w:t>
      </w:r>
      <w:r w:rsidRPr="00776DFE">
        <w:rPr>
          <w:rFonts w:ascii="Titillium" w:hAnsi="Titillium" w:cs="Calibri"/>
          <w:b/>
          <w:bCs/>
          <w:i/>
          <w:iCs/>
          <w:color w:val="000000" w:themeColor="text1"/>
          <w:sz w:val="18"/>
          <w:szCs w:val="18"/>
        </w:rPr>
        <w:t xml:space="preserve">Eventuale, in caso di sottoposizione a </w:t>
      </w:r>
      <w:r w:rsidR="00652625" w:rsidRPr="00776DFE">
        <w:rPr>
          <w:rFonts w:ascii="Titillium" w:hAnsi="Titillium" w:cs="Calibri"/>
          <w:b/>
          <w:bCs/>
          <w:i/>
          <w:iCs/>
          <w:color w:val="000000" w:themeColor="text1"/>
          <w:sz w:val="18"/>
          <w:szCs w:val="18"/>
        </w:rPr>
        <w:t>concordato preventivo</w:t>
      </w:r>
      <w:r w:rsidRPr="00776DFE">
        <w:rPr>
          <w:rFonts w:ascii="Titillium" w:hAnsi="Titillium" w:cs="Calibri"/>
          <w:b/>
          <w:bCs/>
          <w:i/>
          <w:iCs/>
          <w:color w:val="000000" w:themeColor="text1"/>
          <w:sz w:val="18"/>
          <w:szCs w:val="18"/>
        </w:rPr>
        <w:t xml:space="preserve"> con continuità aziendale</w:t>
      </w:r>
      <w:r w:rsidRPr="007E1E23">
        <w:rPr>
          <w:rFonts w:ascii="Titillium" w:hAnsi="Titillium" w:cs="Calibri"/>
          <w:color w:val="000000" w:themeColor="text1"/>
          <w:sz w:val="18"/>
          <w:szCs w:val="18"/>
        </w:rPr>
        <w:t>]</w:t>
      </w:r>
    </w:p>
    <w:p w14:paraId="01C35EB9" w14:textId="310F7A71" w:rsidR="00A2321E" w:rsidRPr="00BD76BA" w:rsidRDefault="008448D9" w:rsidP="00D26F03">
      <w:pPr>
        <w:pStyle w:val="Paragrafoelenco"/>
        <w:numPr>
          <w:ilvl w:val="0"/>
          <w:numId w:val="50"/>
        </w:numPr>
        <w:spacing w:before="60" w:after="60"/>
        <w:ind w:left="851"/>
        <w:rPr>
          <w:rFonts w:ascii="Titillium" w:hAnsi="Titillium" w:cs="Calibri"/>
          <w:color w:val="000000" w:themeColor="text1"/>
          <w:sz w:val="18"/>
          <w:szCs w:val="18"/>
        </w:rPr>
      </w:pPr>
      <w:r w:rsidRPr="00BD76BA">
        <w:rPr>
          <w:rFonts w:ascii="Titillium" w:hAnsi="Titillium" w:cs="Calibri"/>
          <w:color w:val="000000" w:themeColor="text1"/>
          <w:sz w:val="18"/>
          <w:szCs w:val="18"/>
        </w:rPr>
        <w:t>c</w:t>
      </w:r>
      <w:r w:rsidR="00A2321E" w:rsidRPr="00BD76BA">
        <w:rPr>
          <w:rFonts w:ascii="Titillium" w:hAnsi="Titillium" w:cs="Calibri"/>
          <w:color w:val="000000" w:themeColor="text1"/>
          <w:sz w:val="18"/>
          <w:szCs w:val="18"/>
        </w:rPr>
        <w:t>he il provvedimento di ammissione al concordato è stato emesso il ……………. da …………………</w:t>
      </w:r>
    </w:p>
    <w:p w14:paraId="3F159694" w14:textId="6ED9D403" w:rsidR="00A2321E" w:rsidRPr="00BD76BA" w:rsidRDefault="00A2321E" w:rsidP="00D26F03">
      <w:pPr>
        <w:pStyle w:val="Paragrafoelenco"/>
        <w:numPr>
          <w:ilvl w:val="0"/>
          <w:numId w:val="50"/>
        </w:numPr>
        <w:spacing w:before="60" w:after="60"/>
        <w:ind w:left="851"/>
        <w:rPr>
          <w:rFonts w:ascii="Titillium" w:hAnsi="Titillium" w:cs="Calibri"/>
          <w:color w:val="000000" w:themeColor="text1"/>
          <w:sz w:val="18"/>
          <w:szCs w:val="18"/>
        </w:rPr>
      </w:pPr>
      <w:r w:rsidRPr="00BD76BA">
        <w:rPr>
          <w:rFonts w:ascii="Titillium" w:hAnsi="Titillium" w:cs="Calibri"/>
          <w:color w:val="000000" w:themeColor="text1"/>
          <w:sz w:val="18"/>
          <w:szCs w:val="18"/>
        </w:rPr>
        <w:t>che il provvedimento di autorizzazione a partecipare alle gare è stato emesso il ……………. da …….;</w:t>
      </w:r>
    </w:p>
    <w:p w14:paraId="3A3E8E86" w14:textId="5F0E31D9" w:rsidR="00A2321E" w:rsidRPr="00AD512E" w:rsidRDefault="00A2321E" w:rsidP="00A2321E">
      <w:pPr>
        <w:spacing w:before="60" w:after="60"/>
        <w:rPr>
          <w:rFonts w:ascii="Titillium" w:hAnsi="Titillium" w:cs="Calibri"/>
          <w:b/>
          <w:bCs/>
          <w:sz w:val="18"/>
          <w:szCs w:val="18"/>
        </w:rPr>
      </w:pPr>
      <w:r w:rsidRPr="00AD512E">
        <w:rPr>
          <w:rFonts w:ascii="Titillium" w:hAnsi="Titillium" w:cs="Calibri"/>
          <w:b/>
          <w:bCs/>
          <w:color w:val="000000" w:themeColor="text1"/>
          <w:sz w:val="18"/>
          <w:szCs w:val="18"/>
        </w:rPr>
        <w:t>[</w:t>
      </w:r>
      <w:r w:rsidRPr="00776DFE">
        <w:rPr>
          <w:rFonts w:ascii="Titillium" w:hAnsi="Titillium" w:cs="Calibri"/>
          <w:b/>
          <w:bCs/>
          <w:i/>
          <w:iCs/>
          <w:color w:val="000000" w:themeColor="text1"/>
          <w:sz w:val="18"/>
          <w:szCs w:val="18"/>
        </w:rPr>
        <w:t>Eventuale, in caso di 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r w:rsidRPr="00AD512E">
        <w:rPr>
          <w:rFonts w:ascii="Titillium" w:hAnsi="Titillium" w:cs="Calibri"/>
          <w:b/>
          <w:bCs/>
          <w:color w:val="000000" w:themeColor="text1"/>
          <w:sz w:val="18"/>
          <w:szCs w:val="18"/>
        </w:rPr>
        <w:t>]:</w:t>
      </w:r>
    </w:p>
    <w:p w14:paraId="7D062407" w14:textId="0E2791CE" w:rsidR="00A2321E" w:rsidRPr="00BD76BA" w:rsidRDefault="00A2321E" w:rsidP="00D26F03">
      <w:pPr>
        <w:pStyle w:val="Paragrafoelenco"/>
        <w:numPr>
          <w:ilvl w:val="0"/>
          <w:numId w:val="50"/>
        </w:numPr>
        <w:spacing w:before="60" w:after="60"/>
        <w:ind w:left="851"/>
        <w:rPr>
          <w:rFonts w:ascii="Titillium" w:hAnsi="Titillium" w:cs="Calibri"/>
          <w:color w:val="000000" w:themeColor="text1"/>
          <w:sz w:val="18"/>
          <w:szCs w:val="18"/>
        </w:rPr>
      </w:pPr>
      <w:r w:rsidRPr="00BD76BA">
        <w:rPr>
          <w:rFonts w:ascii="Titillium" w:hAnsi="Titillium" w:cs="Calibri"/>
          <w:color w:val="000000" w:themeColor="text1"/>
          <w:sz w:val="18"/>
          <w:szCs w:val="18"/>
        </w:rPr>
        <w:t xml:space="preserve">che è stato emesso il provvedimento …. </w:t>
      </w:r>
      <w:r w:rsidR="0057278C" w:rsidRPr="0057278C">
        <w:rPr>
          <w:rFonts w:ascii="Titillium" w:hAnsi="Titillium" w:cs="Calibri"/>
          <w:color w:val="000000" w:themeColor="text1"/>
          <w:sz w:val="18"/>
          <w:szCs w:val="18"/>
        </w:rPr>
        <w:t>[</w:t>
      </w:r>
      <w:r w:rsidRPr="0057278C">
        <w:rPr>
          <w:rFonts w:ascii="Titillium" w:hAnsi="Titillium" w:cs="Calibri"/>
          <w:i/>
          <w:iCs/>
          <w:color w:val="000000" w:themeColor="text1"/>
          <w:sz w:val="18"/>
          <w:szCs w:val="18"/>
        </w:rPr>
        <w:t>indicare il tipo di provvedimento: sottoposizione a sequestro o confisca ai sensi dell'articolo 240-bis del codice penale o degli articoli 20 e 24 del decreto legislativo 6 settembre 2011, n. 159, e affidamento a custode o amministratore giudiziario o finanziario</w:t>
      </w:r>
      <w:r w:rsidR="0057278C" w:rsidRPr="0057278C">
        <w:rPr>
          <w:rFonts w:ascii="Titillium" w:hAnsi="Titillium" w:cs="Calibri"/>
          <w:color w:val="000000" w:themeColor="text1"/>
          <w:sz w:val="18"/>
          <w:szCs w:val="18"/>
        </w:rPr>
        <w:t>]</w:t>
      </w:r>
      <w:r w:rsidRPr="00BD76BA">
        <w:rPr>
          <w:rFonts w:ascii="Titillium" w:hAnsi="Titillium" w:cs="Calibri"/>
          <w:color w:val="000000" w:themeColor="text1"/>
          <w:sz w:val="18"/>
          <w:szCs w:val="18"/>
        </w:rPr>
        <w:t xml:space="preserve"> in data … da parte di ….</w:t>
      </w:r>
    </w:p>
    <w:p w14:paraId="4790893E" w14:textId="69463BB7" w:rsidR="006842EE" w:rsidRPr="008F2C6C" w:rsidRDefault="008F2625" w:rsidP="00D26F03">
      <w:pPr>
        <w:pStyle w:val="Titolo2"/>
        <w:numPr>
          <w:ilvl w:val="0"/>
          <w:numId w:val="55"/>
        </w:numPr>
        <w:ind w:left="357" w:hanging="357"/>
        <w:rPr>
          <w:rFonts w:ascii="Titillium" w:hAnsi="Titillium"/>
          <w:caps w:val="0"/>
          <w:sz w:val="18"/>
          <w:szCs w:val="18"/>
        </w:rPr>
      </w:pPr>
      <w:bookmarkStart w:id="1748" w:name="_Toc227921645"/>
      <w:r w:rsidRPr="008F2C6C">
        <w:rPr>
          <w:rFonts w:ascii="Titillium" w:hAnsi="Titillium"/>
          <w:caps w:val="0"/>
          <w:sz w:val="18"/>
          <w:szCs w:val="18"/>
        </w:rPr>
        <w:t>OFFERTA TECNICA</w:t>
      </w:r>
      <w:bookmarkEnd w:id="1748"/>
    </w:p>
    <w:p w14:paraId="0EEDF43B" w14:textId="5FB5CA78" w:rsidR="006842EE" w:rsidRDefault="008F2625">
      <w:pPr>
        <w:spacing w:before="60" w:after="60"/>
      </w:pPr>
      <w:bookmarkStart w:id="1749" w:name="_Toc406058382"/>
      <w:bookmarkStart w:id="1750" w:name="_Toc407013507"/>
      <w:bookmarkStart w:id="1751" w:name="_Toc406754183"/>
      <w:bookmarkEnd w:id="1749"/>
      <w:bookmarkEnd w:id="1750"/>
      <w:bookmarkEnd w:id="1751"/>
      <w:r>
        <w:rPr>
          <w:rFonts w:ascii="Titillium" w:hAnsi="Titillium" w:cs="Calibri"/>
          <w:sz w:val="18"/>
          <w:szCs w:val="18"/>
        </w:rPr>
        <w:t xml:space="preserve">L’operatore economico inserisce </w:t>
      </w:r>
      <w:r>
        <w:rPr>
          <w:rFonts w:ascii="Titillium" w:hAnsi="Titillium" w:cs="Calibri"/>
          <w:i/>
          <w:iCs/>
          <w:sz w:val="18"/>
          <w:szCs w:val="18"/>
        </w:rPr>
        <w:t>[in caso di gara a lotti inserire</w:t>
      </w:r>
      <w:r w:rsidR="00652625">
        <w:rPr>
          <w:rFonts w:ascii="Titillium" w:hAnsi="Titillium" w:cs="Calibri"/>
          <w:i/>
          <w:iCs/>
          <w:sz w:val="18"/>
          <w:szCs w:val="18"/>
        </w:rPr>
        <w:t>,</w:t>
      </w:r>
      <w:r>
        <w:rPr>
          <w:rFonts w:ascii="Titillium" w:hAnsi="Titillium" w:cs="Calibri"/>
          <w:sz w:val="18"/>
          <w:szCs w:val="18"/>
        </w:rPr>
        <w:t xml:space="preserve"> “per ogni singolo lotto”</w:t>
      </w:r>
      <w:r w:rsidRPr="00D914DB">
        <w:rPr>
          <w:rFonts w:ascii="Titillium" w:hAnsi="Titillium" w:cs="Calibri"/>
          <w:i/>
          <w:iCs/>
          <w:sz w:val="18"/>
          <w:szCs w:val="18"/>
        </w:rPr>
        <w:t>]</w:t>
      </w:r>
      <w:r>
        <w:rPr>
          <w:rFonts w:ascii="Titillium" w:hAnsi="Titillium" w:cs="Calibri"/>
          <w:sz w:val="18"/>
          <w:szCs w:val="18"/>
        </w:rPr>
        <w:t xml:space="preserve"> la documentazione relativa all’offerta tecnica nella Piattaforma secondo le seguenti modalità … </w:t>
      </w:r>
      <w:r>
        <w:rPr>
          <w:rFonts w:ascii="Titillium" w:hAnsi="Titillium" w:cs="Calibri"/>
          <w:i/>
          <w:sz w:val="18"/>
          <w:szCs w:val="18"/>
        </w:rPr>
        <w:t xml:space="preserve">[indicare le modalità], </w:t>
      </w:r>
      <w:r>
        <w:rPr>
          <w:rFonts w:ascii="Titillium" w:hAnsi="Titillium" w:cs="Calibri"/>
          <w:iCs/>
          <w:sz w:val="18"/>
          <w:szCs w:val="18"/>
        </w:rPr>
        <w:t>a pena di inammissibilità dell’offerta. L’offerta è fi</w:t>
      </w:r>
      <w:r>
        <w:rPr>
          <w:rFonts w:ascii="Titillium" w:hAnsi="Titillium" w:cs="Calibri"/>
          <w:sz w:val="18"/>
          <w:szCs w:val="18"/>
        </w:rPr>
        <w:t>rmata secondo le modalità previste al precedente p</w:t>
      </w:r>
      <w:r w:rsidR="00BE42D5">
        <w:rPr>
          <w:rFonts w:ascii="Titillium" w:hAnsi="Titillium" w:cs="Calibri"/>
          <w:sz w:val="18"/>
          <w:szCs w:val="18"/>
        </w:rPr>
        <w:t xml:space="preserve">aragrafo </w:t>
      </w:r>
      <w:r w:rsidR="00BE42D5" w:rsidRPr="00723C6C">
        <w:rPr>
          <w:rFonts w:ascii="Titillium" w:hAnsi="Titillium" w:cs="Calibri"/>
          <w:sz w:val="18"/>
          <w:szCs w:val="18"/>
        </w:rPr>
        <w:t>13</w:t>
      </w:r>
      <w:r w:rsidRPr="00BE42D5">
        <w:rPr>
          <w:rFonts w:ascii="Titillium" w:hAnsi="Titillium" w:cs="Calibri"/>
          <w:sz w:val="18"/>
          <w:szCs w:val="18"/>
        </w:rPr>
        <w:t xml:space="preserve"> </w:t>
      </w:r>
      <w:r>
        <w:rPr>
          <w:rFonts w:ascii="Titillium" w:hAnsi="Titillium" w:cs="Calibri"/>
          <w:sz w:val="18"/>
          <w:szCs w:val="18"/>
        </w:rPr>
        <w:t>e deve contenere</w:t>
      </w:r>
      <w:r w:rsidR="001B637D">
        <w:rPr>
          <w:rFonts w:ascii="Titillium" w:hAnsi="Titillium" w:cs="Calibri"/>
          <w:sz w:val="18"/>
          <w:szCs w:val="18"/>
        </w:rPr>
        <w:t xml:space="preserve"> </w:t>
      </w:r>
      <w:r>
        <w:rPr>
          <w:rFonts w:ascii="Titillium" w:hAnsi="Titillium" w:cs="Calibri"/>
          <w:sz w:val="18"/>
          <w:szCs w:val="18"/>
        </w:rPr>
        <w:t>i seguenti documenti:</w:t>
      </w:r>
    </w:p>
    <w:p w14:paraId="59BF33B4" w14:textId="77777777" w:rsidR="006842EE" w:rsidRPr="008F1C5C" w:rsidRDefault="008F2625" w:rsidP="00D26F03">
      <w:pPr>
        <w:pStyle w:val="Paragrafoelenco"/>
        <w:numPr>
          <w:ilvl w:val="0"/>
          <w:numId w:val="15"/>
        </w:numPr>
        <w:spacing w:before="60" w:after="60"/>
        <w:ind w:left="709"/>
      </w:pPr>
      <w:r>
        <w:rPr>
          <w:rFonts w:ascii="Titillium" w:hAnsi="Titillium" w:cs="Calibri"/>
          <w:sz w:val="18"/>
          <w:szCs w:val="18"/>
        </w:rPr>
        <w:t>relazione tecnica dei servizi offerti;</w:t>
      </w:r>
    </w:p>
    <w:p w14:paraId="3FEAD2C0" w14:textId="39930BBF" w:rsidR="008F1C5C" w:rsidRPr="000B0E59" w:rsidRDefault="008F1C5C" w:rsidP="00D26F03">
      <w:pPr>
        <w:pStyle w:val="Paragrafoelenco"/>
        <w:numPr>
          <w:ilvl w:val="0"/>
          <w:numId w:val="15"/>
        </w:numPr>
        <w:spacing w:before="60" w:after="60"/>
        <w:ind w:left="709"/>
      </w:pPr>
      <w:r w:rsidRPr="000B0E59">
        <w:t>[</w:t>
      </w:r>
      <w:r w:rsidRPr="00776DFE">
        <w:rPr>
          <w:rFonts w:ascii="Titillium" w:hAnsi="Titillium"/>
          <w:b/>
          <w:bCs/>
          <w:i/>
          <w:iCs/>
          <w:sz w:val="18"/>
          <w:szCs w:val="18"/>
        </w:rPr>
        <w:t>se richiesto nell’offerta tecnica</w:t>
      </w:r>
      <w:r w:rsidRPr="00776DFE">
        <w:rPr>
          <w:rFonts w:ascii="Titillium" w:hAnsi="Titillium"/>
          <w:sz w:val="18"/>
          <w:szCs w:val="18"/>
        </w:rPr>
        <w:t>]</w:t>
      </w:r>
      <w:r w:rsidRPr="000B0E59">
        <w:rPr>
          <w:rFonts w:ascii="Titillium" w:hAnsi="Titillium"/>
          <w:sz w:val="18"/>
          <w:szCs w:val="18"/>
        </w:rPr>
        <w:t xml:space="preserve"> contratto di avvalimento premiale</w:t>
      </w:r>
      <w:r w:rsidR="00217811" w:rsidRPr="000B0E59">
        <w:rPr>
          <w:rFonts w:ascii="Titillium" w:hAnsi="Titillium"/>
          <w:sz w:val="18"/>
          <w:szCs w:val="18"/>
        </w:rPr>
        <w:t xml:space="preserve">, pena la mancata attribuzione </w:t>
      </w:r>
      <w:r w:rsidR="00652625" w:rsidRPr="000B0E59">
        <w:rPr>
          <w:rFonts w:ascii="Titillium" w:hAnsi="Titillium"/>
          <w:sz w:val="18"/>
          <w:szCs w:val="18"/>
        </w:rPr>
        <w:t>del corrispondente</w:t>
      </w:r>
      <w:r w:rsidR="006C40B6" w:rsidRPr="000B0E59">
        <w:rPr>
          <w:rFonts w:ascii="Titillium" w:hAnsi="Titillium"/>
          <w:sz w:val="18"/>
          <w:szCs w:val="18"/>
        </w:rPr>
        <w:t xml:space="preserve"> </w:t>
      </w:r>
      <w:r w:rsidR="00217811" w:rsidRPr="000B0E59">
        <w:rPr>
          <w:rFonts w:ascii="Titillium" w:hAnsi="Titillium"/>
          <w:sz w:val="18"/>
          <w:szCs w:val="18"/>
        </w:rPr>
        <w:t xml:space="preserve">punteggio </w:t>
      </w:r>
      <w:r w:rsidR="006C40B6" w:rsidRPr="000B0E59">
        <w:rPr>
          <w:rFonts w:ascii="Titillium" w:hAnsi="Titillium"/>
          <w:sz w:val="18"/>
          <w:szCs w:val="18"/>
        </w:rPr>
        <w:t>premiale</w:t>
      </w:r>
      <w:r w:rsidR="00217811" w:rsidRPr="000B0E59">
        <w:rPr>
          <w:rFonts w:ascii="Titillium" w:hAnsi="Titillium"/>
          <w:sz w:val="18"/>
          <w:szCs w:val="18"/>
        </w:rPr>
        <w:t>;</w:t>
      </w:r>
      <w:r w:rsidR="00680564" w:rsidRPr="000B0E59">
        <w:rPr>
          <w:rFonts w:ascii="Titillium" w:hAnsi="Titillium"/>
          <w:sz w:val="18"/>
          <w:szCs w:val="18"/>
        </w:rPr>
        <w:t xml:space="preserve"> </w:t>
      </w:r>
    </w:p>
    <w:p w14:paraId="453DDD22" w14:textId="0AD9C1EC" w:rsidR="00725A58" w:rsidRDefault="00725A58" w:rsidP="00D26F03">
      <w:pPr>
        <w:pStyle w:val="Paragrafoelenco"/>
        <w:numPr>
          <w:ilvl w:val="0"/>
          <w:numId w:val="15"/>
        </w:numPr>
        <w:spacing w:before="60" w:after="60"/>
        <w:ind w:left="709"/>
        <w:rPr>
          <w:rFonts w:ascii="Titillium" w:hAnsi="Titillium"/>
          <w:sz w:val="18"/>
          <w:szCs w:val="18"/>
        </w:rPr>
      </w:pPr>
      <w:r w:rsidRPr="000B0E59">
        <w:rPr>
          <w:rFonts w:ascii="Titillium" w:hAnsi="Titillium"/>
          <w:sz w:val="18"/>
          <w:szCs w:val="18"/>
        </w:rPr>
        <w:t>[</w:t>
      </w:r>
      <w:r w:rsidRPr="00776DFE">
        <w:rPr>
          <w:rFonts w:ascii="Titillium" w:hAnsi="Titillium"/>
          <w:b/>
          <w:bCs/>
          <w:i/>
          <w:iCs/>
          <w:sz w:val="18"/>
          <w:szCs w:val="18"/>
        </w:rPr>
        <w:t>se richiesto l’uso dei metodi e strumenti di gestione informativa digitale delle costruzioni</w:t>
      </w:r>
      <w:r w:rsidRPr="00776DFE">
        <w:rPr>
          <w:rFonts w:ascii="Titillium" w:hAnsi="Titillium"/>
          <w:sz w:val="18"/>
          <w:szCs w:val="18"/>
        </w:rPr>
        <w:t>]</w:t>
      </w:r>
      <w:r w:rsidRPr="00725A58">
        <w:rPr>
          <w:rFonts w:ascii="Titillium" w:hAnsi="Titillium"/>
          <w:sz w:val="18"/>
          <w:szCs w:val="18"/>
        </w:rPr>
        <w:t xml:space="preserve"> </w:t>
      </w:r>
      <w:r w:rsidR="008448D9">
        <w:rPr>
          <w:rFonts w:ascii="Titillium" w:hAnsi="Titillium"/>
          <w:sz w:val="18"/>
          <w:szCs w:val="18"/>
        </w:rPr>
        <w:t>o</w:t>
      </w:r>
      <w:r w:rsidRPr="00725A58">
        <w:rPr>
          <w:rFonts w:ascii="Titillium" w:hAnsi="Titillium"/>
          <w:sz w:val="18"/>
          <w:szCs w:val="18"/>
        </w:rPr>
        <w:t>fferta di gestione informativa digitale</w:t>
      </w:r>
      <w:r w:rsidR="008448D9">
        <w:rPr>
          <w:rFonts w:ascii="Titillium" w:hAnsi="Titillium"/>
          <w:sz w:val="18"/>
          <w:szCs w:val="18"/>
        </w:rPr>
        <w:t>.</w:t>
      </w:r>
    </w:p>
    <w:p w14:paraId="6604A2E1" w14:textId="33D6F0CF" w:rsidR="001F4FDD" w:rsidRDefault="003958B7" w:rsidP="001F4FDD">
      <w:pPr>
        <w:spacing w:before="60" w:after="60"/>
        <w:rPr>
          <w:rFonts w:ascii="Titillium" w:hAnsi="Titillium" w:cs="Calibri"/>
          <w:color w:val="000000" w:themeColor="text1"/>
          <w:sz w:val="18"/>
          <w:szCs w:val="18"/>
        </w:rPr>
      </w:pPr>
      <w:r w:rsidRPr="00725A58">
        <w:rPr>
          <w:rFonts w:ascii="Titillium" w:hAnsi="Titillium" w:cs="Calibri"/>
          <w:color w:val="000000" w:themeColor="text1"/>
          <w:sz w:val="18"/>
          <w:szCs w:val="18"/>
        </w:rPr>
        <w:t>La relazione contiene una proposta tecnico-organizzativa che illustra, con riferimento</w:t>
      </w:r>
      <w:r w:rsidRPr="00AF5019">
        <w:rPr>
          <w:rFonts w:ascii="Titillium" w:hAnsi="Titillium" w:cs="Calibri"/>
          <w:color w:val="000000" w:themeColor="text1"/>
          <w:sz w:val="18"/>
          <w:szCs w:val="18"/>
        </w:rPr>
        <w:t xml:space="preserve"> ai criteri e sub-criteri di valutazione indicati nella tabella di cui al successivo p</w:t>
      </w:r>
      <w:r w:rsidR="00D914DB">
        <w:rPr>
          <w:rFonts w:ascii="Titillium" w:hAnsi="Titillium" w:cs="Calibri"/>
          <w:color w:val="000000" w:themeColor="text1"/>
          <w:sz w:val="18"/>
          <w:szCs w:val="18"/>
        </w:rPr>
        <w:t>aragrafo</w:t>
      </w:r>
      <w:r w:rsidRPr="00AF5019">
        <w:rPr>
          <w:rFonts w:ascii="Titillium" w:hAnsi="Titillium" w:cs="Calibri"/>
          <w:color w:val="000000" w:themeColor="text1"/>
          <w:sz w:val="18"/>
          <w:szCs w:val="18"/>
        </w:rPr>
        <w:t xml:space="preserve"> </w:t>
      </w:r>
      <w:r w:rsidR="001F4FDD">
        <w:rPr>
          <w:rFonts w:ascii="Titillium" w:hAnsi="Titillium" w:cs="Calibri"/>
          <w:color w:val="000000" w:themeColor="text1"/>
          <w:sz w:val="18"/>
          <w:szCs w:val="18"/>
        </w:rPr>
        <w:t>1</w:t>
      </w:r>
      <w:r w:rsidR="00725A58">
        <w:rPr>
          <w:rFonts w:ascii="Titillium" w:hAnsi="Titillium" w:cs="Calibri"/>
          <w:color w:val="000000" w:themeColor="text1"/>
          <w:sz w:val="18"/>
          <w:szCs w:val="18"/>
        </w:rPr>
        <w:t>8</w:t>
      </w:r>
      <w:r w:rsidRPr="00AF5019">
        <w:rPr>
          <w:rFonts w:ascii="Titillium" w:hAnsi="Titillium" w:cs="Calibri"/>
          <w:color w:val="000000" w:themeColor="text1"/>
          <w:sz w:val="18"/>
          <w:szCs w:val="18"/>
        </w:rPr>
        <w:t>.1, i seguenti elementi: … [</w:t>
      </w:r>
      <w:r w:rsidRPr="001F4FDD">
        <w:rPr>
          <w:rFonts w:ascii="Titillium" w:hAnsi="Titillium" w:cs="Calibri"/>
          <w:i/>
          <w:iCs/>
          <w:color w:val="000000" w:themeColor="text1"/>
          <w:sz w:val="18"/>
          <w:szCs w:val="18"/>
        </w:rPr>
        <w:t>specificare, per ogni singolo criterio e sub-</w:t>
      </w:r>
      <w:r w:rsidR="008448D9" w:rsidRPr="001F4FDD">
        <w:rPr>
          <w:rFonts w:ascii="Titillium" w:hAnsi="Titillium" w:cs="Calibri"/>
          <w:i/>
          <w:iCs/>
          <w:color w:val="000000" w:themeColor="text1"/>
          <w:sz w:val="18"/>
          <w:szCs w:val="18"/>
        </w:rPr>
        <w:t>criterio</w:t>
      </w:r>
      <w:r w:rsidRPr="001F4FDD">
        <w:rPr>
          <w:rFonts w:ascii="Titillium" w:hAnsi="Titillium" w:cs="Calibri"/>
          <w:i/>
          <w:iCs/>
          <w:color w:val="000000" w:themeColor="text1"/>
          <w:sz w:val="18"/>
          <w:szCs w:val="18"/>
        </w:rPr>
        <w:t xml:space="preserve"> di valutazione, gli elementi che il concorrente deve descrivere ai fini della valutazione dell’offerta tecnica, se ritenuto opportuno anche mediante rinvio ad apposito allegato contenente l’indice richiesto per la relazione</w:t>
      </w:r>
      <w:r w:rsidRPr="00AF5019">
        <w:rPr>
          <w:rFonts w:ascii="Titillium" w:hAnsi="Titillium" w:cs="Calibri"/>
          <w:color w:val="000000" w:themeColor="text1"/>
          <w:sz w:val="18"/>
          <w:szCs w:val="18"/>
        </w:rPr>
        <w:t>].</w:t>
      </w:r>
    </w:p>
    <w:p w14:paraId="0AAFEA5A" w14:textId="77777777" w:rsidR="007E7A76" w:rsidRPr="000B0E59" w:rsidRDefault="00DF0E27" w:rsidP="001F4FDD">
      <w:pPr>
        <w:spacing w:before="60" w:after="60"/>
        <w:rPr>
          <w:rFonts w:ascii="Titillium" w:hAnsi="Titillium" w:cs="Calibri"/>
          <w:sz w:val="18"/>
          <w:szCs w:val="18"/>
        </w:rPr>
      </w:pPr>
      <w:r w:rsidRPr="000B0E59">
        <w:rPr>
          <w:rFonts w:ascii="Titillium" w:hAnsi="Titillium" w:cs="Calibri"/>
          <w:sz w:val="18"/>
          <w:szCs w:val="18"/>
        </w:rPr>
        <w:t xml:space="preserve">In caso di utilizzo di sistemi di intelligenza artificiale </w:t>
      </w:r>
      <w:r w:rsidR="005320EE" w:rsidRPr="000B0E59">
        <w:rPr>
          <w:rFonts w:ascii="Titillium" w:hAnsi="Titillium" w:cs="Calibri"/>
          <w:sz w:val="18"/>
          <w:szCs w:val="18"/>
        </w:rPr>
        <w:t xml:space="preserve">nella predisposizione della proposta tecnico- organizzativa </w:t>
      </w:r>
      <w:r w:rsidRPr="000B0E59">
        <w:rPr>
          <w:rFonts w:ascii="Titillium" w:hAnsi="Titillium" w:cs="Calibri"/>
          <w:sz w:val="18"/>
          <w:szCs w:val="18"/>
        </w:rPr>
        <w:t>il concorrente è tenuto ad indicare</w:t>
      </w:r>
      <w:r w:rsidR="005320EE" w:rsidRPr="000B0E59">
        <w:rPr>
          <w:rFonts w:ascii="Titillium" w:hAnsi="Titillium" w:cs="Calibri"/>
          <w:sz w:val="18"/>
          <w:szCs w:val="18"/>
        </w:rPr>
        <w:t xml:space="preserve"> </w:t>
      </w:r>
      <w:r w:rsidRPr="000B0E59">
        <w:rPr>
          <w:rFonts w:ascii="Titillium" w:hAnsi="Titillium" w:cs="Calibri"/>
          <w:sz w:val="18"/>
          <w:szCs w:val="18"/>
        </w:rPr>
        <w:t xml:space="preserve">le attività strumentali e di supporto per le quali si è avvalso di detti sistemi. </w:t>
      </w:r>
    </w:p>
    <w:p w14:paraId="3DA08338" w14:textId="072C1BC2" w:rsidR="001F4FDD" w:rsidRDefault="008F2625" w:rsidP="001F4FDD">
      <w:pPr>
        <w:spacing w:before="60" w:after="60"/>
        <w:rPr>
          <w:rFonts w:ascii="Titillium" w:hAnsi="Titillium" w:cs="Calibri"/>
          <w:sz w:val="18"/>
          <w:szCs w:val="18"/>
        </w:rPr>
      </w:pPr>
      <w:r w:rsidRPr="000B0E59">
        <w:rPr>
          <w:rFonts w:ascii="Titillium" w:hAnsi="Titillium" w:cs="Calibri"/>
          <w:sz w:val="18"/>
          <w:szCs w:val="18"/>
        </w:rPr>
        <w:t>Con riferimento alla «</w:t>
      </w:r>
      <w:r w:rsidRPr="000B0E59">
        <w:rPr>
          <w:rFonts w:ascii="Titillium" w:hAnsi="Titillium" w:cs="Calibri"/>
          <w:i/>
          <w:iCs/>
          <w:sz w:val="18"/>
          <w:szCs w:val="18"/>
        </w:rPr>
        <w:t>professionalità e adeguatezza dell’offerta</w:t>
      </w:r>
      <w:r w:rsidRPr="000B0E59">
        <w:rPr>
          <w:rFonts w:ascii="Titillium" w:hAnsi="Titillium" w:cs="Calibri"/>
          <w:sz w:val="18"/>
          <w:szCs w:val="18"/>
        </w:rPr>
        <w:t>» indicata al p</w:t>
      </w:r>
      <w:r w:rsidR="00D914DB">
        <w:rPr>
          <w:rFonts w:ascii="Titillium" w:hAnsi="Titillium" w:cs="Calibri"/>
          <w:sz w:val="18"/>
          <w:szCs w:val="18"/>
        </w:rPr>
        <w:t>aragrafo</w:t>
      </w:r>
      <w:r w:rsidRPr="000B0E59">
        <w:rPr>
          <w:rFonts w:ascii="Titillium" w:hAnsi="Titillium" w:cs="Calibri"/>
          <w:sz w:val="18"/>
          <w:szCs w:val="18"/>
        </w:rPr>
        <w:t xml:space="preserve"> 18.1 lettera A, descrizione di n</w:t>
      </w:r>
      <w:r w:rsidR="00323913" w:rsidRPr="000B0E59">
        <w:rPr>
          <w:rFonts w:ascii="Titillium" w:hAnsi="Titillium" w:cs="Calibri"/>
          <w:sz w:val="18"/>
          <w:szCs w:val="18"/>
        </w:rPr>
        <w:t xml:space="preserve">. … </w:t>
      </w:r>
      <w:r w:rsidR="001F4FDD" w:rsidRPr="000B0E59">
        <w:rPr>
          <w:rFonts w:ascii="Titillium" w:hAnsi="Titillium" w:cs="Calibri"/>
          <w:sz w:val="18"/>
          <w:szCs w:val="18"/>
        </w:rPr>
        <w:t xml:space="preserve">servizi svolti relativi ad interventi ritenuti dal concorrente significativi della propria capacità a realizzare la prestazione sotto il profilo tecnico, scelti tra interventi qualificabili affini a quelli oggetto dell’affidamento </w:t>
      </w:r>
      <w:r w:rsidRPr="000B0E59">
        <w:rPr>
          <w:rFonts w:ascii="Titillium" w:hAnsi="Titillium" w:cs="Calibri"/>
          <w:sz w:val="18"/>
          <w:szCs w:val="18"/>
        </w:rPr>
        <w:t>[</w:t>
      </w:r>
      <w:r w:rsidRPr="000B0E59">
        <w:rPr>
          <w:rFonts w:ascii="Titillium" w:hAnsi="Titillium" w:cs="Calibri"/>
          <w:i/>
          <w:sz w:val="18"/>
          <w:szCs w:val="18"/>
        </w:rPr>
        <w:t>indicare un numero massimo totale, non</w:t>
      </w:r>
      <w:r w:rsidRPr="001F4FDD">
        <w:rPr>
          <w:rFonts w:ascii="Titillium" w:hAnsi="Titillium" w:cs="Calibri"/>
          <w:i/>
          <w:sz w:val="18"/>
          <w:szCs w:val="18"/>
        </w:rPr>
        <w:t xml:space="preserve"> superiore a 3, di servizi affini a quelli oggetto di affidamento complessivamente considerati</w:t>
      </w:r>
      <w:r w:rsidRPr="001F4FDD">
        <w:rPr>
          <w:rFonts w:ascii="Titillium" w:hAnsi="Titillium" w:cs="Calibri"/>
          <w:sz w:val="18"/>
          <w:szCs w:val="18"/>
        </w:rPr>
        <w:t xml:space="preserve">] </w:t>
      </w:r>
    </w:p>
    <w:p w14:paraId="7EBC38B8" w14:textId="553A6E26" w:rsidR="006842EE" w:rsidRDefault="008F2625" w:rsidP="001F4FDD">
      <w:pPr>
        <w:spacing w:before="60" w:after="60"/>
        <w:rPr>
          <w:rFonts w:ascii="Titillium" w:hAnsi="Titillium" w:cs="Calibri"/>
          <w:sz w:val="18"/>
          <w:szCs w:val="18"/>
        </w:rPr>
      </w:pPr>
      <w:r w:rsidRPr="007E1E23">
        <w:rPr>
          <w:rFonts w:ascii="Titillium" w:hAnsi="Titillium" w:cs="Calibri"/>
          <w:b/>
          <w:iCs/>
          <w:sz w:val="18"/>
          <w:szCs w:val="18"/>
        </w:rPr>
        <w:t>[</w:t>
      </w:r>
      <w:r w:rsidRPr="00C75708">
        <w:rPr>
          <w:rFonts w:ascii="Titillium" w:hAnsi="Titillium" w:cs="Calibri"/>
          <w:b/>
          <w:i/>
          <w:sz w:val="18"/>
          <w:szCs w:val="18"/>
        </w:rPr>
        <w:t>Facoltativo</w:t>
      </w:r>
      <w:r w:rsidRPr="00C75708">
        <w:rPr>
          <w:rFonts w:ascii="Titillium" w:hAnsi="Titillium" w:cs="Calibri"/>
          <w:bCs/>
          <w:iCs/>
          <w:sz w:val="18"/>
          <w:szCs w:val="18"/>
        </w:rPr>
        <w:t>]</w:t>
      </w:r>
      <w:r w:rsidRPr="007E1E23">
        <w:rPr>
          <w:rFonts w:ascii="Titillium" w:hAnsi="Titillium" w:cs="Calibri"/>
          <w:b/>
          <w:iCs/>
          <w:sz w:val="18"/>
          <w:szCs w:val="18"/>
        </w:rPr>
        <w:t xml:space="preserve"> </w:t>
      </w:r>
      <w:r w:rsidRPr="007E1E23">
        <w:rPr>
          <w:rFonts w:ascii="Titillium" w:hAnsi="Titillium" w:cs="Calibri"/>
          <w:iCs/>
          <w:sz w:val="18"/>
          <w:szCs w:val="18"/>
        </w:rPr>
        <w:t>I</w:t>
      </w:r>
      <w:r>
        <w:rPr>
          <w:rFonts w:ascii="Titillium" w:hAnsi="Titillium" w:cs="Calibri"/>
          <w:sz w:val="18"/>
          <w:szCs w:val="18"/>
        </w:rPr>
        <w:t xml:space="preserve"> servizi devono evidenziare le seguenti caratteristiche: ................................ [</w:t>
      </w:r>
      <w:r>
        <w:rPr>
          <w:rFonts w:ascii="Titillium" w:hAnsi="Titillium" w:cs="Calibri"/>
          <w:i/>
          <w:sz w:val="18"/>
          <w:szCs w:val="18"/>
        </w:rPr>
        <w:t>specificare, se ritenuto opportuno e/o necessario, gli elementi che il concorrente deve descrivere ai fini della valutazione dell’offerta tecnica, in base alle specifiche esigenze della stazione appaltante</w:t>
      </w:r>
      <w:r>
        <w:rPr>
          <w:rFonts w:ascii="Titillium" w:hAnsi="Titillium" w:cs="Calibri"/>
          <w:sz w:val="18"/>
          <w:szCs w:val="18"/>
        </w:rPr>
        <w:t>].</w:t>
      </w:r>
    </w:p>
    <w:p w14:paraId="15D8F6E3" w14:textId="3A680250" w:rsidR="006842EE" w:rsidRDefault="008F2625" w:rsidP="00323913">
      <w:pPr>
        <w:pStyle w:val="Paragrafoelenco"/>
        <w:spacing w:before="60" w:after="60"/>
        <w:ind w:left="0"/>
        <w:rPr>
          <w:rFonts w:ascii="Titillium" w:hAnsi="Titillium" w:cs="Calibri"/>
          <w:sz w:val="18"/>
          <w:szCs w:val="18"/>
        </w:rPr>
      </w:pPr>
      <w:r>
        <w:rPr>
          <w:rFonts w:ascii="Titillium" w:hAnsi="Titillium" w:cs="Calibri"/>
          <w:sz w:val="18"/>
          <w:szCs w:val="18"/>
        </w:rPr>
        <w:t>Per ciascun servizio deve essere fornita una scheda sintetica numerata …</w:t>
      </w:r>
      <w:r w:rsidR="005274B9">
        <w:rPr>
          <w:rFonts w:ascii="Titillium" w:hAnsi="Titillium" w:cs="Calibri"/>
          <w:sz w:val="18"/>
          <w:szCs w:val="18"/>
        </w:rPr>
        <w:t xml:space="preserve"> </w:t>
      </w:r>
      <w:r>
        <w:rPr>
          <w:rFonts w:ascii="Titillium" w:hAnsi="Titillium" w:cs="Calibri"/>
          <w:sz w:val="18"/>
          <w:szCs w:val="18"/>
        </w:rPr>
        <w:t>[</w:t>
      </w:r>
      <w:r>
        <w:rPr>
          <w:rFonts w:ascii="Titillium" w:hAnsi="Titillium" w:cs="Calibri"/>
          <w:i/>
          <w:sz w:val="18"/>
          <w:szCs w:val="18"/>
        </w:rPr>
        <w:t>la stazione appaltante completa la descrizione dettagliando il formato di pagina/carattere/paragrafo/interlinea/margini ecc. oppure inserisce la frase “secondo il modello allegato al presente disciplinare” laddove fornisca un fac</w:t>
      </w:r>
      <w:r>
        <w:rPr>
          <w:rFonts w:ascii="Cambria Math" w:hAnsi="Cambria Math" w:cs="Cambria Math"/>
          <w:i/>
          <w:sz w:val="18"/>
          <w:szCs w:val="18"/>
        </w:rPr>
        <w:t>‐</w:t>
      </w:r>
      <w:r>
        <w:rPr>
          <w:rFonts w:ascii="Titillium" w:hAnsi="Titillium" w:cs="Calibri"/>
          <w:i/>
          <w:sz w:val="18"/>
          <w:szCs w:val="18"/>
        </w:rPr>
        <w:t>simile di scheda da compilare</w:t>
      </w:r>
      <w:r>
        <w:rPr>
          <w:rFonts w:ascii="Titillium" w:hAnsi="Titillium" w:cs="Calibri"/>
          <w:sz w:val="18"/>
          <w:szCs w:val="18"/>
        </w:rPr>
        <w:t>].</w:t>
      </w:r>
    </w:p>
    <w:p w14:paraId="3F8428AC" w14:textId="13610EC3" w:rsidR="006842EE" w:rsidRDefault="008F2625" w:rsidP="00323913">
      <w:pPr>
        <w:pStyle w:val="Paragrafoelenco"/>
        <w:spacing w:before="60" w:after="60"/>
        <w:ind w:left="0"/>
        <w:rPr>
          <w:rFonts w:ascii="Titillium" w:hAnsi="Titillium" w:cs="Calibri"/>
          <w:sz w:val="18"/>
          <w:szCs w:val="18"/>
        </w:rPr>
      </w:pPr>
      <w:r>
        <w:rPr>
          <w:rFonts w:ascii="Titillium" w:hAnsi="Titillium" w:cs="Calibri"/>
          <w:sz w:val="18"/>
          <w:szCs w:val="18"/>
        </w:rPr>
        <w:t>Ciascuna scheda dovrà essere accompagnata da una relazione descrittiva di numero massimo di</w:t>
      </w:r>
      <w:r w:rsidR="005274B9">
        <w:rPr>
          <w:rFonts w:ascii="Titillium" w:hAnsi="Titillium" w:cs="Calibri"/>
          <w:sz w:val="18"/>
          <w:szCs w:val="18"/>
        </w:rPr>
        <w:t xml:space="preserve"> …</w:t>
      </w:r>
      <w:r>
        <w:rPr>
          <w:rFonts w:ascii="Titillium" w:hAnsi="Titillium" w:cs="Calibri"/>
          <w:sz w:val="18"/>
          <w:szCs w:val="18"/>
        </w:rPr>
        <w:t xml:space="preserve">. </w:t>
      </w:r>
      <w:r w:rsidR="00E22DF6">
        <w:rPr>
          <w:rFonts w:ascii="Titillium" w:hAnsi="Titillium" w:cs="Calibri"/>
          <w:sz w:val="18"/>
          <w:szCs w:val="18"/>
        </w:rPr>
        <w:t>c</w:t>
      </w:r>
      <w:r>
        <w:rPr>
          <w:rFonts w:ascii="Titillium" w:hAnsi="Titillium" w:cs="Calibri"/>
          <w:sz w:val="18"/>
          <w:szCs w:val="18"/>
        </w:rPr>
        <w:t>artelle</w:t>
      </w:r>
      <w:r w:rsidR="00E22DF6">
        <w:rPr>
          <w:rFonts w:ascii="Titillium" w:hAnsi="Titillium" w:cs="Calibri"/>
          <w:sz w:val="18"/>
          <w:szCs w:val="18"/>
        </w:rPr>
        <w:t xml:space="preserve"> </w:t>
      </w:r>
      <w:r w:rsidR="00E22DF6" w:rsidRPr="00CA6602">
        <w:rPr>
          <w:rFonts w:ascii="Titillium" w:hAnsi="Titillium" w:cs="Calibri"/>
          <w:sz w:val="18"/>
          <w:szCs w:val="18"/>
        </w:rPr>
        <w:t xml:space="preserve">(o </w:t>
      </w:r>
      <w:r w:rsidR="00652625" w:rsidRPr="00CA6602">
        <w:rPr>
          <w:rFonts w:ascii="Titillium" w:hAnsi="Titillium" w:cs="Calibri"/>
          <w:sz w:val="18"/>
          <w:szCs w:val="18"/>
        </w:rPr>
        <w:t>pagine) in</w:t>
      </w:r>
      <w:r>
        <w:rPr>
          <w:rFonts w:ascii="Titillium" w:hAnsi="Titillium" w:cs="Calibri"/>
          <w:sz w:val="18"/>
          <w:szCs w:val="18"/>
        </w:rPr>
        <w:t xml:space="preserve"> formato ……. [</w:t>
      </w:r>
      <w:r>
        <w:rPr>
          <w:rFonts w:ascii="Titillium" w:hAnsi="Titillium" w:cs="Calibri"/>
          <w:i/>
          <w:sz w:val="18"/>
          <w:szCs w:val="18"/>
        </w:rPr>
        <w:t xml:space="preserve">dettagliare </w:t>
      </w:r>
      <w:r w:rsidR="00E22DF6">
        <w:rPr>
          <w:rFonts w:ascii="Titillium" w:hAnsi="Titillium" w:cs="Calibri"/>
          <w:i/>
          <w:sz w:val="18"/>
          <w:szCs w:val="18"/>
        </w:rPr>
        <w:t xml:space="preserve">il </w:t>
      </w:r>
      <w:r>
        <w:rPr>
          <w:rFonts w:ascii="Titillium" w:hAnsi="Titillium" w:cs="Calibri"/>
          <w:i/>
          <w:sz w:val="18"/>
          <w:szCs w:val="18"/>
        </w:rPr>
        <w:t>formato di pagina/carattere/paragrafo/interlinea/margini ecc</w:t>
      </w:r>
      <w:r>
        <w:rPr>
          <w:rFonts w:ascii="Titillium" w:hAnsi="Titillium" w:cs="Calibri"/>
          <w:sz w:val="18"/>
          <w:szCs w:val="18"/>
        </w:rPr>
        <w:t>.]</w:t>
      </w:r>
    </w:p>
    <w:p w14:paraId="4C192FE4" w14:textId="6C92F473" w:rsidR="006842EE" w:rsidRPr="00CA6602" w:rsidRDefault="008F2625" w:rsidP="00323913">
      <w:pPr>
        <w:pStyle w:val="Paragrafoelenco"/>
        <w:spacing w:before="60" w:after="60"/>
        <w:ind w:left="0"/>
        <w:rPr>
          <w:rFonts w:ascii="Titillium" w:hAnsi="Titillium" w:cs="Calibri"/>
          <w:sz w:val="18"/>
          <w:szCs w:val="18"/>
        </w:rPr>
      </w:pPr>
      <w:r w:rsidRPr="007E1E23">
        <w:rPr>
          <w:rFonts w:ascii="Titillium" w:hAnsi="Titillium" w:cs="Calibri"/>
          <w:sz w:val="18"/>
          <w:szCs w:val="18"/>
        </w:rPr>
        <w:t>[</w:t>
      </w:r>
      <w:r w:rsidRPr="00C75708">
        <w:rPr>
          <w:rFonts w:ascii="Titillium" w:hAnsi="Titillium" w:cs="Calibri"/>
          <w:b/>
          <w:i/>
          <w:iCs/>
          <w:sz w:val="18"/>
          <w:szCs w:val="18"/>
        </w:rPr>
        <w:t>Facoltativo</w:t>
      </w:r>
      <w:r w:rsidRPr="00C75708">
        <w:rPr>
          <w:rFonts w:ascii="Titillium" w:hAnsi="Titillium" w:cs="Calibri"/>
          <w:bCs/>
          <w:sz w:val="18"/>
          <w:szCs w:val="18"/>
        </w:rPr>
        <w:t>]</w:t>
      </w:r>
      <w:r>
        <w:rPr>
          <w:rFonts w:ascii="Titillium" w:hAnsi="Titillium" w:cs="Calibri"/>
          <w:sz w:val="18"/>
          <w:szCs w:val="18"/>
        </w:rPr>
        <w:t xml:space="preserve"> Alla relazione possono essere allegati </w:t>
      </w:r>
      <w:r w:rsidR="00E22DF6">
        <w:rPr>
          <w:rFonts w:ascii="Titillium" w:hAnsi="Titillium" w:cs="Calibri"/>
          <w:sz w:val="18"/>
          <w:szCs w:val="18"/>
        </w:rPr>
        <w:t>…….</w:t>
      </w:r>
      <w:r>
        <w:rPr>
          <w:rFonts w:ascii="Titillium" w:hAnsi="Titillium" w:cs="Calibri"/>
          <w:sz w:val="18"/>
          <w:szCs w:val="18"/>
        </w:rPr>
        <w:t xml:space="preserve"> per un massimo di ……</w:t>
      </w:r>
      <w:r w:rsidR="00E22DF6" w:rsidRPr="00CA6602">
        <w:rPr>
          <w:rFonts w:ascii="Titillium" w:hAnsi="Titillium" w:cs="Calibri"/>
          <w:sz w:val="18"/>
          <w:szCs w:val="18"/>
        </w:rPr>
        <w:t xml:space="preserve">cartelle (o </w:t>
      </w:r>
      <w:r w:rsidR="008448D9" w:rsidRPr="00CA6602">
        <w:rPr>
          <w:rFonts w:ascii="Titillium" w:hAnsi="Titillium" w:cs="Calibri"/>
          <w:sz w:val="18"/>
          <w:szCs w:val="18"/>
        </w:rPr>
        <w:t>pagine) in</w:t>
      </w:r>
      <w:r w:rsidRPr="00CA6602">
        <w:rPr>
          <w:rFonts w:ascii="Titillium" w:hAnsi="Titillium" w:cs="Calibri"/>
          <w:sz w:val="18"/>
          <w:szCs w:val="18"/>
        </w:rPr>
        <w:t xml:space="preserve"> formato</w:t>
      </w:r>
      <w:r w:rsidR="005274B9" w:rsidRPr="00CA6602">
        <w:rPr>
          <w:rFonts w:ascii="Titillium" w:hAnsi="Titillium" w:cs="Calibri"/>
          <w:sz w:val="18"/>
          <w:szCs w:val="18"/>
        </w:rPr>
        <w:t xml:space="preserve"> </w:t>
      </w:r>
      <w:r w:rsidRPr="00CA6602">
        <w:rPr>
          <w:rFonts w:ascii="Titillium" w:hAnsi="Titillium" w:cs="Calibri"/>
          <w:sz w:val="18"/>
          <w:szCs w:val="18"/>
        </w:rPr>
        <w:t>…. [</w:t>
      </w:r>
      <w:r w:rsidRPr="00CA6602">
        <w:rPr>
          <w:rFonts w:ascii="Titillium" w:hAnsi="Titillium" w:cs="Calibri"/>
          <w:i/>
          <w:sz w:val="18"/>
          <w:szCs w:val="18"/>
        </w:rPr>
        <w:t>dettagliare le caratteristiche e il formato</w:t>
      </w:r>
      <w:r w:rsidR="00E22DF6" w:rsidRPr="00CA6602">
        <w:rPr>
          <w:rFonts w:ascii="Titillium" w:hAnsi="Titillium" w:cs="Calibri"/>
          <w:i/>
          <w:sz w:val="18"/>
          <w:szCs w:val="18"/>
        </w:rPr>
        <w:t xml:space="preserve"> e il numero massimo delle cartelle (o </w:t>
      </w:r>
      <w:r w:rsidR="008448D9" w:rsidRPr="00CA6602">
        <w:rPr>
          <w:rFonts w:ascii="Titillium" w:hAnsi="Titillium" w:cs="Calibri"/>
          <w:i/>
          <w:sz w:val="18"/>
          <w:szCs w:val="18"/>
        </w:rPr>
        <w:t>pagine) dei</w:t>
      </w:r>
      <w:r w:rsidRPr="00CA6602">
        <w:rPr>
          <w:rFonts w:ascii="Titillium" w:hAnsi="Titillium" w:cs="Calibri"/>
          <w:i/>
          <w:sz w:val="18"/>
          <w:szCs w:val="18"/>
        </w:rPr>
        <w:t xml:space="preserve"> documenti </w:t>
      </w:r>
      <w:r w:rsidR="008448D9" w:rsidRPr="00CA6602">
        <w:rPr>
          <w:rFonts w:ascii="Titillium" w:hAnsi="Titillium" w:cs="Calibri"/>
          <w:i/>
          <w:sz w:val="18"/>
          <w:szCs w:val="18"/>
        </w:rPr>
        <w:t>richiesti]</w:t>
      </w:r>
      <w:r w:rsidRPr="00CA6602">
        <w:rPr>
          <w:rFonts w:ascii="Titillium" w:hAnsi="Titillium" w:cs="Calibri"/>
          <w:sz w:val="18"/>
          <w:szCs w:val="18"/>
        </w:rPr>
        <w:t xml:space="preserve">. </w:t>
      </w:r>
    </w:p>
    <w:p w14:paraId="7D4F1CC2" w14:textId="180891F8" w:rsidR="006842EE" w:rsidRDefault="008F2625" w:rsidP="00323913">
      <w:pPr>
        <w:pStyle w:val="Paragrafoelenco"/>
        <w:spacing w:before="60" w:after="60"/>
        <w:ind w:left="0"/>
        <w:rPr>
          <w:rFonts w:ascii="Titillium" w:hAnsi="Titillium" w:cs="Calibri"/>
          <w:sz w:val="18"/>
          <w:szCs w:val="18"/>
        </w:rPr>
      </w:pPr>
      <w:r w:rsidRPr="00CA6602">
        <w:rPr>
          <w:rFonts w:ascii="Titillium" w:hAnsi="Titillium" w:cs="Calibri"/>
          <w:sz w:val="18"/>
          <w:szCs w:val="18"/>
        </w:rPr>
        <w:t>Non sono computati nel numero delle cartelle</w:t>
      </w:r>
      <w:r w:rsidR="00E22DF6" w:rsidRPr="00CA6602">
        <w:rPr>
          <w:rFonts w:ascii="Titillium" w:hAnsi="Titillium" w:cs="Calibri"/>
          <w:sz w:val="18"/>
          <w:szCs w:val="18"/>
        </w:rPr>
        <w:t xml:space="preserve"> (o </w:t>
      </w:r>
      <w:r w:rsidR="008448D9" w:rsidRPr="00CA6602">
        <w:rPr>
          <w:rFonts w:ascii="Titillium" w:hAnsi="Titillium" w:cs="Calibri"/>
          <w:sz w:val="18"/>
          <w:szCs w:val="18"/>
        </w:rPr>
        <w:t>pagine) le</w:t>
      </w:r>
      <w:r w:rsidRPr="00CA6602">
        <w:rPr>
          <w:rFonts w:ascii="Titillium" w:hAnsi="Titillium" w:cs="Calibri"/>
          <w:sz w:val="18"/>
          <w:szCs w:val="18"/>
        </w:rPr>
        <w:t xml:space="preserve"> copertine e gli eventuali</w:t>
      </w:r>
      <w:r>
        <w:rPr>
          <w:rFonts w:ascii="Titillium" w:hAnsi="Titillium" w:cs="Calibri"/>
          <w:sz w:val="18"/>
          <w:szCs w:val="18"/>
        </w:rPr>
        <w:t xml:space="preserve"> sommari.</w:t>
      </w:r>
    </w:p>
    <w:tbl>
      <w:tblPr>
        <w:tblStyle w:val="Grigliatabella"/>
        <w:tblW w:w="0" w:type="auto"/>
        <w:tblLook w:val="04A0" w:firstRow="1" w:lastRow="0" w:firstColumn="1" w:lastColumn="0" w:noHBand="0" w:noVBand="1"/>
      </w:tblPr>
      <w:tblGrid>
        <w:gridCol w:w="9214"/>
      </w:tblGrid>
      <w:tr w:rsidR="00DA48A3" w14:paraId="51837D97" w14:textId="77777777" w:rsidTr="00DA48A3">
        <w:tc>
          <w:tcPr>
            <w:tcW w:w="9214" w:type="dxa"/>
          </w:tcPr>
          <w:p w14:paraId="7731EDFA" w14:textId="7477C588" w:rsidR="00DA48A3" w:rsidRPr="008671D8" w:rsidRDefault="00DA48A3" w:rsidP="005839B2">
            <w:pPr>
              <w:rPr>
                <w:rFonts w:ascii="Titillium" w:hAnsi="Titillium" w:cs="Calibri"/>
                <w:sz w:val="18"/>
                <w:szCs w:val="18"/>
                <w:highlight w:val="cyan"/>
              </w:rPr>
            </w:pPr>
            <w:r w:rsidRPr="00C75708">
              <w:rPr>
                <w:rFonts w:ascii="Titillium" w:eastAsia="Calibri" w:hAnsi="Titillium" w:cs="Calibri"/>
                <w:i/>
                <w:iCs/>
                <w:sz w:val="18"/>
                <w:szCs w:val="18"/>
                <w:lang w:eastAsia="it-IT"/>
              </w:rPr>
              <w:t>N.B.</w:t>
            </w:r>
            <w:r w:rsidR="008671D8" w:rsidRPr="00C75708">
              <w:rPr>
                <w:rFonts w:ascii="Titillium" w:eastAsia="Calibri" w:hAnsi="Titillium" w:cs="Calibri"/>
                <w:i/>
                <w:iCs/>
                <w:sz w:val="18"/>
                <w:szCs w:val="18"/>
                <w:lang w:eastAsia="it-IT"/>
              </w:rPr>
              <w:t xml:space="preserve"> </w:t>
            </w:r>
            <w:r w:rsidR="00E75870" w:rsidRPr="00C75708">
              <w:rPr>
                <w:rFonts w:ascii="Titillium" w:eastAsia="Calibri" w:hAnsi="Titillium" w:cs="Calibri"/>
                <w:i/>
                <w:iCs/>
                <w:sz w:val="18"/>
                <w:szCs w:val="18"/>
                <w:lang w:eastAsia="it-IT"/>
              </w:rPr>
              <w:t>I</w:t>
            </w:r>
            <w:r w:rsidRPr="00C75708">
              <w:rPr>
                <w:rFonts w:ascii="Titillium" w:eastAsia="Calibri" w:hAnsi="Titillium" w:cs="Calibri"/>
                <w:i/>
                <w:iCs/>
                <w:sz w:val="18"/>
                <w:szCs w:val="18"/>
                <w:lang w:eastAsia="it-IT"/>
              </w:rPr>
              <w:t xml:space="preserve"> servizi </w:t>
            </w:r>
            <w:r w:rsidR="005839B2" w:rsidRPr="00C75708">
              <w:rPr>
                <w:rFonts w:ascii="Titillium" w:eastAsia="Calibri" w:hAnsi="Titillium" w:cs="Calibri"/>
                <w:i/>
                <w:iCs/>
                <w:sz w:val="18"/>
                <w:szCs w:val="18"/>
                <w:lang w:eastAsia="it-IT"/>
              </w:rPr>
              <w:t>affini  valutabili</w:t>
            </w:r>
            <w:r w:rsidR="00E75870" w:rsidRPr="00C75708">
              <w:rPr>
                <w:rFonts w:ascii="Titillium" w:eastAsia="Calibri" w:hAnsi="Titillium" w:cs="Calibri"/>
                <w:i/>
                <w:iCs/>
                <w:sz w:val="18"/>
                <w:szCs w:val="18"/>
                <w:lang w:eastAsia="it-IT"/>
              </w:rPr>
              <w:t xml:space="preserve"> ai fini del c</w:t>
            </w:r>
            <w:r w:rsidR="005839B2" w:rsidRPr="00C75708">
              <w:rPr>
                <w:rFonts w:ascii="Titillium" w:eastAsia="Calibri" w:hAnsi="Titillium" w:cs="Calibri"/>
                <w:i/>
                <w:iCs/>
                <w:sz w:val="18"/>
                <w:szCs w:val="18"/>
                <w:lang w:eastAsia="it-IT"/>
              </w:rPr>
              <w:t>riterio della “professionalità e</w:t>
            </w:r>
            <w:r w:rsidR="00E75870" w:rsidRPr="00C75708">
              <w:rPr>
                <w:rFonts w:ascii="Titillium" w:eastAsia="Calibri" w:hAnsi="Titillium" w:cs="Calibri"/>
                <w:i/>
                <w:iCs/>
                <w:sz w:val="18"/>
                <w:szCs w:val="18"/>
                <w:lang w:eastAsia="it-IT"/>
              </w:rPr>
              <w:t>d</w:t>
            </w:r>
            <w:r w:rsidR="005839B2" w:rsidRPr="00C75708">
              <w:rPr>
                <w:rFonts w:ascii="Titillium" w:eastAsia="Calibri" w:hAnsi="Titillium" w:cs="Calibri"/>
                <w:i/>
                <w:iCs/>
                <w:sz w:val="18"/>
                <w:szCs w:val="18"/>
                <w:lang w:eastAsia="it-IT"/>
              </w:rPr>
              <w:t xml:space="preserve"> adeguatezza dell’offerta”</w:t>
            </w:r>
            <w:r w:rsidR="00C30A12" w:rsidRPr="00C75708">
              <w:rPr>
                <w:rFonts w:ascii="Titillium" w:eastAsia="Calibri" w:hAnsi="Titillium" w:cs="Calibri"/>
                <w:i/>
                <w:iCs/>
                <w:sz w:val="18"/>
                <w:szCs w:val="18"/>
                <w:lang w:eastAsia="it-IT"/>
              </w:rPr>
              <w:t xml:space="preserve"> </w:t>
            </w:r>
            <w:r w:rsidR="00E75870" w:rsidRPr="00C75708">
              <w:rPr>
                <w:rFonts w:ascii="Titillium" w:eastAsia="Calibri" w:hAnsi="Titillium" w:cs="Calibri"/>
                <w:i/>
                <w:iCs/>
                <w:sz w:val="18"/>
                <w:szCs w:val="18"/>
                <w:lang w:eastAsia="it-IT"/>
              </w:rPr>
              <w:t xml:space="preserve">non </w:t>
            </w:r>
            <w:r w:rsidR="00C30A12" w:rsidRPr="00C75708">
              <w:rPr>
                <w:rFonts w:ascii="Titillium" w:eastAsia="Calibri" w:hAnsi="Titillium" w:cs="Calibri"/>
                <w:i/>
                <w:iCs/>
                <w:sz w:val="18"/>
                <w:szCs w:val="18"/>
                <w:lang w:eastAsia="it-IT"/>
              </w:rPr>
              <w:t xml:space="preserve">si intendono </w:t>
            </w:r>
            <w:r w:rsidRPr="00C75708">
              <w:rPr>
                <w:rFonts w:ascii="Titillium" w:eastAsia="Calibri" w:hAnsi="Titillium" w:cs="Calibri"/>
                <w:i/>
                <w:iCs/>
                <w:sz w:val="18"/>
                <w:szCs w:val="18"/>
                <w:lang w:eastAsia="it-IT"/>
              </w:rPr>
              <w:t>limitati ad  un arco temporale riferibil</w:t>
            </w:r>
            <w:r w:rsidR="005839B2" w:rsidRPr="00C75708">
              <w:rPr>
                <w:rFonts w:ascii="Titillium" w:eastAsia="Calibri" w:hAnsi="Titillium" w:cs="Calibri"/>
                <w:i/>
                <w:iCs/>
                <w:sz w:val="18"/>
                <w:szCs w:val="18"/>
                <w:lang w:eastAsia="it-IT"/>
              </w:rPr>
              <w:t xml:space="preserve">e </w:t>
            </w:r>
            <w:r w:rsidRPr="00C75708">
              <w:rPr>
                <w:rFonts w:ascii="Titillium" w:eastAsia="Calibri" w:hAnsi="Titillium" w:cs="Calibri"/>
                <w:i/>
                <w:iCs/>
                <w:sz w:val="18"/>
                <w:szCs w:val="18"/>
                <w:lang w:eastAsia="it-IT"/>
              </w:rPr>
              <w:t>ai</w:t>
            </w:r>
            <w:r w:rsidR="00943C4E" w:rsidRPr="00C75708">
              <w:rPr>
                <w:rFonts w:ascii="Titillium" w:eastAsia="Calibri" w:hAnsi="Titillium" w:cs="Calibri"/>
                <w:i/>
                <w:iCs/>
                <w:sz w:val="18"/>
                <w:szCs w:val="18"/>
                <w:lang w:eastAsia="it-IT"/>
              </w:rPr>
              <w:t xml:space="preserve"> dieci antecedenti all</w:t>
            </w:r>
            <w:r w:rsidR="00787127" w:rsidRPr="00C75708">
              <w:rPr>
                <w:rFonts w:ascii="Titillium" w:eastAsia="Calibri" w:hAnsi="Titillium" w:cs="Calibri"/>
                <w:i/>
                <w:iCs/>
                <w:sz w:val="18"/>
                <w:szCs w:val="18"/>
                <w:lang w:eastAsia="it-IT"/>
              </w:rPr>
              <w:t>’</w:t>
            </w:r>
            <w:r w:rsidR="00943C4E" w:rsidRPr="00C75708">
              <w:rPr>
                <w:rFonts w:ascii="Titillium" w:eastAsia="Calibri" w:hAnsi="Titillium" w:cs="Calibri"/>
                <w:i/>
                <w:iCs/>
                <w:sz w:val="18"/>
                <w:szCs w:val="18"/>
                <w:lang w:eastAsia="it-IT"/>
              </w:rPr>
              <w:t xml:space="preserve">indizione della procedura di </w:t>
            </w:r>
            <w:r w:rsidR="008671D8" w:rsidRPr="00C75708">
              <w:rPr>
                <w:rFonts w:ascii="Titillium" w:eastAsia="Calibri" w:hAnsi="Titillium" w:cs="Calibri"/>
                <w:i/>
                <w:iCs/>
                <w:sz w:val="18"/>
                <w:szCs w:val="18"/>
                <w:lang w:eastAsia="it-IT"/>
              </w:rPr>
              <w:t>gara</w:t>
            </w:r>
            <w:r w:rsidRPr="00C75708">
              <w:rPr>
                <w:rFonts w:ascii="Titillium" w:eastAsia="Calibri" w:hAnsi="Titillium" w:cs="Calibri"/>
                <w:i/>
                <w:iCs/>
                <w:sz w:val="18"/>
                <w:szCs w:val="18"/>
                <w:lang w:eastAsia="it-IT"/>
              </w:rPr>
              <w:t xml:space="preserve"> </w:t>
            </w:r>
            <w:r w:rsidR="00787127" w:rsidRPr="00C75708">
              <w:rPr>
                <w:rFonts w:ascii="Titillium" w:eastAsia="Calibri" w:hAnsi="Titillium" w:cs="Calibri"/>
                <w:i/>
                <w:iCs/>
                <w:sz w:val="18"/>
                <w:szCs w:val="18"/>
                <w:lang w:eastAsia="it-IT"/>
              </w:rPr>
              <w:t>–</w:t>
            </w:r>
            <w:r w:rsidRPr="00C75708">
              <w:rPr>
                <w:rFonts w:ascii="Titillium" w:eastAsia="Calibri" w:hAnsi="Titillium" w:cs="Calibri"/>
                <w:i/>
                <w:iCs/>
                <w:sz w:val="18"/>
                <w:szCs w:val="18"/>
                <w:lang w:eastAsia="it-IT"/>
              </w:rPr>
              <w:t xml:space="preserve"> come</w:t>
            </w:r>
            <w:r w:rsidR="00787127" w:rsidRPr="00C75708">
              <w:rPr>
                <w:rFonts w:ascii="Titillium" w:eastAsia="Calibri" w:hAnsi="Titillium" w:cs="Calibri"/>
                <w:i/>
                <w:iCs/>
                <w:sz w:val="18"/>
                <w:szCs w:val="18"/>
                <w:lang w:eastAsia="it-IT"/>
              </w:rPr>
              <w:t xml:space="preserve"> stabilito </w:t>
            </w:r>
            <w:r w:rsidR="005839B2" w:rsidRPr="00C75708">
              <w:rPr>
                <w:rFonts w:ascii="Titillium" w:eastAsia="Calibri" w:hAnsi="Titillium" w:cs="Calibri"/>
                <w:i/>
                <w:iCs/>
                <w:sz w:val="18"/>
                <w:szCs w:val="18"/>
                <w:lang w:eastAsia="it-IT"/>
              </w:rPr>
              <w:t xml:space="preserve">dall’art. 40 </w:t>
            </w:r>
            <w:r w:rsidR="00E75870" w:rsidRPr="00C75708">
              <w:rPr>
                <w:rFonts w:ascii="Titillium" w:eastAsia="Calibri" w:hAnsi="Titillium" w:cs="Calibri"/>
                <w:i/>
                <w:iCs/>
                <w:sz w:val="18"/>
                <w:szCs w:val="18"/>
                <w:lang w:eastAsia="it-IT"/>
              </w:rPr>
              <w:t xml:space="preserve">comma 1 bis </w:t>
            </w:r>
            <w:r w:rsidR="00C30A12" w:rsidRPr="00C75708">
              <w:rPr>
                <w:rFonts w:ascii="Titillium" w:eastAsia="Calibri" w:hAnsi="Titillium" w:cs="Calibri"/>
                <w:i/>
                <w:iCs/>
                <w:sz w:val="18"/>
                <w:szCs w:val="18"/>
                <w:lang w:eastAsia="it-IT"/>
              </w:rPr>
              <w:t xml:space="preserve">dell'allegato II.12, </w:t>
            </w:r>
            <w:r w:rsidR="008671D8" w:rsidRPr="00C75708">
              <w:rPr>
                <w:rFonts w:ascii="Titillium" w:eastAsia="Calibri" w:hAnsi="Titillium" w:cs="Calibri"/>
                <w:i/>
                <w:iCs/>
                <w:sz w:val="18"/>
                <w:szCs w:val="18"/>
                <w:lang w:eastAsia="it-IT"/>
              </w:rPr>
              <w:t>relativamente alla dimostrazione dei requisiti</w:t>
            </w:r>
            <w:r w:rsidR="00C30A12" w:rsidRPr="00C75708">
              <w:rPr>
                <w:rFonts w:ascii="Titillium" w:eastAsia="Calibri" w:hAnsi="Titillium" w:cs="Calibri"/>
                <w:i/>
                <w:iCs/>
                <w:sz w:val="18"/>
                <w:szCs w:val="18"/>
                <w:lang w:eastAsia="it-IT"/>
              </w:rPr>
              <w:t xml:space="preserve"> di capacità tecnica e professionale</w:t>
            </w:r>
            <w:r w:rsidR="008671D8" w:rsidRPr="00C75708">
              <w:rPr>
                <w:rFonts w:ascii="Titillium" w:eastAsia="Calibri" w:hAnsi="Titillium" w:cs="Calibri"/>
                <w:i/>
                <w:iCs/>
                <w:sz w:val="18"/>
                <w:szCs w:val="18"/>
                <w:lang w:eastAsia="it-IT"/>
              </w:rPr>
              <w:t xml:space="preserve"> - </w:t>
            </w:r>
            <w:r w:rsidR="00C30A12" w:rsidRPr="00C75708">
              <w:rPr>
                <w:rFonts w:ascii="Titillium" w:eastAsia="Calibri" w:hAnsi="Titillium" w:cs="Calibri"/>
                <w:i/>
                <w:iCs/>
                <w:sz w:val="18"/>
                <w:szCs w:val="18"/>
                <w:lang w:eastAsia="it-IT"/>
              </w:rPr>
              <w:t xml:space="preserve"> </w:t>
            </w:r>
            <w:r w:rsidR="005839B2" w:rsidRPr="00C75708">
              <w:rPr>
                <w:rFonts w:ascii="Titillium" w:eastAsia="Calibri" w:hAnsi="Titillium" w:cs="Calibri"/>
                <w:i/>
                <w:iCs/>
                <w:sz w:val="18"/>
                <w:szCs w:val="18"/>
                <w:lang w:eastAsia="it-IT"/>
              </w:rPr>
              <w:t>e devono essere tali da dimostrare che i</w:t>
            </w:r>
            <w:r w:rsidRPr="00C75708">
              <w:rPr>
                <w:rFonts w:ascii="Titillium" w:eastAsia="Calibri" w:hAnsi="Titillium" w:cs="Calibri"/>
                <w:i/>
                <w:iCs/>
                <w:sz w:val="18"/>
                <w:szCs w:val="18"/>
                <w:lang w:eastAsia="it-IT"/>
              </w:rPr>
              <w:t>l concorrente ha redatto progetti, o effettuato in generale servizi di ingegneria e architettura  che, sul piano tecnologico, funzionale, di inserimento ambientale, rispondono meglio agli obiettivi</w:t>
            </w:r>
            <w:r w:rsidR="00787127" w:rsidRPr="00C75708">
              <w:rPr>
                <w:rFonts w:ascii="Titillium" w:eastAsia="Calibri" w:hAnsi="Titillium" w:cs="Calibri"/>
                <w:i/>
                <w:iCs/>
                <w:sz w:val="18"/>
                <w:szCs w:val="18"/>
                <w:lang w:eastAsia="it-IT"/>
              </w:rPr>
              <w:t xml:space="preserve"> perseguiti dalla stazione </w:t>
            </w:r>
            <w:r w:rsidRPr="00C75708">
              <w:rPr>
                <w:rFonts w:ascii="Titillium" w:eastAsia="Calibri" w:hAnsi="Titillium" w:cs="Calibri"/>
                <w:i/>
                <w:iCs/>
                <w:sz w:val="18"/>
                <w:szCs w:val="18"/>
                <w:lang w:eastAsia="it-IT"/>
              </w:rPr>
              <w:t>appaltante</w:t>
            </w:r>
            <w:r w:rsidR="005839B2" w:rsidRPr="000B0E59">
              <w:rPr>
                <w:rFonts w:ascii="Titillium" w:eastAsia="Calibri" w:hAnsi="Titillium" w:cs="Calibri"/>
                <w:sz w:val="18"/>
                <w:szCs w:val="18"/>
                <w:lang w:eastAsia="it-IT"/>
              </w:rPr>
              <w:t xml:space="preserve">. </w:t>
            </w:r>
          </w:p>
        </w:tc>
      </w:tr>
    </w:tbl>
    <w:p w14:paraId="35A87A12" w14:textId="77777777" w:rsidR="00DA48A3" w:rsidRDefault="00DA48A3" w:rsidP="00323913">
      <w:pPr>
        <w:pStyle w:val="Paragrafoelenco"/>
        <w:spacing w:before="60" w:after="60"/>
        <w:ind w:left="0"/>
        <w:rPr>
          <w:rFonts w:ascii="Titillium" w:hAnsi="Titillium" w:cs="Calibri"/>
          <w:sz w:val="18"/>
          <w:szCs w:val="18"/>
        </w:rPr>
      </w:pPr>
    </w:p>
    <w:p w14:paraId="67B081D9" w14:textId="3B409956" w:rsidR="006842EE" w:rsidRDefault="008F2625" w:rsidP="00323913">
      <w:pPr>
        <w:spacing w:before="60" w:after="60"/>
        <w:rPr>
          <w:rFonts w:ascii="Titillium" w:hAnsi="Titillium" w:cs="Calibri"/>
          <w:sz w:val="18"/>
          <w:szCs w:val="18"/>
        </w:rPr>
      </w:pPr>
      <w:r w:rsidRPr="001F4FDD">
        <w:rPr>
          <w:rFonts w:ascii="Titillium" w:hAnsi="Titillium" w:cs="Calibri"/>
          <w:sz w:val="18"/>
          <w:szCs w:val="18"/>
        </w:rPr>
        <w:t>Con riferimento alle «</w:t>
      </w:r>
      <w:r w:rsidRPr="001F4FDD">
        <w:rPr>
          <w:rFonts w:ascii="Titillium" w:hAnsi="Titillium" w:cs="Calibri"/>
          <w:i/>
          <w:iCs/>
          <w:sz w:val="18"/>
          <w:szCs w:val="18"/>
        </w:rPr>
        <w:t>caratteristiche metodologiche dell’offerta</w:t>
      </w:r>
      <w:r w:rsidRPr="001F4FDD">
        <w:rPr>
          <w:rFonts w:ascii="Titillium" w:hAnsi="Titillium" w:cs="Calibri"/>
          <w:sz w:val="18"/>
          <w:szCs w:val="18"/>
        </w:rPr>
        <w:t>» indicate al p</w:t>
      </w:r>
      <w:r w:rsidR="00D914DB">
        <w:rPr>
          <w:rFonts w:ascii="Titillium" w:hAnsi="Titillium" w:cs="Calibri"/>
          <w:sz w:val="18"/>
          <w:szCs w:val="18"/>
        </w:rPr>
        <w:t xml:space="preserve">aragrafo </w:t>
      </w:r>
      <w:r w:rsidR="001F4FDD">
        <w:rPr>
          <w:rFonts w:ascii="Titillium" w:hAnsi="Titillium" w:cs="Calibri"/>
          <w:sz w:val="18"/>
          <w:szCs w:val="18"/>
        </w:rPr>
        <w:t>1</w:t>
      </w:r>
      <w:r w:rsidR="00725A58">
        <w:rPr>
          <w:rFonts w:ascii="Titillium" w:hAnsi="Titillium" w:cs="Calibri"/>
          <w:sz w:val="18"/>
          <w:szCs w:val="18"/>
        </w:rPr>
        <w:t>8</w:t>
      </w:r>
      <w:r w:rsidR="001F4FDD">
        <w:rPr>
          <w:rFonts w:ascii="Titillium" w:hAnsi="Titillium" w:cs="Calibri"/>
          <w:sz w:val="18"/>
          <w:szCs w:val="18"/>
        </w:rPr>
        <w:t>.1</w:t>
      </w:r>
      <w:r w:rsidR="00323913">
        <w:rPr>
          <w:rFonts w:ascii="Titillium" w:hAnsi="Titillium" w:cs="Calibri"/>
          <w:sz w:val="18"/>
          <w:szCs w:val="18"/>
        </w:rPr>
        <w:t>,</w:t>
      </w:r>
      <w:r w:rsidR="001F4FDD">
        <w:rPr>
          <w:rFonts w:ascii="Titillium" w:hAnsi="Titillium" w:cs="Calibri"/>
          <w:sz w:val="18"/>
          <w:szCs w:val="18"/>
        </w:rPr>
        <w:t xml:space="preserve"> </w:t>
      </w:r>
      <w:r w:rsidR="004F2007" w:rsidRPr="001F4FDD">
        <w:rPr>
          <w:rFonts w:ascii="Titillium" w:hAnsi="Titillium" w:cs="Calibri"/>
          <w:sz w:val="18"/>
          <w:szCs w:val="18"/>
        </w:rPr>
        <w:t>lettera</w:t>
      </w:r>
      <w:r w:rsidR="0032615A">
        <w:rPr>
          <w:rFonts w:ascii="Titillium" w:hAnsi="Titillium" w:cs="Calibri"/>
          <w:sz w:val="18"/>
          <w:szCs w:val="18"/>
        </w:rPr>
        <w:t xml:space="preserve"> B: r</w:t>
      </w:r>
      <w:r>
        <w:rPr>
          <w:rFonts w:ascii="Titillium" w:hAnsi="Titillium" w:cs="Calibri"/>
          <w:sz w:val="18"/>
          <w:szCs w:val="18"/>
        </w:rPr>
        <w:t>elazione con la quale il concorrente illustra la propria proposta sviluppata secondo quanto specificato nei criteri di valutazione, in particolare:</w:t>
      </w:r>
    </w:p>
    <w:p w14:paraId="79725777" w14:textId="77777777" w:rsidR="006842EE" w:rsidRDefault="008F2625" w:rsidP="00323913">
      <w:pPr>
        <w:pStyle w:val="Paragrafoelenco"/>
        <w:spacing w:before="60" w:after="60"/>
        <w:ind w:left="0"/>
        <w:rPr>
          <w:rFonts w:ascii="Titillium" w:hAnsi="Titillium" w:cs="Calibri"/>
          <w:sz w:val="18"/>
          <w:szCs w:val="18"/>
        </w:rPr>
      </w:pPr>
      <w:r>
        <w:rPr>
          <w:rFonts w:ascii="Cambria Math" w:hAnsi="Cambria Math" w:cs="Cambria Math"/>
          <w:sz w:val="18"/>
          <w:szCs w:val="18"/>
        </w:rPr>
        <w:t>‐</w:t>
      </w:r>
      <w:r>
        <w:rPr>
          <w:rFonts w:ascii="Titillium" w:hAnsi="Titillium" w:cs="Calibri"/>
          <w:sz w:val="18"/>
          <w:szCs w:val="18"/>
        </w:rPr>
        <w:t xml:space="preserve"> ..........</w:t>
      </w:r>
    </w:p>
    <w:p w14:paraId="3292772D" w14:textId="77777777" w:rsidR="006842EE" w:rsidRDefault="008F2625" w:rsidP="00323913">
      <w:pPr>
        <w:pStyle w:val="Paragrafoelenco"/>
        <w:spacing w:before="60" w:after="60"/>
        <w:ind w:left="0"/>
        <w:rPr>
          <w:rFonts w:ascii="Titillium" w:hAnsi="Titillium" w:cs="Calibri"/>
          <w:sz w:val="18"/>
          <w:szCs w:val="18"/>
        </w:rPr>
      </w:pPr>
      <w:r>
        <w:rPr>
          <w:rFonts w:ascii="Cambria Math" w:hAnsi="Cambria Math" w:cs="Cambria Math"/>
          <w:sz w:val="18"/>
          <w:szCs w:val="18"/>
        </w:rPr>
        <w:t>‐</w:t>
      </w:r>
      <w:r>
        <w:rPr>
          <w:rFonts w:ascii="Titillium" w:hAnsi="Titillium" w:cs="Calibri"/>
          <w:sz w:val="18"/>
          <w:szCs w:val="18"/>
        </w:rPr>
        <w:t xml:space="preserve"> ..........</w:t>
      </w:r>
    </w:p>
    <w:p w14:paraId="37F2D86F" w14:textId="77777777" w:rsidR="006842EE" w:rsidRDefault="008F2625" w:rsidP="00323913">
      <w:pPr>
        <w:pStyle w:val="Paragrafoelenco"/>
        <w:spacing w:before="60" w:after="60"/>
        <w:ind w:left="0"/>
        <w:rPr>
          <w:rFonts w:ascii="Titillium" w:hAnsi="Titillium" w:cs="Calibri"/>
          <w:sz w:val="18"/>
          <w:szCs w:val="18"/>
        </w:rPr>
      </w:pPr>
      <w:r>
        <w:rPr>
          <w:rFonts w:ascii="Cambria Math" w:hAnsi="Cambria Math" w:cs="Cambria Math"/>
          <w:sz w:val="18"/>
          <w:szCs w:val="18"/>
        </w:rPr>
        <w:t>‐</w:t>
      </w:r>
      <w:r>
        <w:rPr>
          <w:rFonts w:ascii="Titillium" w:hAnsi="Titillium" w:cs="Calibri"/>
          <w:sz w:val="18"/>
          <w:szCs w:val="18"/>
        </w:rPr>
        <w:t xml:space="preserve"> ..........</w:t>
      </w:r>
    </w:p>
    <w:p w14:paraId="7A65E10E" w14:textId="4E1F5E8C" w:rsidR="006842EE" w:rsidRDefault="008F2625" w:rsidP="00323913">
      <w:pPr>
        <w:pStyle w:val="Paragrafoelenco"/>
        <w:spacing w:before="60" w:after="60"/>
        <w:ind w:left="0"/>
        <w:rPr>
          <w:rFonts w:ascii="Titillium" w:hAnsi="Titillium" w:cs="Calibri"/>
          <w:sz w:val="18"/>
          <w:szCs w:val="18"/>
        </w:rPr>
      </w:pPr>
      <w:r>
        <w:rPr>
          <w:rFonts w:ascii="Titillium" w:hAnsi="Titillium" w:cs="Calibri"/>
          <w:sz w:val="18"/>
          <w:szCs w:val="18"/>
        </w:rPr>
        <w:t>[</w:t>
      </w:r>
      <w:r>
        <w:rPr>
          <w:rFonts w:ascii="Titillium" w:hAnsi="Titillium" w:cs="Calibri"/>
          <w:i/>
          <w:sz w:val="18"/>
          <w:szCs w:val="18"/>
        </w:rPr>
        <w:t>la stazione appaltante specifica gli elementi che il concorrente deve descrivere ai fini della valutazione dell’offerta tecnica adattando alle proprie specifiche esigenze gli elementi da indicare anche con riferimento alla tipologia di incari</w:t>
      </w:r>
      <w:r w:rsidR="00DE0A2A">
        <w:rPr>
          <w:rFonts w:ascii="Titillium" w:hAnsi="Titillium" w:cs="Calibri"/>
          <w:i/>
          <w:sz w:val="18"/>
          <w:szCs w:val="18"/>
        </w:rPr>
        <w:t>co</w:t>
      </w:r>
      <w:r w:rsidR="005274B9">
        <w:rPr>
          <w:rFonts w:ascii="Titillium" w:hAnsi="Titillium" w:cs="Calibri"/>
          <w:i/>
          <w:sz w:val="18"/>
          <w:szCs w:val="18"/>
        </w:rPr>
        <w:t>.</w:t>
      </w:r>
      <w:r>
        <w:rPr>
          <w:rFonts w:ascii="Titillium" w:hAnsi="Titillium" w:cs="Calibri"/>
          <w:i/>
          <w:sz w:val="18"/>
          <w:szCs w:val="18"/>
        </w:rPr>
        <w:t xml:space="preserve"> La stazione appaltante, ove ritenuto necessario, specifica inoltre quali professionalità del gruppo di lavoro saranno oggetto di valutazione</w:t>
      </w:r>
      <w:r>
        <w:rPr>
          <w:rFonts w:ascii="Titillium" w:hAnsi="Titillium" w:cs="Calibri"/>
          <w:sz w:val="18"/>
          <w:szCs w:val="18"/>
        </w:rPr>
        <w:t>]</w:t>
      </w:r>
    </w:p>
    <w:p w14:paraId="3177C1E9" w14:textId="77777777" w:rsidR="006842EE" w:rsidRDefault="008F2625" w:rsidP="00323913">
      <w:pPr>
        <w:pStyle w:val="Paragrafoelenco"/>
        <w:spacing w:before="60" w:after="60"/>
        <w:ind w:left="0"/>
        <w:rPr>
          <w:rFonts w:ascii="Titillium" w:hAnsi="Titillium" w:cs="Calibri"/>
          <w:sz w:val="18"/>
          <w:szCs w:val="18"/>
        </w:rPr>
      </w:pPr>
      <w:r>
        <w:rPr>
          <w:rFonts w:ascii="Titillium" w:hAnsi="Titillium" w:cs="Calibri"/>
          <w:sz w:val="18"/>
          <w:szCs w:val="18"/>
        </w:rPr>
        <w:t>La relazione descrittiva deve essere composta da massimo n. …. cartelle in formato ……. [</w:t>
      </w:r>
      <w:r>
        <w:rPr>
          <w:rFonts w:ascii="Titillium" w:hAnsi="Titillium" w:cs="Calibri"/>
          <w:i/>
          <w:sz w:val="18"/>
          <w:szCs w:val="18"/>
        </w:rPr>
        <w:t>dettagliare il formato di pagina/carattere/paragrafo/interlinea/margini ecc</w:t>
      </w:r>
      <w:r>
        <w:rPr>
          <w:rFonts w:ascii="Titillium" w:hAnsi="Titillium" w:cs="Calibri"/>
          <w:sz w:val="18"/>
          <w:szCs w:val="18"/>
        </w:rPr>
        <w:t>.]</w:t>
      </w:r>
    </w:p>
    <w:p w14:paraId="110DA07C" w14:textId="77777777" w:rsidR="008D3D6D" w:rsidRDefault="008D3D6D" w:rsidP="00725A58">
      <w:pPr>
        <w:pStyle w:val="Paragrafoelenco"/>
        <w:spacing w:before="60" w:after="60"/>
        <w:ind w:left="0"/>
        <w:rPr>
          <w:rFonts w:ascii="Titillium" w:hAnsi="Titillium" w:cs="Calibri"/>
          <w:b/>
          <w:i/>
          <w:sz w:val="18"/>
          <w:szCs w:val="18"/>
        </w:rPr>
      </w:pPr>
    </w:p>
    <w:p w14:paraId="7FD5ADC9" w14:textId="05D6CD38" w:rsidR="00725A58" w:rsidRDefault="007E1E23" w:rsidP="00725A58">
      <w:pPr>
        <w:pStyle w:val="Paragrafoelenco"/>
        <w:spacing w:before="60" w:after="60"/>
        <w:ind w:left="0"/>
        <w:rPr>
          <w:rFonts w:ascii="Titillium" w:hAnsi="Titillium" w:cs="Calibri"/>
          <w:sz w:val="18"/>
          <w:szCs w:val="18"/>
        </w:rPr>
      </w:pPr>
      <w:r w:rsidRPr="007E1E23">
        <w:rPr>
          <w:rFonts w:ascii="Titillium" w:hAnsi="Titillium" w:cs="Calibri"/>
          <w:b/>
          <w:iCs/>
          <w:sz w:val="18"/>
          <w:szCs w:val="18"/>
        </w:rPr>
        <w:t>[</w:t>
      </w:r>
      <w:r w:rsidR="00725A58" w:rsidRPr="00C75708">
        <w:rPr>
          <w:rFonts w:ascii="Titillium" w:hAnsi="Titillium" w:cs="Calibri"/>
          <w:b/>
          <w:i/>
          <w:sz w:val="18"/>
          <w:szCs w:val="18"/>
        </w:rPr>
        <w:t>Facoltativo</w:t>
      </w:r>
      <w:r w:rsidR="00725A58" w:rsidRPr="007E1E23">
        <w:rPr>
          <w:rFonts w:ascii="Titillium" w:hAnsi="Titillium" w:cs="Calibri"/>
          <w:b/>
          <w:iCs/>
          <w:sz w:val="18"/>
          <w:szCs w:val="18"/>
        </w:rPr>
        <w:t>]</w:t>
      </w:r>
      <w:r w:rsidR="00725A58">
        <w:rPr>
          <w:rFonts w:ascii="Titillium" w:hAnsi="Titillium" w:cs="Calibri"/>
          <w:sz w:val="18"/>
          <w:szCs w:val="18"/>
        </w:rPr>
        <w:t xml:space="preserve"> Alla relazione possono essere allegati ……… per un massimo di …… in formato</w:t>
      </w:r>
      <w:r w:rsidR="00652625">
        <w:rPr>
          <w:rFonts w:ascii="Titillium" w:hAnsi="Titillium" w:cs="Calibri"/>
          <w:sz w:val="18"/>
          <w:szCs w:val="18"/>
        </w:rPr>
        <w:t xml:space="preserve"> </w:t>
      </w:r>
      <w:r w:rsidR="00725A58">
        <w:rPr>
          <w:rFonts w:ascii="Titillium" w:hAnsi="Titillium" w:cs="Calibri"/>
          <w:sz w:val="18"/>
          <w:szCs w:val="18"/>
        </w:rPr>
        <w:t>…. [</w:t>
      </w:r>
      <w:r w:rsidR="00725A58">
        <w:rPr>
          <w:rFonts w:ascii="Titillium" w:hAnsi="Titillium" w:cs="Calibri"/>
          <w:i/>
          <w:sz w:val="18"/>
          <w:szCs w:val="18"/>
        </w:rPr>
        <w:t>dettagliare le caratteristiche e il formato dei documenti richiesti il formato richiesto</w:t>
      </w:r>
      <w:r w:rsidR="00725A58">
        <w:rPr>
          <w:rFonts w:ascii="Titillium" w:hAnsi="Titillium" w:cs="Calibri"/>
          <w:sz w:val="18"/>
          <w:szCs w:val="18"/>
        </w:rPr>
        <w:t>].</w:t>
      </w:r>
    </w:p>
    <w:p w14:paraId="4378E39E" w14:textId="77777777" w:rsidR="00725A58" w:rsidRDefault="00725A58" w:rsidP="00725A58">
      <w:pPr>
        <w:pStyle w:val="Paragrafoelenco"/>
        <w:spacing w:before="60" w:after="60"/>
        <w:ind w:left="0"/>
        <w:rPr>
          <w:rFonts w:ascii="Titillium" w:hAnsi="Titillium" w:cs="Calibri"/>
          <w:sz w:val="18"/>
          <w:szCs w:val="18"/>
        </w:rPr>
      </w:pPr>
      <w:r>
        <w:rPr>
          <w:rFonts w:ascii="Titillium" w:hAnsi="Titillium" w:cs="Calibri"/>
          <w:sz w:val="18"/>
          <w:szCs w:val="18"/>
        </w:rPr>
        <w:t>Non sono computati nel numero delle cartelle le copertine e gli eventuali sommari.</w:t>
      </w:r>
    </w:p>
    <w:p w14:paraId="0FC0F7F2" w14:textId="3310B496" w:rsidR="00725A58" w:rsidRDefault="00725A58" w:rsidP="00725A58">
      <w:pPr>
        <w:pStyle w:val="Paragrafoelenco"/>
        <w:spacing w:before="60" w:after="60"/>
        <w:ind w:left="0"/>
        <w:rPr>
          <w:rFonts w:ascii="Titillium" w:hAnsi="Titillium" w:cs="Calibri"/>
          <w:sz w:val="18"/>
          <w:szCs w:val="18"/>
        </w:rPr>
      </w:pPr>
      <w:r w:rsidRPr="007E1E23">
        <w:rPr>
          <w:rFonts w:ascii="Titillium" w:hAnsi="Titillium" w:cs="Calibri"/>
          <w:b/>
          <w:iCs/>
          <w:sz w:val="18"/>
          <w:szCs w:val="18"/>
        </w:rPr>
        <w:t>[</w:t>
      </w:r>
      <w:r w:rsidRPr="00C75708">
        <w:rPr>
          <w:rFonts w:ascii="Titillium" w:hAnsi="Titillium" w:cs="Calibri"/>
          <w:b/>
          <w:i/>
          <w:sz w:val="18"/>
          <w:szCs w:val="18"/>
        </w:rPr>
        <w:t>Eventuale</w:t>
      </w:r>
      <w:r w:rsidRPr="00C75708">
        <w:rPr>
          <w:rFonts w:ascii="Titillium" w:hAnsi="Titillium" w:cs="Calibri"/>
          <w:i/>
          <w:sz w:val="18"/>
          <w:szCs w:val="18"/>
        </w:rPr>
        <w:t xml:space="preserve">: </w:t>
      </w:r>
      <w:r w:rsidRPr="00C75708">
        <w:rPr>
          <w:rFonts w:ascii="Titillium" w:hAnsi="Titillium" w:cs="Calibri"/>
          <w:b/>
          <w:i/>
          <w:sz w:val="18"/>
          <w:szCs w:val="18"/>
        </w:rPr>
        <w:t>in caso di criteri premianti relativi ai CAM</w:t>
      </w:r>
      <w:r w:rsidRPr="007E1E23">
        <w:rPr>
          <w:rFonts w:ascii="Titillium" w:hAnsi="Titillium" w:cs="Calibri"/>
          <w:b/>
          <w:iCs/>
          <w:sz w:val="18"/>
          <w:szCs w:val="18"/>
        </w:rPr>
        <w:t>]</w:t>
      </w:r>
      <w:r>
        <w:rPr>
          <w:rFonts w:ascii="Titillium" w:hAnsi="Titillium" w:cs="Calibri"/>
          <w:sz w:val="18"/>
          <w:szCs w:val="18"/>
        </w:rPr>
        <w:t xml:space="preserve"> Con riferimento al criterio premiante relativo ai CAM di cui a…. (indicare il decreto ministeriale di riferimento] indicato al </w:t>
      </w:r>
      <w:r w:rsidR="00743BE0">
        <w:rPr>
          <w:rFonts w:ascii="Titillium" w:hAnsi="Titillium" w:cs="Calibri"/>
          <w:sz w:val="18"/>
          <w:szCs w:val="18"/>
        </w:rPr>
        <w:t>paragrafo</w:t>
      </w:r>
      <w:r>
        <w:rPr>
          <w:rFonts w:ascii="Titillium" w:hAnsi="Titillium" w:cs="Calibri"/>
          <w:sz w:val="18"/>
          <w:szCs w:val="18"/>
        </w:rPr>
        <w:t xml:space="preserve"> 18.</w:t>
      </w:r>
      <w:r w:rsidR="00F02BC8">
        <w:rPr>
          <w:rFonts w:ascii="Titillium" w:hAnsi="Titillium" w:cs="Calibri"/>
          <w:sz w:val="18"/>
          <w:szCs w:val="18"/>
        </w:rPr>
        <w:t>1</w:t>
      </w:r>
      <w:r>
        <w:rPr>
          <w:rFonts w:ascii="Titillium" w:hAnsi="Titillium" w:cs="Calibri"/>
          <w:sz w:val="18"/>
          <w:szCs w:val="18"/>
        </w:rPr>
        <w:t>:</w:t>
      </w:r>
    </w:p>
    <w:p w14:paraId="78F4C6B1" w14:textId="77777777" w:rsidR="00725A58" w:rsidRDefault="00725A58" w:rsidP="00725A58">
      <w:pPr>
        <w:pStyle w:val="Paragrafoelenco"/>
        <w:spacing w:before="60" w:after="60"/>
        <w:ind w:left="0"/>
        <w:rPr>
          <w:rFonts w:ascii="Titillium" w:hAnsi="Titillium" w:cs="Calibri"/>
          <w:sz w:val="18"/>
          <w:szCs w:val="18"/>
        </w:rPr>
      </w:pPr>
      <w:r>
        <w:rPr>
          <w:rFonts w:ascii="Cambria Math" w:hAnsi="Cambria Math" w:cs="Cambria Math"/>
          <w:sz w:val="18"/>
          <w:szCs w:val="18"/>
        </w:rPr>
        <w:t>‐</w:t>
      </w:r>
      <w:r>
        <w:rPr>
          <w:rFonts w:ascii="Titillium" w:hAnsi="Titillium" w:cs="Calibri"/>
          <w:sz w:val="18"/>
          <w:szCs w:val="18"/>
        </w:rPr>
        <w:t xml:space="preserve"> …….</w:t>
      </w:r>
    </w:p>
    <w:p w14:paraId="617774F3" w14:textId="77777777" w:rsidR="00725A58" w:rsidRDefault="00725A58" w:rsidP="00725A58">
      <w:pPr>
        <w:pStyle w:val="Paragrafoelenco"/>
        <w:spacing w:before="60" w:after="60"/>
        <w:ind w:left="0"/>
        <w:rPr>
          <w:rFonts w:ascii="Titillium" w:hAnsi="Titillium" w:cs="Calibri"/>
          <w:sz w:val="18"/>
          <w:szCs w:val="18"/>
        </w:rPr>
      </w:pPr>
      <w:r>
        <w:rPr>
          <w:rFonts w:ascii="Cambria Math" w:hAnsi="Cambria Math" w:cs="Cambria Math"/>
          <w:sz w:val="18"/>
          <w:szCs w:val="18"/>
        </w:rPr>
        <w:t>‐</w:t>
      </w:r>
      <w:r>
        <w:rPr>
          <w:rFonts w:ascii="Titillium" w:hAnsi="Titillium" w:cs="Calibri"/>
          <w:sz w:val="18"/>
          <w:szCs w:val="18"/>
        </w:rPr>
        <w:t xml:space="preserve"> …….</w:t>
      </w:r>
    </w:p>
    <w:p w14:paraId="3ECE89D6" w14:textId="51471576" w:rsidR="00725A58" w:rsidRDefault="00725A58" w:rsidP="00725A58">
      <w:pPr>
        <w:pStyle w:val="Paragrafoelenco"/>
        <w:spacing w:before="60" w:after="60"/>
        <w:ind w:left="0"/>
        <w:rPr>
          <w:rFonts w:ascii="Titillium" w:hAnsi="Titillium" w:cs="Calibri"/>
          <w:sz w:val="18"/>
          <w:szCs w:val="18"/>
        </w:rPr>
      </w:pPr>
      <w:r>
        <w:rPr>
          <w:rFonts w:ascii="Titillium" w:hAnsi="Titillium" w:cs="Calibri"/>
          <w:sz w:val="18"/>
          <w:szCs w:val="18"/>
        </w:rPr>
        <w:t>[</w:t>
      </w:r>
      <w:r>
        <w:rPr>
          <w:rFonts w:ascii="Titillium" w:hAnsi="Titillium" w:cs="Calibri"/>
          <w:i/>
          <w:sz w:val="18"/>
          <w:szCs w:val="18"/>
        </w:rPr>
        <w:t xml:space="preserve">la stazione appaltante specifica gli elementi che il concorrente deve descrivere precisando, ove ritenuto necessario, anche il formato pagina/carattere/paragrafo/interlinea/margini </w:t>
      </w:r>
      <w:r w:rsidR="00570495">
        <w:rPr>
          <w:rFonts w:ascii="Titillium" w:hAnsi="Titillium" w:cs="Calibri"/>
          <w:i/>
          <w:sz w:val="18"/>
          <w:szCs w:val="18"/>
        </w:rPr>
        <w:t>ecc.</w:t>
      </w:r>
      <w:r>
        <w:rPr>
          <w:rFonts w:ascii="Titillium" w:hAnsi="Titillium" w:cs="Calibri"/>
          <w:sz w:val="18"/>
          <w:szCs w:val="18"/>
        </w:rPr>
        <w:t>].</w:t>
      </w:r>
    </w:p>
    <w:p w14:paraId="711D6DC8" w14:textId="4C38DB12" w:rsidR="006842EE" w:rsidRPr="00AF5019" w:rsidRDefault="008F2625" w:rsidP="00323913">
      <w:pPr>
        <w:pStyle w:val="Paragrafoelenco"/>
        <w:spacing w:before="60" w:after="60"/>
        <w:ind w:left="0"/>
        <w:rPr>
          <w:rFonts w:ascii="Titillium" w:hAnsi="Titillium" w:cs="Calibri"/>
          <w:color w:val="000000" w:themeColor="text1"/>
          <w:sz w:val="18"/>
          <w:szCs w:val="18"/>
        </w:rPr>
      </w:pPr>
      <w:r w:rsidRPr="00E22DF6">
        <w:rPr>
          <w:rFonts w:ascii="Titillium" w:hAnsi="Titillium" w:cs="Calibri"/>
          <w:b/>
          <w:color w:val="000000" w:themeColor="text1"/>
          <w:sz w:val="18"/>
          <w:szCs w:val="18"/>
        </w:rPr>
        <w:t>[</w:t>
      </w:r>
      <w:r w:rsidR="008D3D6D" w:rsidRPr="00C75708">
        <w:rPr>
          <w:rFonts w:ascii="Titillium" w:hAnsi="Titillium" w:cs="Calibri"/>
          <w:b/>
          <w:i/>
          <w:iCs/>
          <w:color w:val="000000" w:themeColor="text1"/>
          <w:sz w:val="18"/>
          <w:szCs w:val="18"/>
        </w:rPr>
        <w:t>S</w:t>
      </w:r>
      <w:r w:rsidRPr="00C75708">
        <w:rPr>
          <w:rFonts w:ascii="Titillium" w:hAnsi="Titillium" w:cs="Calibri"/>
          <w:b/>
          <w:i/>
          <w:iCs/>
          <w:color w:val="000000" w:themeColor="text1"/>
          <w:sz w:val="18"/>
          <w:szCs w:val="18"/>
        </w:rPr>
        <w:t xml:space="preserve">e richiesto l’uso </w:t>
      </w:r>
      <w:r w:rsidR="008C7FE3" w:rsidRPr="00C75708">
        <w:rPr>
          <w:rFonts w:ascii="Titillium" w:hAnsi="Titillium" w:cs="Calibri"/>
          <w:b/>
          <w:i/>
          <w:iCs/>
          <w:color w:val="000000" w:themeColor="text1"/>
          <w:sz w:val="18"/>
          <w:szCs w:val="18"/>
        </w:rPr>
        <w:t>dei metodi e strumenti di gestione informativa digitale delle costruzioni</w:t>
      </w:r>
      <w:r w:rsidR="005274B9" w:rsidRPr="00E22DF6">
        <w:rPr>
          <w:rFonts w:ascii="Titillium" w:hAnsi="Titillium" w:cs="Calibri"/>
          <w:b/>
          <w:color w:val="000000" w:themeColor="text1"/>
          <w:sz w:val="18"/>
          <w:szCs w:val="18"/>
        </w:rPr>
        <w:t>]</w:t>
      </w:r>
      <w:r w:rsidRPr="00AF5019">
        <w:rPr>
          <w:rFonts w:ascii="Titillium" w:hAnsi="Titillium" w:cs="Calibri"/>
          <w:b/>
          <w:i/>
          <w:color w:val="000000" w:themeColor="text1"/>
          <w:sz w:val="18"/>
          <w:szCs w:val="18"/>
        </w:rPr>
        <w:t xml:space="preserve"> </w:t>
      </w:r>
      <w:r w:rsidRPr="00204A20">
        <w:rPr>
          <w:rFonts w:ascii="Titillium" w:hAnsi="Titillium" w:cs="Calibri"/>
          <w:color w:val="000000" w:themeColor="text1"/>
          <w:sz w:val="18"/>
          <w:szCs w:val="18"/>
        </w:rPr>
        <w:t>Offerta di gestione informativa</w:t>
      </w:r>
      <w:r w:rsidR="008C7FE3" w:rsidRPr="00204A20">
        <w:rPr>
          <w:rFonts w:ascii="Titillium" w:hAnsi="Titillium" w:cs="Calibri"/>
          <w:color w:val="000000" w:themeColor="text1"/>
          <w:sz w:val="18"/>
          <w:szCs w:val="18"/>
        </w:rPr>
        <w:t xml:space="preserve"> digitale</w:t>
      </w:r>
      <w:r w:rsidRPr="00204A20">
        <w:rPr>
          <w:rFonts w:ascii="Titillium" w:hAnsi="Titillium" w:cs="Calibri"/>
          <w:color w:val="000000" w:themeColor="text1"/>
          <w:sz w:val="18"/>
          <w:szCs w:val="18"/>
        </w:rPr>
        <w:t xml:space="preserve"> </w:t>
      </w:r>
      <w:bookmarkStart w:id="1752" w:name="_Hlk209084108"/>
      <w:r w:rsidRPr="00204A20">
        <w:rPr>
          <w:rFonts w:ascii="Titillium" w:hAnsi="Titillium" w:cs="Calibri"/>
          <w:color w:val="000000" w:themeColor="text1"/>
          <w:sz w:val="18"/>
          <w:szCs w:val="18"/>
        </w:rPr>
        <w:t xml:space="preserve">contenente l’esplicitazione degli elementi richiesti nel capitolato </w:t>
      </w:r>
      <w:r w:rsidR="0016108E" w:rsidRPr="00204A20">
        <w:rPr>
          <w:rFonts w:ascii="Titillium" w:hAnsi="Titillium" w:cs="Calibri"/>
          <w:color w:val="000000" w:themeColor="text1"/>
          <w:sz w:val="18"/>
          <w:szCs w:val="18"/>
        </w:rPr>
        <w:t>informativo, in</w:t>
      </w:r>
      <w:r w:rsidRPr="00204A20">
        <w:rPr>
          <w:rFonts w:ascii="Titillium" w:hAnsi="Titillium" w:cs="Calibri"/>
          <w:color w:val="000000" w:themeColor="text1"/>
          <w:sz w:val="18"/>
          <w:szCs w:val="18"/>
        </w:rPr>
        <w:t xml:space="preserve"> particolare</w:t>
      </w:r>
      <w:r w:rsidR="0016108E" w:rsidRPr="00204A20">
        <w:rPr>
          <w:rFonts w:ascii="Titillium" w:hAnsi="Titillium" w:cs="Calibri"/>
          <w:color w:val="000000" w:themeColor="text1"/>
          <w:sz w:val="18"/>
          <w:szCs w:val="18"/>
        </w:rPr>
        <w:t xml:space="preserve"> …</w:t>
      </w:r>
      <w:r w:rsidR="0016108E">
        <w:rPr>
          <w:rFonts w:ascii="Titillium" w:hAnsi="Titillium" w:cs="Calibri"/>
          <w:color w:val="000000" w:themeColor="text1"/>
          <w:sz w:val="18"/>
          <w:szCs w:val="18"/>
        </w:rPr>
        <w:t xml:space="preserve"> </w:t>
      </w:r>
      <w:r w:rsidRPr="00D3165C">
        <w:rPr>
          <w:rFonts w:ascii="Titillium" w:hAnsi="Titillium" w:cs="Calibri"/>
          <w:i/>
          <w:iCs/>
          <w:color w:val="000000" w:themeColor="text1"/>
          <w:sz w:val="18"/>
          <w:szCs w:val="18"/>
        </w:rPr>
        <w:t>[</w:t>
      </w:r>
      <w:r w:rsidR="00D3165C" w:rsidRPr="00D3165C">
        <w:rPr>
          <w:rFonts w:ascii="Titillium" w:hAnsi="Titillium" w:cs="Calibri"/>
          <w:i/>
          <w:iCs/>
          <w:color w:val="000000" w:themeColor="text1"/>
          <w:sz w:val="18"/>
          <w:szCs w:val="18"/>
        </w:rPr>
        <w:t>specificare</w:t>
      </w:r>
      <w:r w:rsidR="00D3165C">
        <w:rPr>
          <w:rFonts w:ascii="Titillium" w:hAnsi="Titillium" w:cs="Calibri"/>
          <w:i/>
          <w:iCs/>
          <w:color w:val="000000" w:themeColor="text1"/>
          <w:sz w:val="18"/>
          <w:szCs w:val="18"/>
        </w:rPr>
        <w:t xml:space="preserve"> </w:t>
      </w:r>
      <w:r w:rsidRPr="00D3165C">
        <w:rPr>
          <w:rFonts w:ascii="Titillium" w:hAnsi="Titillium" w:cs="Calibri"/>
          <w:i/>
          <w:iCs/>
          <w:color w:val="000000" w:themeColor="text1"/>
          <w:sz w:val="18"/>
          <w:szCs w:val="18"/>
        </w:rPr>
        <w:t>gli</w:t>
      </w:r>
      <w:r w:rsidRPr="00AF5019">
        <w:rPr>
          <w:rFonts w:ascii="Titillium" w:hAnsi="Titillium" w:cs="Calibri"/>
          <w:i/>
          <w:color w:val="000000" w:themeColor="text1"/>
          <w:sz w:val="18"/>
          <w:szCs w:val="18"/>
        </w:rPr>
        <w:t xml:space="preserve"> elementi che il concorrente deve descrivere ai fini della valutazione dell’offerta di gestione informativa adattando alle proprie specifiche esigenze gli elementi da indicare. </w:t>
      </w:r>
      <w:r w:rsidR="00D3165C">
        <w:rPr>
          <w:rFonts w:ascii="Titillium" w:hAnsi="Titillium" w:cs="Calibri"/>
          <w:i/>
          <w:color w:val="000000" w:themeColor="text1"/>
          <w:sz w:val="18"/>
          <w:szCs w:val="18"/>
        </w:rPr>
        <w:t>Ove</w:t>
      </w:r>
      <w:r w:rsidRPr="00AF5019">
        <w:rPr>
          <w:rFonts w:ascii="Titillium" w:hAnsi="Titillium" w:cs="Calibri"/>
          <w:i/>
          <w:color w:val="000000" w:themeColor="text1"/>
          <w:sz w:val="18"/>
          <w:szCs w:val="18"/>
        </w:rPr>
        <w:t xml:space="preserve"> ritenuto necessario, specifica</w:t>
      </w:r>
      <w:r w:rsidR="00D3165C">
        <w:rPr>
          <w:rFonts w:ascii="Titillium" w:hAnsi="Titillium" w:cs="Calibri"/>
          <w:i/>
          <w:color w:val="000000" w:themeColor="text1"/>
          <w:sz w:val="18"/>
          <w:szCs w:val="18"/>
        </w:rPr>
        <w:t>re</w:t>
      </w:r>
      <w:r w:rsidRPr="00AF5019">
        <w:rPr>
          <w:rFonts w:ascii="Titillium" w:hAnsi="Titillium" w:cs="Calibri"/>
          <w:i/>
          <w:color w:val="000000" w:themeColor="text1"/>
          <w:sz w:val="18"/>
          <w:szCs w:val="18"/>
        </w:rPr>
        <w:t xml:space="preserve"> inoltre quali professionalità del gruppo di lavoro saranno oggetto di valutazione</w:t>
      </w:r>
      <w:bookmarkEnd w:id="1752"/>
      <w:r w:rsidRPr="00AF5019">
        <w:rPr>
          <w:rFonts w:ascii="Titillium" w:hAnsi="Titillium" w:cs="Calibri"/>
          <w:color w:val="000000" w:themeColor="text1"/>
          <w:sz w:val="18"/>
          <w:szCs w:val="18"/>
        </w:rPr>
        <w:t>]</w:t>
      </w:r>
    </w:p>
    <w:p w14:paraId="110982F3" w14:textId="77777777" w:rsidR="006842EE" w:rsidRPr="00AF5019" w:rsidRDefault="008F2625" w:rsidP="00323913">
      <w:pPr>
        <w:pStyle w:val="Paragrafoelenco"/>
        <w:spacing w:before="60" w:after="60"/>
        <w:ind w:left="0"/>
        <w:rPr>
          <w:rFonts w:ascii="Titillium" w:hAnsi="Titillium" w:cs="Calibri"/>
          <w:color w:val="000000" w:themeColor="text1"/>
          <w:sz w:val="18"/>
          <w:szCs w:val="18"/>
        </w:rPr>
      </w:pPr>
      <w:r w:rsidRPr="00AF5019">
        <w:rPr>
          <w:rFonts w:ascii="Titillium" w:hAnsi="Titillium" w:cs="Calibri"/>
          <w:color w:val="000000" w:themeColor="text1"/>
          <w:sz w:val="18"/>
          <w:szCs w:val="18"/>
        </w:rPr>
        <w:t>La relazione descrittiva deve essere composta da massimo n. …. cartelle in formato ……. [</w:t>
      </w:r>
      <w:r w:rsidRPr="00AF5019">
        <w:rPr>
          <w:rFonts w:ascii="Titillium" w:hAnsi="Titillium" w:cs="Calibri"/>
          <w:i/>
          <w:color w:val="000000" w:themeColor="text1"/>
          <w:sz w:val="18"/>
          <w:szCs w:val="18"/>
        </w:rPr>
        <w:t>dettagliare il formato di pagina/carattere/paragrafo/interlinea/margini ecc</w:t>
      </w:r>
      <w:r w:rsidRPr="00AF5019">
        <w:rPr>
          <w:rFonts w:ascii="Titillium" w:hAnsi="Titillium" w:cs="Calibri"/>
          <w:color w:val="000000" w:themeColor="text1"/>
          <w:sz w:val="18"/>
          <w:szCs w:val="18"/>
        </w:rPr>
        <w:t>.]</w:t>
      </w:r>
    </w:p>
    <w:p w14:paraId="11EFA068" w14:textId="6ACDB010" w:rsidR="006842EE" w:rsidRDefault="008F2625" w:rsidP="00323913">
      <w:pPr>
        <w:pStyle w:val="Paragrafoelenco"/>
        <w:spacing w:before="60" w:after="60"/>
        <w:ind w:left="0"/>
        <w:rPr>
          <w:rFonts w:ascii="Titillium" w:hAnsi="Titillium" w:cs="Calibri"/>
          <w:sz w:val="18"/>
          <w:szCs w:val="18"/>
        </w:rPr>
      </w:pPr>
      <w:r>
        <w:rPr>
          <w:rFonts w:ascii="Titillium" w:hAnsi="Titillium" w:cs="Calibri"/>
          <w:sz w:val="18"/>
          <w:szCs w:val="18"/>
        </w:rPr>
        <w:t>Ai sensi degli articoli 34 e seguenti dell’</w:t>
      </w:r>
      <w:r w:rsidR="000C37F8">
        <w:rPr>
          <w:rFonts w:ascii="Titillium" w:hAnsi="Titillium" w:cs="Calibri"/>
          <w:sz w:val="18"/>
          <w:szCs w:val="18"/>
        </w:rPr>
        <w:t>A</w:t>
      </w:r>
      <w:r>
        <w:rPr>
          <w:rFonts w:ascii="Titillium" w:hAnsi="Titillium" w:cs="Calibri"/>
          <w:sz w:val="18"/>
          <w:szCs w:val="18"/>
        </w:rPr>
        <w:t>llegato II.12</w:t>
      </w:r>
      <w:r w:rsidR="00EC48E6">
        <w:rPr>
          <w:rFonts w:ascii="Titillium" w:hAnsi="Titillium" w:cs="Calibri"/>
          <w:sz w:val="18"/>
          <w:szCs w:val="18"/>
        </w:rPr>
        <w:t xml:space="preserve"> del Codice</w:t>
      </w:r>
      <w:r>
        <w:rPr>
          <w:rFonts w:ascii="Titillium" w:hAnsi="Titillium" w:cs="Calibri"/>
          <w:sz w:val="18"/>
          <w:szCs w:val="18"/>
        </w:rPr>
        <w:t xml:space="preserve">, l’incarico è espletato da professionisti iscritti negli appositi Albi, personalmente responsabili e nominativamente indicati nell’offerta, con la specificazione delle rispettive qualificazioni professionali; </w:t>
      </w:r>
      <w:r w:rsidRPr="00E6502D">
        <w:rPr>
          <w:rFonts w:ascii="Titillium" w:hAnsi="Titillium" w:cs="Calibri"/>
          <w:i/>
          <w:iCs/>
          <w:sz w:val="18"/>
          <w:szCs w:val="18"/>
        </w:rPr>
        <w:t>[</w:t>
      </w:r>
      <w:r w:rsidRPr="00E6502D">
        <w:rPr>
          <w:rFonts w:ascii="Titillium" w:hAnsi="Titillium" w:cs="Calibri"/>
          <w:b/>
          <w:i/>
          <w:iCs/>
          <w:sz w:val="18"/>
          <w:szCs w:val="18"/>
        </w:rPr>
        <w:t>Se previsto</w:t>
      </w:r>
      <w:r w:rsidRPr="00E6502D">
        <w:rPr>
          <w:rFonts w:ascii="Titillium" w:hAnsi="Titillium" w:cs="Calibri"/>
          <w:i/>
          <w:iCs/>
          <w:sz w:val="18"/>
          <w:szCs w:val="18"/>
        </w:rPr>
        <w:t>]</w:t>
      </w:r>
      <w:r>
        <w:rPr>
          <w:rFonts w:ascii="Titillium" w:hAnsi="Titillium" w:cs="Calibri"/>
          <w:sz w:val="18"/>
          <w:szCs w:val="18"/>
        </w:rPr>
        <w:t xml:space="preserve"> il concorrente indica il nominativo della persona fisica incaricata dell’integrazione tra le prestazioni specialistiche;</w:t>
      </w:r>
    </w:p>
    <w:p w14:paraId="30E97DA4" w14:textId="77777777" w:rsidR="006842EE" w:rsidRDefault="008F2625" w:rsidP="00323913">
      <w:pPr>
        <w:pStyle w:val="Paragrafoelenco"/>
        <w:spacing w:before="60" w:after="60"/>
        <w:ind w:left="0"/>
        <w:rPr>
          <w:rFonts w:ascii="Titillium" w:hAnsi="Titillium" w:cs="Calibri"/>
          <w:sz w:val="18"/>
          <w:szCs w:val="18"/>
        </w:rPr>
      </w:pPr>
      <w:r>
        <w:rPr>
          <w:rFonts w:ascii="Titillium" w:hAnsi="Titillium" w:cs="Calibri"/>
          <w:sz w:val="18"/>
          <w:szCs w:val="18"/>
        </w:rPr>
        <w:t>È ammessa la coincidenza nello stesso soggetto di una o più delle figure professionali sopra indicate.</w:t>
      </w:r>
    </w:p>
    <w:p w14:paraId="0885B77A" w14:textId="77777777" w:rsidR="006842EE" w:rsidRDefault="008F2625" w:rsidP="00323913">
      <w:pPr>
        <w:pStyle w:val="Paragrafoelenco"/>
        <w:spacing w:before="60" w:after="60"/>
        <w:ind w:left="0"/>
        <w:rPr>
          <w:rFonts w:ascii="Titillium" w:hAnsi="Titillium" w:cs="Calibri"/>
          <w:sz w:val="18"/>
          <w:szCs w:val="18"/>
        </w:rPr>
      </w:pPr>
      <w:r>
        <w:rPr>
          <w:rFonts w:ascii="Titillium" w:hAnsi="Titillium" w:cs="Calibri"/>
          <w:sz w:val="18"/>
          <w:szCs w:val="18"/>
        </w:rPr>
        <w:t>È possibile indicare uno stesso soggetto quale responsabile contemporaneamente di più prestazioni specialistiche, così come è possibile indicare, per una stessa prestazione specialistica, più soggetti responsabili.</w:t>
      </w:r>
    </w:p>
    <w:p w14:paraId="0CDC6DF5" w14:textId="77777777" w:rsidR="006842EE" w:rsidRDefault="008F2625" w:rsidP="00323913">
      <w:pPr>
        <w:pStyle w:val="Paragrafoelenco"/>
        <w:spacing w:before="60" w:after="60"/>
        <w:ind w:left="0"/>
        <w:rPr>
          <w:rFonts w:ascii="Titillium" w:hAnsi="Titillium" w:cs="Calibri"/>
          <w:sz w:val="18"/>
          <w:szCs w:val="18"/>
        </w:rPr>
      </w:pPr>
      <w:r>
        <w:rPr>
          <w:rFonts w:ascii="Titillium" w:hAnsi="Titillium" w:cs="Calibri"/>
          <w:sz w:val="18"/>
          <w:szCs w:val="18"/>
        </w:rPr>
        <w:t>L’offerta tecnica deve rispettare le caratteristiche minime stabilite nella documentazione tecnica, pena l’esclusione dalla procedura di gara.</w:t>
      </w:r>
    </w:p>
    <w:p w14:paraId="7C619FF2" w14:textId="749E760E" w:rsidR="006842EE" w:rsidRDefault="008F2625" w:rsidP="00323913">
      <w:pPr>
        <w:pStyle w:val="Paragrafoelenco"/>
        <w:spacing w:before="60" w:after="60"/>
        <w:ind w:left="0"/>
        <w:rPr>
          <w:rFonts w:ascii="Titillium" w:hAnsi="Titillium" w:cs="Calibri"/>
          <w:sz w:val="18"/>
          <w:szCs w:val="18"/>
        </w:rPr>
      </w:pPr>
      <w:r>
        <w:rPr>
          <w:rFonts w:ascii="Titillium" w:hAnsi="Titillium" w:cs="Calibri"/>
          <w:sz w:val="18"/>
          <w:szCs w:val="18"/>
        </w:rPr>
        <w:t>L’offerta tecnica dovrà essere sottoscritta, con le modalità indicate per la sottoscrizione della domanda di cui al p</w:t>
      </w:r>
      <w:r w:rsidR="00C761EB">
        <w:rPr>
          <w:rFonts w:ascii="Titillium" w:hAnsi="Titillium" w:cs="Calibri"/>
          <w:sz w:val="18"/>
          <w:szCs w:val="18"/>
        </w:rPr>
        <w:t>aragrafo</w:t>
      </w:r>
      <w:r>
        <w:rPr>
          <w:rFonts w:ascii="Titillium" w:hAnsi="Titillium" w:cs="Calibri"/>
          <w:sz w:val="18"/>
          <w:szCs w:val="18"/>
        </w:rPr>
        <w:t xml:space="preserve"> 15.1.</w:t>
      </w:r>
    </w:p>
    <w:p w14:paraId="468232AA" w14:textId="48F829EC" w:rsidR="006842EE" w:rsidRDefault="008F2625" w:rsidP="00323913">
      <w:pPr>
        <w:pStyle w:val="Paragrafoelenco"/>
        <w:spacing w:before="60" w:after="60"/>
        <w:ind w:left="0"/>
        <w:rPr>
          <w:rFonts w:ascii="Titillium" w:hAnsi="Titillium" w:cs="Calibri"/>
          <w:sz w:val="18"/>
          <w:szCs w:val="18"/>
        </w:rPr>
      </w:pPr>
      <w:r w:rsidRPr="00E6502D">
        <w:rPr>
          <w:rFonts w:ascii="Titillium" w:hAnsi="Titillium" w:cs="Calibri"/>
          <w:b/>
          <w:iCs/>
          <w:sz w:val="18"/>
          <w:szCs w:val="18"/>
        </w:rPr>
        <w:t>[</w:t>
      </w:r>
      <w:bookmarkStart w:id="1753" w:name="_Hlk202271390"/>
      <w:r w:rsidRPr="00C75708">
        <w:rPr>
          <w:rFonts w:ascii="Titillium" w:hAnsi="Titillium" w:cs="Calibri"/>
          <w:b/>
          <w:i/>
          <w:color w:val="000000" w:themeColor="text1"/>
          <w:sz w:val="18"/>
          <w:szCs w:val="18"/>
        </w:rPr>
        <w:t>Per le procedure di gara afferenti agli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decreto legge 31 maggio 2021, n. 77, convertito, con modificazioni, dalla legge 29 luglio 2021, n. 108, nel caso in cui la stazione appaltante scelga di richiedere la presentazione di tale dichiarazione nell’Offerta tecnica, anziché nella Domanda di partecipazione</w:t>
      </w:r>
      <w:r w:rsidRPr="00D3165C">
        <w:rPr>
          <w:rFonts w:ascii="Titillium" w:hAnsi="Titillium" w:cs="Calibri"/>
          <w:b/>
          <w:iCs/>
          <w:color w:val="000000" w:themeColor="text1"/>
          <w:sz w:val="18"/>
          <w:szCs w:val="18"/>
        </w:rPr>
        <w:t>]</w:t>
      </w:r>
      <w:r w:rsidRPr="00AF5019">
        <w:rPr>
          <w:rFonts w:ascii="Titillium" w:hAnsi="Titillium" w:cs="Calibri"/>
          <w:b/>
          <w:i/>
          <w:color w:val="000000" w:themeColor="text1"/>
          <w:sz w:val="18"/>
          <w:szCs w:val="18"/>
        </w:rPr>
        <w:t xml:space="preserve"> </w:t>
      </w:r>
      <w:bookmarkEnd w:id="1753"/>
      <w:r>
        <w:rPr>
          <w:rFonts w:ascii="Titillium" w:hAnsi="Titillium" w:cs="Calibri"/>
          <w:sz w:val="18"/>
          <w:szCs w:val="18"/>
        </w:rPr>
        <w:t>L’operatore economico dichiara di assumersi l’obbligo, in caso di aggiudicazione del contratto, di assicurare all’occupazione giovanile una quota di …. % [</w:t>
      </w:r>
      <w:r w:rsidRPr="00C75708">
        <w:rPr>
          <w:rFonts w:ascii="Titillium" w:hAnsi="Titillium" w:cs="Calibri"/>
          <w:i/>
          <w:iCs/>
          <w:sz w:val="18"/>
          <w:szCs w:val="18"/>
        </w:rPr>
        <w:t>indicare la quota pari o superiore al 30% indicata dalla stazione appaltante ovvero quella inferiore in caso di deroga, ai sensi dell’articolo 47, comma 7, decreto</w:t>
      </w:r>
      <w:r w:rsidR="00C75708" w:rsidRPr="00C75708">
        <w:rPr>
          <w:rFonts w:ascii="Titillium" w:hAnsi="Titillium" w:cs="Calibri"/>
          <w:i/>
          <w:iCs/>
          <w:sz w:val="18"/>
          <w:szCs w:val="18"/>
        </w:rPr>
        <w:t>-</w:t>
      </w:r>
      <w:r w:rsidRPr="00C75708">
        <w:rPr>
          <w:rFonts w:ascii="Titillium" w:hAnsi="Titillium" w:cs="Calibri"/>
          <w:i/>
          <w:iCs/>
          <w:sz w:val="18"/>
          <w:szCs w:val="18"/>
        </w:rPr>
        <w:t>legge n. 77/2021] e a quella femminile una quota di …. % [indicare la quota pari o superiore al 30% indicata dalla stazione appaltante ovvero quella inferiore in caso di deroga, ai sensi dell’articolo 47, comma 7, decreto</w:t>
      </w:r>
      <w:r w:rsidR="00C75708" w:rsidRPr="00C75708">
        <w:rPr>
          <w:rFonts w:ascii="Titillium" w:hAnsi="Titillium" w:cs="Calibri"/>
          <w:i/>
          <w:iCs/>
          <w:sz w:val="18"/>
          <w:szCs w:val="18"/>
        </w:rPr>
        <w:t>-</w:t>
      </w:r>
      <w:r w:rsidRPr="00C75708">
        <w:rPr>
          <w:rFonts w:ascii="Titillium" w:hAnsi="Titillium" w:cs="Calibri"/>
          <w:i/>
          <w:iCs/>
          <w:sz w:val="18"/>
          <w:szCs w:val="18"/>
        </w:rPr>
        <w:t>legge n. 77/2021</w:t>
      </w:r>
      <w:r>
        <w:rPr>
          <w:rFonts w:ascii="Titillium" w:hAnsi="Titillium" w:cs="Calibri"/>
          <w:sz w:val="18"/>
          <w:szCs w:val="18"/>
        </w:rPr>
        <w:t xml:space="preserve">] delle assunzioni necessarie per l'esecuzione del contratto o per la realizzazione di attività ad esso connesse o strumentali. </w:t>
      </w:r>
    </w:p>
    <w:p w14:paraId="6DC62DF4" w14:textId="74A6EC06" w:rsidR="0032615A" w:rsidRPr="0032615A" w:rsidRDefault="0032615A" w:rsidP="00323913">
      <w:pPr>
        <w:pStyle w:val="Paragrafoelenco"/>
        <w:spacing w:before="60" w:after="60"/>
        <w:ind w:left="0"/>
        <w:rPr>
          <w:rFonts w:ascii="Titillium" w:hAnsi="Titillium" w:cs="Calibri"/>
          <w:sz w:val="18"/>
          <w:szCs w:val="18"/>
        </w:rPr>
      </w:pPr>
      <w:r w:rsidRPr="008C7FE3">
        <w:rPr>
          <w:rFonts w:ascii="Titillium" w:hAnsi="Titillium" w:cs="Calibri"/>
          <w:sz w:val="18"/>
          <w:szCs w:val="18"/>
        </w:rPr>
        <w:t>L’operatore economico che intende avanzare richiesta di oscuramento di parte dell’offerta tecnica allega, oltre all’offerta in chiaro, una versione della stessa con oscuramento delle parti che ritiene riservate in quanto costituenti segreti tecnici o commerciali, anche risultanti da scoperte, innovazioni, progetti tutelati da titoli di proprietà industriale, nonché di contenuto altamente tecnologico, unitamente a una dichiarazione firmata contenente le ragioni della richiesta.</w:t>
      </w:r>
      <w:r w:rsidRPr="0032615A">
        <w:rPr>
          <w:rFonts w:ascii="Titillium" w:hAnsi="Titillium" w:cs="Calibri"/>
          <w:sz w:val="18"/>
          <w:szCs w:val="18"/>
        </w:rPr>
        <w:t xml:space="preserve">  </w:t>
      </w:r>
    </w:p>
    <w:p w14:paraId="736252C8" w14:textId="2EC9C467" w:rsidR="006842EE" w:rsidRPr="00C75395" w:rsidRDefault="008F2625" w:rsidP="00D26F03">
      <w:pPr>
        <w:pStyle w:val="Titolo2"/>
        <w:numPr>
          <w:ilvl w:val="0"/>
          <w:numId w:val="55"/>
        </w:numPr>
        <w:ind w:left="357" w:hanging="357"/>
        <w:rPr>
          <w:rFonts w:ascii="Titillium" w:hAnsi="Titillium"/>
          <w:caps w:val="0"/>
          <w:sz w:val="18"/>
          <w:szCs w:val="18"/>
        </w:rPr>
      </w:pPr>
      <w:bookmarkStart w:id="1754" w:name="_Toc227921646"/>
      <w:r w:rsidRPr="00A36142">
        <w:rPr>
          <w:rFonts w:ascii="Titillium" w:hAnsi="Titillium"/>
          <w:caps w:val="0"/>
          <w:sz w:val="18"/>
          <w:szCs w:val="18"/>
        </w:rPr>
        <w:t>OFFERTA ECONOMICA</w:t>
      </w:r>
      <w:bookmarkEnd w:id="1754"/>
      <w:r w:rsidR="00DB4553" w:rsidRPr="00A36142">
        <w:rPr>
          <w:rFonts w:ascii="Titillium" w:hAnsi="Titillium"/>
          <w:caps w:val="0"/>
          <w:sz w:val="18"/>
          <w:szCs w:val="18"/>
        </w:rPr>
        <w:t xml:space="preserve"> </w:t>
      </w:r>
    </w:p>
    <w:p w14:paraId="6AD6E621" w14:textId="7A18484F" w:rsidR="006842EE" w:rsidRDefault="008F2625">
      <w:pPr>
        <w:spacing w:before="60" w:after="60"/>
        <w:ind w:hanging="11"/>
      </w:pPr>
      <w:bookmarkStart w:id="1755" w:name="_Toc483316490"/>
      <w:bookmarkStart w:id="1756" w:name="_Toc483316359"/>
      <w:bookmarkStart w:id="1757" w:name="_Toc483316227"/>
      <w:bookmarkStart w:id="1758" w:name="_Toc483316022"/>
      <w:bookmarkStart w:id="1759" w:name="_Toc483302401"/>
      <w:bookmarkStart w:id="1760" w:name="_Toc483233684"/>
      <w:bookmarkStart w:id="1761" w:name="_Toc482979724"/>
      <w:bookmarkStart w:id="1762" w:name="_Toc482979626"/>
      <w:bookmarkStart w:id="1763" w:name="_Toc482979528"/>
      <w:bookmarkStart w:id="1764" w:name="_Toc482979420"/>
      <w:bookmarkStart w:id="1765" w:name="_Toc482979311"/>
      <w:bookmarkStart w:id="1766" w:name="_Toc482979202"/>
      <w:bookmarkStart w:id="1767" w:name="_Toc482979091"/>
      <w:bookmarkStart w:id="1768" w:name="_Toc482978983"/>
      <w:bookmarkStart w:id="1769" w:name="_Toc482978874"/>
      <w:bookmarkStart w:id="1770" w:name="_Toc482959755"/>
      <w:bookmarkStart w:id="1771" w:name="_Toc482959645"/>
      <w:bookmarkStart w:id="1772" w:name="_Toc482959535"/>
      <w:bookmarkStart w:id="1773" w:name="_Toc482712747"/>
      <w:bookmarkStart w:id="1774" w:name="_Toc482641301"/>
      <w:bookmarkStart w:id="1775" w:name="_Toc482633124"/>
      <w:bookmarkStart w:id="1776" w:name="_Toc482352283"/>
      <w:bookmarkStart w:id="1777" w:name="_Toc482352193"/>
      <w:bookmarkStart w:id="1778" w:name="_Toc482352103"/>
      <w:bookmarkStart w:id="1779" w:name="_Toc482352013"/>
      <w:bookmarkStart w:id="1780" w:name="_Toc482102149"/>
      <w:bookmarkStart w:id="1781" w:name="_Toc482102055"/>
      <w:bookmarkStart w:id="1782" w:name="_Toc482101960"/>
      <w:bookmarkStart w:id="1783" w:name="_Toc482101865"/>
      <w:bookmarkStart w:id="1784" w:name="_Toc482101772"/>
      <w:bookmarkStart w:id="1785" w:name="_Toc482101597"/>
      <w:bookmarkStart w:id="1786" w:name="_Toc482101482"/>
      <w:bookmarkStart w:id="1787" w:name="_Toc482101345"/>
      <w:bookmarkStart w:id="1788" w:name="_Toc482100919"/>
      <w:bookmarkStart w:id="1789" w:name="_Toc482100762"/>
      <w:bookmarkStart w:id="1790" w:name="_Toc482099045"/>
      <w:bookmarkStart w:id="1791" w:name="_Toc482097943"/>
      <w:bookmarkStart w:id="1792" w:name="_Toc482097751"/>
      <w:bookmarkStart w:id="1793" w:name="_Toc482097662"/>
      <w:bookmarkStart w:id="1794" w:name="_Toc482097573"/>
      <w:bookmarkStart w:id="1795" w:name="_Toc482025749"/>
      <w:bookmarkStart w:id="1796" w:name="_Toc483401270"/>
      <w:bookmarkStart w:id="1797" w:name="_Toc483325793"/>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r>
        <w:rPr>
          <w:rFonts w:ascii="Titillium" w:hAnsi="Titillium" w:cs="Calibri"/>
          <w:sz w:val="18"/>
          <w:szCs w:val="18"/>
        </w:rPr>
        <w:t xml:space="preserve">L’operatore economico inserisce </w:t>
      </w:r>
      <w:r w:rsidRPr="00286FF4">
        <w:rPr>
          <w:rFonts w:ascii="Titillium" w:hAnsi="Titillium" w:cs="Calibri"/>
          <w:i/>
          <w:sz w:val="18"/>
          <w:szCs w:val="18"/>
        </w:rPr>
        <w:t>[in caso di gara a lotti inserire</w:t>
      </w:r>
      <w:r w:rsidR="00652625">
        <w:rPr>
          <w:rFonts w:ascii="Titillium" w:hAnsi="Titillium" w:cs="Calibri"/>
          <w:sz w:val="18"/>
          <w:szCs w:val="18"/>
        </w:rPr>
        <w:t>,</w:t>
      </w:r>
      <w:r>
        <w:rPr>
          <w:rFonts w:ascii="Titillium" w:hAnsi="Titillium" w:cs="Calibri"/>
          <w:sz w:val="18"/>
          <w:szCs w:val="18"/>
        </w:rPr>
        <w:t xml:space="preserve"> “</w:t>
      </w:r>
      <w:r w:rsidRPr="00C75708">
        <w:rPr>
          <w:rFonts w:ascii="Titillium" w:hAnsi="Titillium" w:cs="Calibri"/>
          <w:i/>
          <w:iCs/>
          <w:sz w:val="18"/>
          <w:szCs w:val="18"/>
        </w:rPr>
        <w:t>per ogni singolo lotto</w:t>
      </w:r>
      <w:r>
        <w:rPr>
          <w:rFonts w:ascii="Titillium" w:hAnsi="Titillium" w:cs="Calibri"/>
          <w:sz w:val="18"/>
          <w:szCs w:val="18"/>
        </w:rPr>
        <w:t>”</w:t>
      </w:r>
      <w:r>
        <w:rPr>
          <w:rFonts w:ascii="Titillium" w:hAnsi="Titillium" w:cs="Calibri"/>
          <w:iCs/>
          <w:sz w:val="18"/>
          <w:szCs w:val="18"/>
        </w:rPr>
        <w:t>]</w:t>
      </w:r>
      <w:r>
        <w:rPr>
          <w:rFonts w:ascii="Titillium" w:hAnsi="Titillium" w:cs="Calibri"/>
          <w:sz w:val="18"/>
          <w:szCs w:val="18"/>
        </w:rPr>
        <w:t xml:space="preserve"> la documentazione economica, nella</w:t>
      </w:r>
      <w:r w:rsidR="00EE42C6">
        <w:rPr>
          <w:rFonts w:ascii="Titillium" w:hAnsi="Titillium" w:cs="Calibri"/>
          <w:sz w:val="18"/>
          <w:szCs w:val="18"/>
        </w:rPr>
        <w:t xml:space="preserve"> </w:t>
      </w:r>
      <w:r w:rsidR="00323913" w:rsidRPr="008562AB">
        <w:rPr>
          <w:rFonts w:ascii="Titillium" w:hAnsi="Titillium" w:cs="Calibri"/>
          <w:color w:val="000000" w:themeColor="text1"/>
          <w:sz w:val="18"/>
          <w:szCs w:val="18"/>
        </w:rPr>
        <w:t>PAD</w:t>
      </w:r>
      <w:r w:rsidR="00323913" w:rsidRPr="00EE42C6">
        <w:rPr>
          <w:rFonts w:ascii="Titillium" w:hAnsi="Titillium" w:cs="Calibri"/>
          <w:color w:val="5B9BD5" w:themeColor="accent1"/>
          <w:sz w:val="18"/>
          <w:szCs w:val="18"/>
        </w:rPr>
        <w:t xml:space="preserve"> </w:t>
      </w:r>
      <w:r w:rsidR="00323913">
        <w:rPr>
          <w:rFonts w:ascii="Titillium" w:hAnsi="Titillium" w:cs="Calibri"/>
          <w:sz w:val="18"/>
          <w:szCs w:val="18"/>
        </w:rPr>
        <w:t>secondo</w:t>
      </w:r>
      <w:r>
        <w:rPr>
          <w:rFonts w:ascii="Titillium" w:hAnsi="Titillium" w:cs="Calibri"/>
          <w:sz w:val="18"/>
          <w:szCs w:val="18"/>
        </w:rPr>
        <w:t xml:space="preserve"> le seguenti modalità … [</w:t>
      </w:r>
      <w:r>
        <w:rPr>
          <w:rFonts w:ascii="Titillium" w:hAnsi="Titillium" w:cs="Calibri"/>
          <w:i/>
          <w:sz w:val="18"/>
          <w:szCs w:val="18"/>
        </w:rPr>
        <w:t>indicare le modalità].</w:t>
      </w:r>
      <w:r>
        <w:rPr>
          <w:rFonts w:ascii="Titillium" w:hAnsi="Titillium" w:cs="Calibri"/>
          <w:sz w:val="18"/>
          <w:szCs w:val="18"/>
        </w:rPr>
        <w:t xml:space="preserve"> L’offerta economica firmata secondo le modalità di cui al precedente </w:t>
      </w:r>
      <w:r w:rsidR="00BE42D5" w:rsidRPr="00723C6C">
        <w:rPr>
          <w:rFonts w:ascii="Titillium" w:hAnsi="Titillium" w:cs="Calibri"/>
          <w:sz w:val="18"/>
          <w:szCs w:val="18"/>
        </w:rPr>
        <w:t>paragrafo 13</w:t>
      </w:r>
      <w:r w:rsidRPr="00723C6C">
        <w:rPr>
          <w:rFonts w:ascii="Titillium" w:hAnsi="Titillium" w:cs="Calibri"/>
          <w:sz w:val="18"/>
          <w:szCs w:val="18"/>
        </w:rPr>
        <w:t>, deve</w:t>
      </w:r>
      <w:r w:rsidRPr="00BE42D5">
        <w:rPr>
          <w:rFonts w:ascii="Titillium" w:hAnsi="Titillium" w:cs="Calibri"/>
          <w:sz w:val="18"/>
          <w:szCs w:val="18"/>
        </w:rPr>
        <w:t xml:space="preserve"> i</w:t>
      </w:r>
      <w:r>
        <w:rPr>
          <w:rFonts w:ascii="Titillium" w:hAnsi="Titillium" w:cs="Calibri"/>
          <w:sz w:val="18"/>
          <w:szCs w:val="18"/>
        </w:rPr>
        <w:t>ndicare, a pena di esclusione, i seguenti elementi:</w:t>
      </w:r>
    </w:p>
    <w:p w14:paraId="51475F12" w14:textId="61267A2D" w:rsidR="006842EE" w:rsidRDefault="008F2625">
      <w:pPr>
        <w:numPr>
          <w:ilvl w:val="2"/>
          <w:numId w:val="2"/>
        </w:numPr>
        <w:spacing w:before="60" w:after="60"/>
        <w:ind w:left="284" w:hanging="284"/>
      </w:pPr>
      <w:r>
        <w:rPr>
          <w:rFonts w:ascii="Titillium" w:hAnsi="Titillium" w:cs="Arial"/>
          <w:i/>
          <w:sz w:val="18"/>
          <w:szCs w:val="18"/>
        </w:rPr>
        <w:t xml:space="preserve">….. </w:t>
      </w:r>
      <w:r w:rsidRPr="00E63DB5">
        <w:rPr>
          <w:rFonts w:ascii="Titillium" w:hAnsi="Titillium" w:cs="Arial"/>
          <w:i/>
          <w:sz w:val="18"/>
          <w:szCs w:val="18"/>
        </w:rPr>
        <w:t xml:space="preserve">[indicare le voci di costo su cui la stazione appaltante intende consentire il ribasso, ad esempio, spese </w:t>
      </w:r>
      <w:r w:rsidR="0016108E" w:rsidRPr="00E63DB5">
        <w:rPr>
          <w:rFonts w:ascii="Titillium" w:hAnsi="Titillium" w:cs="Arial"/>
          <w:i/>
          <w:sz w:val="18"/>
          <w:szCs w:val="18"/>
        </w:rPr>
        <w:t>generali</w:t>
      </w:r>
      <w:r w:rsidR="0016108E">
        <w:rPr>
          <w:rFonts w:ascii="Titillium" w:hAnsi="Titillium" w:cs="Arial"/>
          <w:i/>
          <w:sz w:val="18"/>
          <w:szCs w:val="18"/>
        </w:rPr>
        <w:t>,</w:t>
      </w:r>
      <w:r w:rsidRPr="00E63DB5">
        <w:rPr>
          <w:rFonts w:ascii="Titillium" w:hAnsi="Titillium" w:cs="Arial"/>
          <w:i/>
          <w:sz w:val="18"/>
          <w:szCs w:val="18"/>
        </w:rPr>
        <w:t xml:space="preserve"> altre spese</w:t>
      </w:r>
      <w:r w:rsidRPr="00E63DB5">
        <w:rPr>
          <w:rFonts w:ascii="Titillium" w:hAnsi="Titillium" w:cs="Arial"/>
          <w:i/>
          <w:strike/>
          <w:sz w:val="18"/>
          <w:szCs w:val="18"/>
        </w:rPr>
        <w:t xml:space="preserve"> </w:t>
      </w:r>
      <w:r w:rsidRPr="00E63DB5">
        <w:rPr>
          <w:rFonts w:ascii="Titillium" w:hAnsi="Titillium" w:cs="Arial"/>
          <w:i/>
          <w:sz w:val="18"/>
          <w:szCs w:val="18"/>
        </w:rPr>
        <w:t>e il valore che la stazione appaltante intende richiedere, ad esempio:</w:t>
      </w:r>
      <w:r w:rsidRPr="00E63DB5">
        <w:rPr>
          <w:rFonts w:ascii="Titillium" w:hAnsi="Titillium" w:cs="Calibri"/>
          <w:i/>
          <w:sz w:val="18"/>
          <w:szCs w:val="18"/>
        </w:rPr>
        <w:t xml:space="preserve"> ribasso percentuale</w:t>
      </w:r>
      <w:r w:rsidR="00E63DB5" w:rsidRPr="00E63DB5">
        <w:rPr>
          <w:rFonts w:ascii="Titillium" w:hAnsi="Titillium" w:cs="Calibri"/>
          <w:i/>
          <w:sz w:val="18"/>
          <w:szCs w:val="18"/>
        </w:rPr>
        <w:t xml:space="preserve"> unico,</w:t>
      </w:r>
      <w:r w:rsidRPr="00E63DB5">
        <w:rPr>
          <w:rFonts w:ascii="Titillium" w:hAnsi="Titillium" w:cs="Calibri"/>
          <w:i/>
          <w:sz w:val="18"/>
          <w:szCs w:val="18"/>
        </w:rPr>
        <w:t xml:space="preserve"> prezzi unitari, etc. In caso di richiesta di offerta su una pluralità di servizi, la stazione appaltante indica i singoli valori da richiedere per ciascuno di essi],</w:t>
      </w:r>
      <w:r w:rsidRPr="00E63DB5">
        <w:rPr>
          <w:rFonts w:ascii="Titillium" w:hAnsi="Titillium" w:cs="Calibri"/>
          <w:sz w:val="18"/>
          <w:szCs w:val="18"/>
        </w:rPr>
        <w:t xml:space="preserve"> al netto di</w:t>
      </w:r>
      <w:r w:rsidRPr="00E63DB5">
        <w:rPr>
          <w:rFonts w:ascii="Titillium" w:hAnsi="Titillium" w:cs="Calibri"/>
          <w:i/>
          <w:sz w:val="18"/>
          <w:szCs w:val="18"/>
        </w:rPr>
        <w:t xml:space="preserve"> </w:t>
      </w:r>
      <w:r w:rsidRPr="00E63DB5">
        <w:rPr>
          <w:rFonts w:ascii="Titillium" w:hAnsi="Titillium" w:cs="Calibri"/>
          <w:sz w:val="18"/>
          <w:szCs w:val="18"/>
        </w:rPr>
        <w:t>Iva</w:t>
      </w:r>
      <w:r w:rsidR="000544CA">
        <w:rPr>
          <w:rFonts w:ascii="Titillium" w:hAnsi="Titillium" w:cs="Calibri"/>
          <w:sz w:val="18"/>
          <w:szCs w:val="18"/>
        </w:rPr>
        <w:t>.</w:t>
      </w:r>
      <w:r>
        <w:rPr>
          <w:rFonts w:ascii="Titillium" w:hAnsi="Titillium" w:cs="Calibri"/>
          <w:sz w:val="18"/>
          <w:szCs w:val="18"/>
        </w:rPr>
        <w:t xml:space="preserve"> </w:t>
      </w:r>
    </w:p>
    <w:p w14:paraId="3A1722B6" w14:textId="77777777" w:rsidR="006842EE" w:rsidRDefault="008F2625" w:rsidP="00323913">
      <w:pPr>
        <w:spacing w:before="60" w:after="60"/>
        <w:rPr>
          <w:rFonts w:ascii="Titillium" w:hAnsi="Titillium" w:cs="Calibri"/>
          <w:sz w:val="18"/>
          <w:szCs w:val="18"/>
        </w:rPr>
      </w:pPr>
      <w:r>
        <w:rPr>
          <w:rFonts w:ascii="Titillium" w:hAnsi="Titillium" w:cs="Calibri"/>
          <w:sz w:val="18"/>
          <w:szCs w:val="18"/>
        </w:rPr>
        <w:t xml:space="preserve">Verranno prese in considerazione fino a </w:t>
      </w:r>
      <w:r>
        <w:rPr>
          <w:rFonts w:ascii="Titillium" w:hAnsi="Titillium" w:cs="Calibri"/>
          <w:i/>
          <w:sz w:val="18"/>
          <w:szCs w:val="18"/>
        </w:rPr>
        <w:t>… [</w:t>
      </w:r>
      <w:r>
        <w:rPr>
          <w:rFonts w:ascii="Titillium" w:hAnsi="Titillium" w:cs="Calibri"/>
          <w:i/>
          <w:iCs/>
          <w:sz w:val="18"/>
          <w:szCs w:val="18"/>
        </w:rPr>
        <w:t xml:space="preserve">indicare il numero] </w:t>
      </w:r>
      <w:r>
        <w:rPr>
          <w:rFonts w:ascii="Titillium" w:hAnsi="Titillium" w:cs="Calibri"/>
          <w:iCs/>
          <w:sz w:val="18"/>
          <w:szCs w:val="18"/>
        </w:rPr>
        <w:t>cifre decimali</w:t>
      </w:r>
      <w:r>
        <w:rPr>
          <w:rFonts w:ascii="Titillium" w:hAnsi="Titillium" w:cs="Calibri"/>
          <w:sz w:val="18"/>
          <w:szCs w:val="18"/>
        </w:rPr>
        <w:t>;</w:t>
      </w:r>
    </w:p>
    <w:p w14:paraId="049FF21C" w14:textId="77777777" w:rsidR="0016108E" w:rsidRPr="0016108E" w:rsidRDefault="0016108E" w:rsidP="0016108E">
      <w:pPr>
        <w:spacing w:before="60" w:after="60"/>
        <w:rPr>
          <w:rFonts w:ascii="Titillium" w:hAnsi="Titillium"/>
          <w:color w:val="000000" w:themeColor="text1"/>
          <w:sz w:val="18"/>
          <w:szCs w:val="18"/>
        </w:rPr>
      </w:pPr>
    </w:p>
    <w:p w14:paraId="5EC408F0" w14:textId="029A1C0A" w:rsidR="00D91219" w:rsidRDefault="008F2625">
      <w:pPr>
        <w:spacing w:before="60" w:after="60"/>
        <w:rPr>
          <w:rFonts w:ascii="Titillium" w:hAnsi="Titillium"/>
          <w:sz w:val="18"/>
          <w:szCs w:val="18"/>
        </w:rPr>
      </w:pPr>
      <w:r>
        <w:rPr>
          <w:rFonts w:ascii="Titillium" w:hAnsi="Titillium"/>
          <w:sz w:val="18"/>
          <w:szCs w:val="18"/>
        </w:rPr>
        <w:t>Sono inammissibili le offerte economiche che superino l’importo a base d</w:t>
      </w:r>
      <w:r w:rsidR="00CC1F14">
        <w:rPr>
          <w:rFonts w:ascii="Titillium" w:hAnsi="Titillium"/>
          <w:sz w:val="18"/>
          <w:szCs w:val="18"/>
        </w:rPr>
        <w:t xml:space="preserve">i </w:t>
      </w:r>
      <w:r w:rsidR="00323913">
        <w:rPr>
          <w:rFonts w:ascii="Titillium" w:hAnsi="Titillium"/>
          <w:sz w:val="18"/>
          <w:szCs w:val="18"/>
        </w:rPr>
        <w:t>gara.</w:t>
      </w:r>
      <w:r>
        <w:rPr>
          <w:rFonts w:ascii="Titillium" w:hAnsi="Titillium"/>
          <w:sz w:val="18"/>
          <w:szCs w:val="18"/>
        </w:rPr>
        <w:t xml:space="preserve"> </w:t>
      </w:r>
    </w:p>
    <w:p w14:paraId="68F15821" w14:textId="77777777" w:rsidR="00D91219" w:rsidRDefault="00D91219">
      <w:pPr>
        <w:spacing w:before="60" w:after="60"/>
        <w:rPr>
          <w:rFonts w:ascii="Titillium" w:hAnsi="Titillium"/>
          <w:i/>
          <w:sz w:val="18"/>
          <w:szCs w:val="18"/>
        </w:rPr>
      </w:pPr>
    </w:p>
    <w:p w14:paraId="3710F13E" w14:textId="3A85BD0C" w:rsidR="006842EE" w:rsidRPr="006520CD" w:rsidRDefault="008F2625">
      <w:pPr>
        <w:pBdr>
          <w:top w:val="single" w:sz="4" w:space="1" w:color="000000"/>
          <w:left w:val="single" w:sz="4" w:space="4" w:color="000000"/>
          <w:bottom w:val="single" w:sz="4" w:space="1" w:color="000000"/>
          <w:right w:val="single" w:sz="4" w:space="4" w:color="000000"/>
        </w:pBdr>
        <w:spacing w:before="60" w:after="60"/>
        <w:rPr>
          <w:rFonts w:ascii="Titillium" w:hAnsi="Titillium"/>
          <w:i/>
          <w:sz w:val="18"/>
          <w:szCs w:val="18"/>
        </w:rPr>
      </w:pPr>
      <w:r>
        <w:rPr>
          <w:rFonts w:ascii="Titillium" w:hAnsi="Titillium"/>
          <w:i/>
          <w:sz w:val="18"/>
          <w:szCs w:val="18"/>
        </w:rPr>
        <w:t>N.B. Quando la stazione appaltante richiede l’indicazione di più valori che possono risultare discordanti (ad esempio prezzo e ribasso) indica anche un criterio di prevalenza.</w:t>
      </w:r>
    </w:p>
    <w:p w14:paraId="20039B69" w14:textId="1823D101" w:rsidR="006842EE" w:rsidRPr="00A36142" w:rsidRDefault="008F2625" w:rsidP="00D26F03">
      <w:pPr>
        <w:pStyle w:val="Titolo2"/>
        <w:numPr>
          <w:ilvl w:val="0"/>
          <w:numId w:val="55"/>
        </w:numPr>
        <w:ind w:left="357" w:hanging="357"/>
        <w:rPr>
          <w:rFonts w:ascii="Titillium" w:hAnsi="Titillium"/>
          <w:caps w:val="0"/>
          <w:sz w:val="18"/>
          <w:szCs w:val="18"/>
        </w:rPr>
      </w:pPr>
      <w:bookmarkStart w:id="1798" w:name="_Toc353990398"/>
      <w:bookmarkStart w:id="1799" w:name="_Ref498421982"/>
      <w:bookmarkStart w:id="1800" w:name="_Toc416423371"/>
      <w:bookmarkStart w:id="1801" w:name="_Toc406754188"/>
      <w:bookmarkStart w:id="1802" w:name="_Toc406058387"/>
      <w:bookmarkStart w:id="1803" w:name="_Toc403471279"/>
      <w:bookmarkStart w:id="1804" w:name="_Toc397422872"/>
      <w:bookmarkStart w:id="1805" w:name="_Toc397346831"/>
      <w:bookmarkStart w:id="1806" w:name="_Toc393706916"/>
      <w:bookmarkStart w:id="1807" w:name="_Toc393700843"/>
      <w:bookmarkStart w:id="1808" w:name="_Toc393283184"/>
      <w:bookmarkStart w:id="1809" w:name="_Toc393272668"/>
      <w:bookmarkStart w:id="1810" w:name="_Toc393272610"/>
      <w:bookmarkStart w:id="1811" w:name="_Toc393187854"/>
      <w:bookmarkStart w:id="1812" w:name="_Toc393112137"/>
      <w:bookmarkStart w:id="1813" w:name="_Toc393110573"/>
      <w:bookmarkStart w:id="1814" w:name="_Toc392577506"/>
      <w:bookmarkStart w:id="1815" w:name="_Toc391036065"/>
      <w:bookmarkStart w:id="1816" w:name="_Toc391035992"/>
      <w:bookmarkStart w:id="1817" w:name="_Toc380501879"/>
      <w:bookmarkStart w:id="1818" w:name="_Toc227921647"/>
      <w:bookmarkEnd w:id="1798"/>
      <w:r w:rsidRPr="00A36142">
        <w:rPr>
          <w:rFonts w:ascii="Titillium" w:hAnsi="Titillium"/>
          <w:caps w:val="0"/>
          <w:sz w:val="18"/>
          <w:szCs w:val="18"/>
        </w:rPr>
        <w:t>CRITERIO DI AGGIUDICAZIONE</w:t>
      </w:r>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p>
    <w:p w14:paraId="456DD459" w14:textId="77777777" w:rsidR="006842EE" w:rsidRDefault="008F2625">
      <w:pPr>
        <w:spacing w:before="60" w:after="60"/>
        <w:rPr>
          <w:rFonts w:ascii="Titillium" w:hAnsi="Titillium" w:cs="Calibri"/>
          <w:sz w:val="18"/>
          <w:szCs w:val="18"/>
          <w:lang w:eastAsia="it-IT"/>
        </w:rPr>
      </w:pPr>
      <w:r>
        <w:rPr>
          <w:rFonts w:ascii="Titillium" w:hAnsi="Titillium" w:cs="Calibri"/>
          <w:sz w:val="18"/>
          <w:szCs w:val="18"/>
          <w:lang w:eastAsia="it-IT"/>
        </w:rPr>
        <w:t>L’appalto è aggiudicato in base al criterio dell’offerta economicamente più vantaggiosa individuata sulla base del miglior rapporto qualità/prezzo.</w:t>
      </w:r>
    </w:p>
    <w:p w14:paraId="217845EE" w14:textId="77777777" w:rsidR="006842EE" w:rsidRDefault="008F2625">
      <w:pPr>
        <w:spacing w:before="60" w:after="60"/>
        <w:rPr>
          <w:rFonts w:ascii="Titillium" w:hAnsi="Titillium" w:cs="Calibri"/>
          <w:i/>
          <w:sz w:val="18"/>
          <w:szCs w:val="18"/>
          <w:lang w:eastAsia="it-IT"/>
        </w:rPr>
      </w:pPr>
      <w:r>
        <w:rPr>
          <w:rFonts w:ascii="Titillium" w:hAnsi="Titillium" w:cs="Calibri"/>
          <w:sz w:val="18"/>
          <w:szCs w:val="18"/>
          <w:lang w:eastAsia="it-IT"/>
        </w:rPr>
        <w:t xml:space="preserve">La valutazione dell’offerta tecnica e dell’offerta economica è effettuata in base ai seguenti punteggi </w:t>
      </w:r>
      <w:r>
        <w:rPr>
          <w:rFonts w:ascii="Titillium" w:hAnsi="Titillium" w:cs="Calibri"/>
          <w:i/>
          <w:sz w:val="18"/>
          <w:szCs w:val="18"/>
          <w:lang w:eastAsia="it-IT"/>
        </w:rPr>
        <w:t>[la stazione appaltante, valorizza gli elementi qualitativi dell’offerta e individua criteri tali da garantire un confronto concorrenziale effettivo sui profili tecnici].</w:t>
      </w:r>
    </w:p>
    <w:tbl>
      <w:tblPr>
        <w:tblW w:w="5000" w:type="pct"/>
        <w:tblLayout w:type="fixed"/>
        <w:tblLook w:val="04A0" w:firstRow="1" w:lastRow="0" w:firstColumn="1" w:lastColumn="0" w:noHBand="0" w:noVBand="1"/>
      </w:tblPr>
      <w:tblGrid>
        <w:gridCol w:w="4608"/>
        <w:gridCol w:w="4606"/>
      </w:tblGrid>
      <w:tr w:rsidR="006842EE" w14:paraId="0432E085" w14:textId="77777777" w:rsidTr="00085CCE">
        <w:tc>
          <w:tcPr>
            <w:tcW w:w="4608" w:type="dxa"/>
            <w:tcBorders>
              <w:top w:val="single" w:sz="4" w:space="0" w:color="000000"/>
              <w:left w:val="single" w:sz="4" w:space="0" w:color="000000"/>
              <w:bottom w:val="single" w:sz="4" w:space="0" w:color="000000"/>
              <w:right w:val="single" w:sz="4" w:space="0" w:color="000000"/>
            </w:tcBorders>
            <w:shd w:val="clear" w:color="auto" w:fill="D9D9D9"/>
          </w:tcPr>
          <w:p w14:paraId="1E1F8F02" w14:textId="77777777" w:rsidR="006842EE" w:rsidRDefault="006842EE">
            <w:pPr>
              <w:widowControl w:val="0"/>
              <w:spacing w:before="60" w:after="60"/>
              <w:rPr>
                <w:rFonts w:ascii="Titillium" w:hAnsi="Titillium" w:cs="Calibri"/>
                <w:i/>
                <w:sz w:val="18"/>
                <w:szCs w:val="18"/>
                <w:lang w:eastAsia="it-IT"/>
              </w:rPr>
            </w:pPr>
          </w:p>
        </w:tc>
        <w:tc>
          <w:tcPr>
            <w:tcW w:w="4606" w:type="dxa"/>
            <w:tcBorders>
              <w:top w:val="single" w:sz="4" w:space="0" w:color="000000"/>
              <w:left w:val="single" w:sz="4" w:space="0" w:color="000000"/>
              <w:bottom w:val="single" w:sz="4" w:space="0" w:color="000000"/>
              <w:right w:val="single" w:sz="4" w:space="0" w:color="000000"/>
            </w:tcBorders>
            <w:shd w:val="clear" w:color="auto" w:fill="D9D9D9"/>
          </w:tcPr>
          <w:p w14:paraId="3BBE0782" w14:textId="77777777" w:rsidR="006842EE" w:rsidRDefault="008F2625">
            <w:pPr>
              <w:widowControl w:val="0"/>
              <w:spacing w:before="60" w:after="60"/>
              <w:jc w:val="center"/>
              <w:rPr>
                <w:rFonts w:ascii="Titillium" w:hAnsi="Titillium" w:cs="Calibri"/>
                <w:b/>
                <w:sz w:val="18"/>
                <w:szCs w:val="18"/>
                <w:lang w:eastAsia="it-IT"/>
              </w:rPr>
            </w:pPr>
            <w:r>
              <w:rPr>
                <w:rFonts w:ascii="Titillium" w:hAnsi="Titillium" w:cs="Calibri"/>
                <w:b/>
                <w:sz w:val="18"/>
                <w:szCs w:val="18"/>
                <w:lang w:eastAsia="it-IT"/>
              </w:rPr>
              <w:t>PUNTEGGIO MASSIMO</w:t>
            </w:r>
          </w:p>
        </w:tc>
      </w:tr>
      <w:tr w:rsidR="006842EE" w14:paraId="3805C526" w14:textId="77777777" w:rsidTr="00085CCE">
        <w:tc>
          <w:tcPr>
            <w:tcW w:w="4608" w:type="dxa"/>
            <w:tcBorders>
              <w:top w:val="single" w:sz="4" w:space="0" w:color="000000"/>
              <w:left w:val="single" w:sz="4" w:space="0" w:color="000000"/>
              <w:bottom w:val="single" w:sz="4" w:space="0" w:color="000000"/>
              <w:right w:val="single" w:sz="4" w:space="0" w:color="000000"/>
            </w:tcBorders>
          </w:tcPr>
          <w:p w14:paraId="2EDBFD13" w14:textId="77777777" w:rsidR="006842EE" w:rsidRDefault="008F2625">
            <w:pPr>
              <w:widowControl w:val="0"/>
              <w:spacing w:before="60" w:after="60"/>
              <w:jc w:val="center"/>
              <w:rPr>
                <w:rFonts w:ascii="Titillium" w:hAnsi="Titillium"/>
                <w:sz w:val="18"/>
                <w:szCs w:val="18"/>
                <w:lang w:eastAsia="it-IT"/>
              </w:rPr>
            </w:pPr>
            <w:r>
              <w:rPr>
                <w:rFonts w:ascii="Titillium" w:hAnsi="Titillium"/>
                <w:sz w:val="18"/>
                <w:szCs w:val="18"/>
                <w:lang w:eastAsia="it-IT"/>
              </w:rPr>
              <w:t>Offerta tecnica</w:t>
            </w:r>
          </w:p>
        </w:tc>
        <w:tc>
          <w:tcPr>
            <w:tcW w:w="4606" w:type="dxa"/>
            <w:tcBorders>
              <w:top w:val="single" w:sz="4" w:space="0" w:color="000000"/>
              <w:left w:val="single" w:sz="4" w:space="0" w:color="000000"/>
              <w:bottom w:val="single" w:sz="4" w:space="0" w:color="000000"/>
              <w:right w:val="single" w:sz="4" w:space="0" w:color="000000"/>
            </w:tcBorders>
          </w:tcPr>
          <w:p w14:paraId="48888291" w14:textId="77777777" w:rsidR="006842EE" w:rsidRDefault="008F2625">
            <w:pPr>
              <w:widowControl w:val="0"/>
              <w:spacing w:before="60" w:after="60"/>
              <w:jc w:val="center"/>
              <w:rPr>
                <w:rFonts w:ascii="Titillium" w:hAnsi="Titillium"/>
                <w:i/>
                <w:sz w:val="18"/>
                <w:szCs w:val="18"/>
                <w:lang w:eastAsia="it-IT"/>
              </w:rPr>
            </w:pPr>
            <w:r>
              <w:rPr>
                <w:rFonts w:ascii="Titillium" w:hAnsi="Titillium"/>
                <w:i/>
                <w:sz w:val="18"/>
                <w:szCs w:val="18"/>
                <w:lang w:eastAsia="it-IT"/>
              </w:rPr>
              <w:t>... [indicare punteggio]</w:t>
            </w:r>
          </w:p>
        </w:tc>
      </w:tr>
      <w:tr w:rsidR="006842EE" w14:paraId="422A3AD5" w14:textId="77777777" w:rsidTr="00085CCE">
        <w:tc>
          <w:tcPr>
            <w:tcW w:w="4608" w:type="dxa"/>
            <w:tcBorders>
              <w:top w:val="single" w:sz="4" w:space="0" w:color="000000"/>
              <w:left w:val="single" w:sz="4" w:space="0" w:color="000000"/>
              <w:bottom w:val="single" w:sz="4" w:space="0" w:color="000000"/>
              <w:right w:val="single" w:sz="4" w:space="0" w:color="000000"/>
            </w:tcBorders>
          </w:tcPr>
          <w:p w14:paraId="50691FCA" w14:textId="77777777" w:rsidR="006842EE" w:rsidRPr="0066513C" w:rsidRDefault="008F2625">
            <w:pPr>
              <w:widowControl w:val="0"/>
              <w:spacing w:before="60" w:after="60"/>
              <w:jc w:val="center"/>
              <w:rPr>
                <w:rFonts w:ascii="Titillium" w:hAnsi="Titillium"/>
                <w:sz w:val="18"/>
                <w:szCs w:val="18"/>
                <w:lang w:eastAsia="it-IT"/>
              </w:rPr>
            </w:pPr>
            <w:r w:rsidRPr="0066513C">
              <w:rPr>
                <w:rFonts w:ascii="Titillium" w:hAnsi="Titillium"/>
                <w:sz w:val="18"/>
                <w:szCs w:val="18"/>
                <w:lang w:eastAsia="it-IT"/>
              </w:rPr>
              <w:t>Offerta economica</w:t>
            </w:r>
          </w:p>
        </w:tc>
        <w:tc>
          <w:tcPr>
            <w:tcW w:w="4606" w:type="dxa"/>
            <w:tcBorders>
              <w:top w:val="single" w:sz="4" w:space="0" w:color="000000"/>
              <w:left w:val="single" w:sz="4" w:space="0" w:color="000000"/>
              <w:bottom w:val="single" w:sz="4" w:space="0" w:color="000000"/>
              <w:right w:val="single" w:sz="4" w:space="0" w:color="000000"/>
            </w:tcBorders>
          </w:tcPr>
          <w:p w14:paraId="6BF5722E" w14:textId="1E4065EC" w:rsidR="006842EE" w:rsidRPr="0066513C" w:rsidRDefault="008F2625">
            <w:pPr>
              <w:widowControl w:val="0"/>
              <w:spacing w:before="60" w:after="60"/>
              <w:jc w:val="center"/>
              <w:rPr>
                <w:rFonts w:ascii="Titillium" w:hAnsi="Titillium"/>
                <w:i/>
                <w:sz w:val="18"/>
                <w:szCs w:val="18"/>
                <w:lang w:eastAsia="it-IT"/>
              </w:rPr>
            </w:pPr>
            <w:r w:rsidRPr="0066513C">
              <w:rPr>
                <w:rFonts w:ascii="Titillium" w:hAnsi="Titillium"/>
                <w:i/>
                <w:sz w:val="18"/>
                <w:szCs w:val="18"/>
                <w:lang w:eastAsia="it-IT"/>
              </w:rPr>
              <w:t>... [indicare punteggio</w:t>
            </w:r>
            <w:r w:rsidR="006520CD">
              <w:rPr>
                <w:rFonts w:ascii="Titillium" w:hAnsi="Titillium"/>
                <w:i/>
                <w:sz w:val="18"/>
                <w:szCs w:val="18"/>
                <w:lang w:eastAsia="it-IT"/>
              </w:rPr>
              <w:t xml:space="preserve"> max 30</w:t>
            </w:r>
            <w:r w:rsidRPr="0066513C">
              <w:rPr>
                <w:rFonts w:ascii="Titillium" w:hAnsi="Titillium"/>
                <w:i/>
                <w:sz w:val="18"/>
                <w:szCs w:val="18"/>
                <w:lang w:eastAsia="it-IT"/>
              </w:rPr>
              <w:t>]</w:t>
            </w:r>
          </w:p>
        </w:tc>
      </w:tr>
      <w:tr w:rsidR="006842EE" w14:paraId="2BE809B9" w14:textId="77777777" w:rsidTr="00085CCE">
        <w:tc>
          <w:tcPr>
            <w:tcW w:w="4608" w:type="dxa"/>
            <w:tcBorders>
              <w:top w:val="single" w:sz="4" w:space="0" w:color="000000"/>
              <w:left w:val="single" w:sz="4" w:space="0" w:color="000000"/>
              <w:bottom w:val="single" w:sz="4" w:space="0" w:color="000000"/>
              <w:right w:val="single" w:sz="4" w:space="0" w:color="000000"/>
            </w:tcBorders>
            <w:shd w:val="clear" w:color="auto" w:fill="D9D9D9"/>
          </w:tcPr>
          <w:p w14:paraId="691FDB69" w14:textId="77777777" w:rsidR="006842EE" w:rsidRDefault="008F2625">
            <w:pPr>
              <w:widowControl w:val="0"/>
              <w:spacing w:before="60" w:after="60"/>
              <w:jc w:val="center"/>
              <w:rPr>
                <w:rFonts w:ascii="Titillium" w:hAnsi="Titillium" w:cs="Calibri"/>
                <w:sz w:val="18"/>
                <w:szCs w:val="18"/>
                <w:lang w:eastAsia="it-IT"/>
              </w:rPr>
            </w:pPr>
            <w:r>
              <w:rPr>
                <w:rFonts w:ascii="Titillium" w:hAnsi="Titillium" w:cs="Calibri"/>
                <w:sz w:val="18"/>
                <w:szCs w:val="18"/>
                <w:lang w:eastAsia="it-IT"/>
              </w:rPr>
              <w:t>TOTALE</w:t>
            </w:r>
          </w:p>
        </w:tc>
        <w:tc>
          <w:tcPr>
            <w:tcW w:w="4606" w:type="dxa"/>
            <w:tcBorders>
              <w:top w:val="single" w:sz="4" w:space="0" w:color="000000"/>
              <w:left w:val="single" w:sz="4" w:space="0" w:color="000000"/>
              <w:bottom w:val="single" w:sz="4" w:space="0" w:color="000000"/>
              <w:right w:val="single" w:sz="4" w:space="0" w:color="000000"/>
            </w:tcBorders>
            <w:shd w:val="clear" w:color="auto" w:fill="D9D9D9"/>
          </w:tcPr>
          <w:p w14:paraId="063149C7" w14:textId="77777777" w:rsidR="006842EE" w:rsidRDefault="008F2625">
            <w:pPr>
              <w:widowControl w:val="0"/>
              <w:spacing w:before="60" w:after="60"/>
              <w:jc w:val="center"/>
              <w:rPr>
                <w:rFonts w:ascii="Titillium" w:hAnsi="Titillium" w:cs="Calibri"/>
                <w:sz w:val="18"/>
                <w:szCs w:val="18"/>
                <w:lang w:eastAsia="it-IT"/>
              </w:rPr>
            </w:pPr>
            <w:r>
              <w:rPr>
                <w:rFonts w:ascii="Titillium" w:hAnsi="Titillium" w:cs="Calibri"/>
                <w:sz w:val="18"/>
                <w:szCs w:val="18"/>
                <w:lang w:eastAsia="it-IT"/>
              </w:rPr>
              <w:t>100</w:t>
            </w:r>
          </w:p>
        </w:tc>
      </w:tr>
    </w:tbl>
    <w:p w14:paraId="7FC9BB0C" w14:textId="77777777" w:rsidR="006842EE" w:rsidRDefault="006842EE">
      <w:pPr>
        <w:rPr>
          <w:rFonts w:ascii="Titillium" w:hAnsi="Titillium" w:cstheme="minorHAnsi"/>
          <w:sz w:val="18"/>
          <w:szCs w:val="18"/>
        </w:rPr>
      </w:pPr>
    </w:p>
    <w:tbl>
      <w:tblPr>
        <w:tblStyle w:val="Grigliatabella"/>
        <w:tblW w:w="0" w:type="auto"/>
        <w:tblLook w:val="04A0" w:firstRow="1" w:lastRow="0" w:firstColumn="1" w:lastColumn="0" w:noHBand="0" w:noVBand="1"/>
      </w:tblPr>
      <w:tblGrid>
        <w:gridCol w:w="9214"/>
      </w:tblGrid>
      <w:tr w:rsidR="005C3819" w14:paraId="7EA3C341" w14:textId="77777777" w:rsidTr="005C3819">
        <w:tc>
          <w:tcPr>
            <w:tcW w:w="9214" w:type="dxa"/>
          </w:tcPr>
          <w:p w14:paraId="7E402A4D" w14:textId="7AF2158E" w:rsidR="005C3819" w:rsidRDefault="005C3819">
            <w:pPr>
              <w:rPr>
                <w:rFonts w:ascii="Titillium" w:hAnsi="Titillium" w:cstheme="minorHAnsi"/>
                <w:sz w:val="18"/>
                <w:szCs w:val="18"/>
              </w:rPr>
            </w:pPr>
            <w:r w:rsidRPr="007137FA">
              <w:rPr>
                <w:rFonts w:ascii="Titillium" w:hAnsi="Titillium" w:cstheme="minorHAnsi"/>
                <w:i/>
                <w:iCs/>
                <w:sz w:val="18"/>
                <w:szCs w:val="18"/>
              </w:rPr>
              <w:t>N.B. Ai sensi di quanto previsto dal</w:t>
            </w:r>
            <w:r w:rsidR="00FB1CBF" w:rsidRPr="007137FA">
              <w:rPr>
                <w:rFonts w:ascii="Titillium" w:hAnsi="Titillium" w:cstheme="minorHAnsi"/>
                <w:i/>
                <w:iCs/>
                <w:sz w:val="18"/>
                <w:szCs w:val="18"/>
              </w:rPr>
              <w:t xml:space="preserve"> vigente </w:t>
            </w:r>
            <w:r w:rsidR="00C75931">
              <w:rPr>
                <w:rFonts w:ascii="Titillium" w:hAnsi="Titillium" w:cstheme="minorHAnsi"/>
                <w:i/>
                <w:iCs/>
                <w:sz w:val="18"/>
                <w:szCs w:val="18"/>
              </w:rPr>
              <w:t>articolo</w:t>
            </w:r>
            <w:r w:rsidRPr="007137FA">
              <w:rPr>
                <w:rFonts w:ascii="Titillium" w:hAnsi="Titillium" w:cstheme="minorHAnsi"/>
                <w:i/>
                <w:iCs/>
                <w:sz w:val="18"/>
                <w:szCs w:val="18"/>
              </w:rPr>
              <w:t xml:space="preserve"> 41 comma 15 bis lett</w:t>
            </w:r>
            <w:r w:rsidR="00FB1CBF" w:rsidRPr="007137FA">
              <w:rPr>
                <w:rFonts w:ascii="Titillium" w:hAnsi="Titillium" w:cstheme="minorHAnsi"/>
                <w:i/>
                <w:iCs/>
                <w:sz w:val="18"/>
                <w:szCs w:val="18"/>
              </w:rPr>
              <w:t xml:space="preserve">. </w:t>
            </w:r>
            <w:r w:rsidRPr="007137FA">
              <w:rPr>
                <w:rFonts w:ascii="Titillium" w:hAnsi="Titillium" w:cstheme="minorHAnsi"/>
                <w:i/>
                <w:iCs/>
                <w:sz w:val="18"/>
                <w:szCs w:val="18"/>
              </w:rPr>
              <w:t xml:space="preserve">b) del </w:t>
            </w:r>
            <w:r w:rsidR="00EE7A47">
              <w:rPr>
                <w:rFonts w:ascii="Titillium" w:hAnsi="Titillium" w:cstheme="minorHAnsi"/>
                <w:i/>
                <w:iCs/>
                <w:sz w:val="18"/>
                <w:szCs w:val="18"/>
              </w:rPr>
              <w:t xml:space="preserve">Codice – introdotto per effetto del Correttivo - </w:t>
            </w:r>
            <w:r w:rsidR="00FB1CBF" w:rsidRPr="007137FA">
              <w:rPr>
                <w:rFonts w:ascii="Titillium" w:hAnsi="Titillium" w:cstheme="minorHAnsi"/>
                <w:i/>
                <w:iCs/>
                <w:sz w:val="18"/>
                <w:szCs w:val="18"/>
              </w:rPr>
              <w:t>l</w:t>
            </w:r>
            <w:r w:rsidRPr="007137FA">
              <w:rPr>
                <w:rFonts w:ascii="Titillium" w:hAnsi="Titillium" w:cstheme="minorHAnsi"/>
                <w:i/>
                <w:iCs/>
                <w:sz w:val="18"/>
                <w:szCs w:val="18"/>
              </w:rPr>
              <w:t>a stazione appaltante definisce il punteggio relativo all'offerta economica secondo i metodi di calcolo di cui all'articolo 2-bis dell'allegato I.13 e stabilisce un tetto massimo per il punteggio economico, entro il limite del 30 per cento</w:t>
            </w:r>
            <w:r w:rsidRPr="007137FA">
              <w:rPr>
                <w:rFonts w:ascii="Titillium" w:hAnsi="Titillium" w:cstheme="minorHAnsi"/>
                <w:sz w:val="18"/>
                <w:szCs w:val="18"/>
              </w:rPr>
              <w:t>.</w:t>
            </w:r>
          </w:p>
        </w:tc>
      </w:tr>
    </w:tbl>
    <w:p w14:paraId="690E3AB9" w14:textId="77777777" w:rsidR="00652625" w:rsidRDefault="00652625" w:rsidP="00BA752A"/>
    <w:p w14:paraId="6D3B3232" w14:textId="2833DF67" w:rsidR="00323913" w:rsidRPr="00B511CF" w:rsidRDefault="00323913" w:rsidP="00D26F03">
      <w:pPr>
        <w:pStyle w:val="Titolo3"/>
        <w:numPr>
          <w:ilvl w:val="1"/>
          <w:numId w:val="55"/>
        </w:numPr>
        <w:spacing w:before="120"/>
        <w:ind w:left="426" w:hanging="426"/>
        <w:rPr>
          <w:rFonts w:ascii="Titillium" w:hAnsi="Titillium"/>
          <w:caps w:val="0"/>
          <w:sz w:val="18"/>
          <w:szCs w:val="18"/>
          <w:lang w:val="it-IT"/>
        </w:rPr>
      </w:pPr>
      <w:bookmarkStart w:id="1819" w:name="_Toc227921648"/>
      <w:r w:rsidRPr="00B511CF">
        <w:rPr>
          <w:rFonts w:ascii="Titillium" w:hAnsi="Titillium"/>
          <w:caps w:val="0"/>
          <w:sz w:val="18"/>
          <w:szCs w:val="18"/>
          <w:lang w:val="it-IT"/>
        </w:rPr>
        <w:t>CR</w:t>
      </w:r>
      <w:r w:rsidR="008F2625" w:rsidRPr="00B511CF">
        <w:rPr>
          <w:rFonts w:ascii="Titillium" w:hAnsi="Titillium"/>
          <w:caps w:val="0"/>
          <w:sz w:val="18"/>
          <w:szCs w:val="18"/>
          <w:lang w:val="it-IT"/>
        </w:rPr>
        <w:t>ITERI DI VALUTAZIONE DELL’OFFERTA TECNICA</w:t>
      </w:r>
      <w:bookmarkEnd w:id="1819"/>
    </w:p>
    <w:p w14:paraId="3AAE3A75" w14:textId="44C5A441" w:rsidR="006842EE" w:rsidRDefault="008F2625">
      <w:pPr>
        <w:spacing w:before="60" w:after="60"/>
        <w:rPr>
          <w:rFonts w:ascii="Titillium" w:hAnsi="Titillium" w:cs="Calibri"/>
          <w:sz w:val="18"/>
          <w:szCs w:val="18"/>
          <w:lang w:eastAsia="it-IT"/>
        </w:rPr>
      </w:pPr>
      <w:r>
        <w:rPr>
          <w:rFonts w:ascii="Titillium" w:hAnsi="Titillium" w:cs="Calibri"/>
          <w:sz w:val="18"/>
          <w:szCs w:val="18"/>
          <w:lang w:eastAsia="it-IT"/>
        </w:rPr>
        <w:t>Il punteggio dell’offerta tecnica è attribuito sulla base dei criteri di valutazione elencati nella sottostante tabella</w:t>
      </w:r>
      <w:r>
        <w:rPr>
          <w:rFonts w:ascii="Titillium" w:hAnsi="Titillium"/>
          <w:sz w:val="18"/>
          <w:szCs w:val="18"/>
        </w:rPr>
        <w:t xml:space="preserve"> con</w:t>
      </w:r>
      <w:r>
        <w:rPr>
          <w:rFonts w:ascii="Titillium" w:hAnsi="Titillium" w:cs="Calibri"/>
          <w:sz w:val="18"/>
          <w:szCs w:val="18"/>
          <w:lang w:eastAsia="it-IT"/>
        </w:rPr>
        <w:t xml:space="preserve"> la relativa ripartizione dei punteggi.</w:t>
      </w:r>
    </w:p>
    <w:p w14:paraId="49055D6A" w14:textId="77777777" w:rsidR="006842EE" w:rsidRDefault="008F2625">
      <w:pPr>
        <w:spacing w:before="60" w:after="60"/>
        <w:rPr>
          <w:rFonts w:ascii="Titillium" w:hAnsi="Titillium" w:cs="Calibri"/>
          <w:sz w:val="18"/>
          <w:szCs w:val="18"/>
          <w:lang w:eastAsia="it-IT"/>
        </w:rPr>
      </w:pPr>
      <w:r>
        <w:rPr>
          <w:rFonts w:ascii="Titillium" w:hAnsi="Titillium" w:cs="Calibri"/>
          <w:sz w:val="18"/>
          <w:szCs w:val="18"/>
          <w:lang w:eastAsia="it-IT"/>
        </w:rPr>
        <w:t>Nella colonna identificata con la lettera D vengono indicati i “Punteggi discrezionali”, vale a dire i punteggi il cui coefficiente è attribuito in ragione dell’esercizio della discrezionalità spettante alla commissione giudicatrice.</w:t>
      </w:r>
    </w:p>
    <w:p w14:paraId="6DDD8D36" w14:textId="46C3A5AC" w:rsidR="006842EE" w:rsidRDefault="008F2625">
      <w:pPr>
        <w:spacing w:before="60" w:after="60"/>
        <w:rPr>
          <w:rFonts w:ascii="Titillium" w:hAnsi="Titillium" w:cs="Calibri"/>
          <w:sz w:val="18"/>
          <w:szCs w:val="18"/>
          <w:lang w:eastAsia="it-IT"/>
        </w:rPr>
      </w:pPr>
      <w:r>
        <w:rPr>
          <w:rFonts w:ascii="Titillium" w:hAnsi="Titillium" w:cs="Calibri"/>
          <w:sz w:val="18"/>
          <w:szCs w:val="18"/>
          <w:lang w:eastAsia="it-IT"/>
        </w:rPr>
        <w:t xml:space="preserve">Nella colonna identificata dalla lettera T vengono indicati i “Punteggi tabellari”, vale a dire i punteggi fissi e predefiniti che saranno attribuiti in ragione dell’offerta di quanto specificamente richiesto. </w:t>
      </w:r>
    </w:p>
    <w:p w14:paraId="677F4B6C" w14:textId="77777777" w:rsidR="006842EE" w:rsidRDefault="008F2625">
      <w:pPr>
        <w:spacing w:before="120" w:after="60"/>
        <w:rPr>
          <w:rFonts w:ascii="Titillium" w:hAnsi="Titillium"/>
          <w:b/>
          <w:i/>
          <w:sz w:val="18"/>
          <w:szCs w:val="18"/>
          <w:lang w:eastAsia="it-IT"/>
        </w:rPr>
      </w:pPr>
      <w:r>
        <w:rPr>
          <w:rFonts w:ascii="Titillium" w:hAnsi="Titillium"/>
          <w:b/>
          <w:i/>
          <w:sz w:val="18"/>
          <w:szCs w:val="18"/>
          <w:lang w:eastAsia="it-IT"/>
        </w:rPr>
        <w:t>Tabella dei criteri discrezionali (D) e tabellari (T) di valutazione dell’offerta tecnica</w:t>
      </w:r>
    </w:p>
    <w:p w14:paraId="197D635A" w14:textId="77777777" w:rsidR="006842EE" w:rsidRDefault="006842EE">
      <w:pPr>
        <w:rPr>
          <w:rFonts w:asciiTheme="minorHAnsi" w:hAnsiTheme="minorHAnsi" w:cstheme="minorHAnsi"/>
          <w:szCs w:val="24"/>
        </w:rPr>
      </w:pPr>
    </w:p>
    <w:tbl>
      <w:tblPr>
        <w:tblW w:w="9627" w:type="dxa"/>
        <w:jc w:val="center"/>
        <w:tblLayout w:type="fixed"/>
        <w:tblLook w:val="0000" w:firstRow="0" w:lastRow="0" w:firstColumn="0" w:lastColumn="0" w:noHBand="0" w:noVBand="0"/>
      </w:tblPr>
      <w:tblGrid>
        <w:gridCol w:w="523"/>
        <w:gridCol w:w="1821"/>
        <w:gridCol w:w="772"/>
        <w:gridCol w:w="653"/>
        <w:gridCol w:w="3923"/>
        <w:gridCol w:w="957"/>
        <w:gridCol w:w="978"/>
      </w:tblGrid>
      <w:tr w:rsidR="006842EE" w14:paraId="321985DB" w14:textId="77777777">
        <w:trPr>
          <w:trHeight w:val="488"/>
          <w:jc w:val="center"/>
        </w:trPr>
        <w:tc>
          <w:tcPr>
            <w:tcW w:w="522" w:type="dxa"/>
            <w:tcBorders>
              <w:top w:val="single" w:sz="4" w:space="0" w:color="000000"/>
              <w:left w:val="single" w:sz="4" w:space="0" w:color="000000"/>
              <w:bottom w:val="single" w:sz="4" w:space="0" w:color="000000"/>
              <w:right w:val="single" w:sz="4" w:space="0" w:color="000000"/>
            </w:tcBorders>
            <w:shd w:val="clear" w:color="auto" w:fill="D9D9D9"/>
          </w:tcPr>
          <w:p w14:paraId="7A59237F" w14:textId="77777777" w:rsidR="006842EE" w:rsidRDefault="008F2625">
            <w:pPr>
              <w:widowControl w:val="0"/>
              <w:spacing w:before="56"/>
              <w:ind w:left="170"/>
              <w:rPr>
                <w:rFonts w:ascii="Titillium" w:hAnsi="Titillium" w:cstheme="minorHAnsi"/>
                <w:b/>
                <w:sz w:val="18"/>
                <w:szCs w:val="18"/>
              </w:rPr>
            </w:pPr>
            <w:r>
              <w:rPr>
                <w:rFonts w:ascii="Titillium" w:hAnsi="Titillium" w:cstheme="minorHAnsi"/>
                <w:b/>
                <w:sz w:val="18"/>
                <w:szCs w:val="18"/>
              </w:rPr>
              <w:t>A</w:t>
            </w:r>
          </w:p>
        </w:tc>
        <w:tc>
          <w:tcPr>
            <w:tcW w:w="9104" w:type="dxa"/>
            <w:gridSpan w:val="6"/>
            <w:tcBorders>
              <w:top w:val="single" w:sz="4" w:space="0" w:color="000000"/>
              <w:left w:val="single" w:sz="4" w:space="0" w:color="000000"/>
              <w:bottom w:val="single" w:sz="4" w:space="0" w:color="000000"/>
              <w:right w:val="single" w:sz="4" w:space="0" w:color="000000"/>
            </w:tcBorders>
            <w:shd w:val="clear" w:color="auto" w:fill="D9D9D9"/>
          </w:tcPr>
          <w:p w14:paraId="48B3BAFE" w14:textId="77777777" w:rsidR="006842EE" w:rsidRDefault="008F2625">
            <w:pPr>
              <w:widowControl w:val="0"/>
              <w:spacing w:before="56"/>
              <w:ind w:left="69"/>
              <w:rPr>
                <w:rFonts w:ascii="Titillium" w:hAnsi="Titillium" w:cstheme="minorHAnsi"/>
                <w:b/>
                <w:sz w:val="18"/>
                <w:szCs w:val="18"/>
              </w:rPr>
            </w:pPr>
            <w:r>
              <w:rPr>
                <w:rFonts w:ascii="Titillium" w:hAnsi="Titillium" w:cstheme="minorHAnsi"/>
                <w:b/>
                <w:sz w:val="18"/>
                <w:szCs w:val="18"/>
              </w:rPr>
              <w:t>PROFESSIONALITÀ ED ADEGUATEZZA DELL’OFFERTA</w:t>
            </w:r>
          </w:p>
        </w:tc>
      </w:tr>
      <w:tr w:rsidR="006842EE" w14:paraId="4A246688" w14:textId="77777777">
        <w:trPr>
          <w:trHeight w:val="699"/>
          <w:jc w:val="center"/>
        </w:trPr>
        <w:tc>
          <w:tcPr>
            <w:tcW w:w="522" w:type="dxa"/>
            <w:tcBorders>
              <w:top w:val="single" w:sz="4" w:space="0" w:color="000000"/>
              <w:left w:val="single" w:sz="4" w:space="0" w:color="000000"/>
              <w:bottom w:val="single" w:sz="4" w:space="0" w:color="000000"/>
              <w:right w:val="single" w:sz="4" w:space="0" w:color="000000"/>
            </w:tcBorders>
            <w:shd w:val="clear" w:color="auto" w:fill="D9D9D9"/>
          </w:tcPr>
          <w:p w14:paraId="1830E566" w14:textId="77777777" w:rsidR="006842EE" w:rsidRDefault="006842EE">
            <w:pPr>
              <w:widowControl w:val="0"/>
              <w:rPr>
                <w:rFonts w:ascii="Titillium" w:hAnsi="Titillium" w:cstheme="minorHAnsi"/>
                <w:sz w:val="18"/>
                <w:szCs w:val="18"/>
              </w:rPr>
            </w:pPr>
          </w:p>
        </w:tc>
        <w:tc>
          <w:tcPr>
            <w:tcW w:w="1821" w:type="dxa"/>
            <w:tcBorders>
              <w:top w:val="single" w:sz="4" w:space="0" w:color="000000"/>
              <w:left w:val="single" w:sz="4" w:space="0" w:color="000000"/>
              <w:bottom w:val="single" w:sz="4" w:space="0" w:color="000000"/>
              <w:right w:val="single" w:sz="4" w:space="0" w:color="000000"/>
            </w:tcBorders>
            <w:shd w:val="clear" w:color="auto" w:fill="D9D9D9"/>
          </w:tcPr>
          <w:p w14:paraId="26DD2E6E" w14:textId="77777777" w:rsidR="006842EE" w:rsidRDefault="008F2625">
            <w:pPr>
              <w:widowControl w:val="0"/>
              <w:spacing w:before="56"/>
              <w:ind w:left="562"/>
              <w:rPr>
                <w:rFonts w:ascii="Titillium" w:hAnsi="Titillium" w:cstheme="minorHAnsi"/>
                <w:i/>
                <w:sz w:val="18"/>
                <w:szCs w:val="18"/>
              </w:rPr>
            </w:pPr>
            <w:r>
              <w:rPr>
                <w:rFonts w:ascii="Titillium" w:hAnsi="Titillium" w:cstheme="minorHAnsi"/>
                <w:i/>
                <w:sz w:val="18"/>
                <w:szCs w:val="18"/>
              </w:rPr>
              <w:t>Criterio</w:t>
            </w:r>
          </w:p>
        </w:tc>
        <w:tc>
          <w:tcPr>
            <w:tcW w:w="772" w:type="dxa"/>
            <w:tcBorders>
              <w:top w:val="single" w:sz="4" w:space="0" w:color="000000"/>
              <w:left w:val="single" w:sz="4" w:space="0" w:color="000000"/>
              <w:bottom w:val="single" w:sz="4" w:space="0" w:color="000000"/>
              <w:right w:val="single" w:sz="4" w:space="0" w:color="000000"/>
            </w:tcBorders>
            <w:shd w:val="clear" w:color="auto" w:fill="D9D9D9"/>
          </w:tcPr>
          <w:p w14:paraId="0E4B0A88" w14:textId="77777777" w:rsidR="006842EE" w:rsidRDefault="006842EE">
            <w:pPr>
              <w:widowControl w:val="0"/>
              <w:spacing w:before="8"/>
              <w:rPr>
                <w:rFonts w:ascii="Titillium" w:hAnsi="Titillium" w:cstheme="minorHAnsi"/>
                <w:b/>
                <w:i/>
                <w:sz w:val="18"/>
                <w:szCs w:val="18"/>
              </w:rPr>
            </w:pPr>
          </w:p>
          <w:p w14:paraId="6FDFAB57" w14:textId="77777777" w:rsidR="006842EE" w:rsidRDefault="008F2625">
            <w:pPr>
              <w:widowControl w:val="0"/>
              <w:spacing w:before="1"/>
              <w:ind w:left="87"/>
              <w:rPr>
                <w:rFonts w:ascii="Titillium" w:hAnsi="Titillium" w:cstheme="minorHAnsi"/>
                <w:i/>
                <w:sz w:val="18"/>
                <w:szCs w:val="18"/>
              </w:rPr>
            </w:pPr>
            <w:r>
              <w:rPr>
                <w:rFonts w:ascii="Titillium" w:hAnsi="Titillium" w:cstheme="minorHAnsi"/>
                <w:i/>
                <w:sz w:val="18"/>
                <w:szCs w:val="18"/>
              </w:rPr>
              <w:t>punti</w:t>
            </w:r>
          </w:p>
        </w:tc>
        <w:tc>
          <w:tcPr>
            <w:tcW w:w="653" w:type="dxa"/>
            <w:tcBorders>
              <w:top w:val="single" w:sz="4" w:space="0" w:color="000000"/>
              <w:left w:val="single" w:sz="4" w:space="0" w:color="000000"/>
              <w:bottom w:val="single" w:sz="4" w:space="0" w:color="000000"/>
              <w:right w:val="single" w:sz="4" w:space="0" w:color="000000"/>
            </w:tcBorders>
            <w:shd w:val="clear" w:color="auto" w:fill="D9D9D9"/>
          </w:tcPr>
          <w:p w14:paraId="72BD21B0" w14:textId="77777777" w:rsidR="006842EE" w:rsidRDefault="008F2625">
            <w:pPr>
              <w:widowControl w:val="0"/>
              <w:spacing w:before="56"/>
              <w:jc w:val="right"/>
              <w:rPr>
                <w:rFonts w:ascii="Titillium" w:hAnsi="Titillium" w:cstheme="minorHAnsi"/>
                <w:i/>
                <w:sz w:val="18"/>
                <w:szCs w:val="18"/>
              </w:rPr>
            </w:pPr>
            <w:r>
              <w:rPr>
                <w:rFonts w:ascii="Titillium" w:hAnsi="Titillium" w:cstheme="minorHAnsi"/>
                <w:i/>
                <w:sz w:val="18"/>
                <w:szCs w:val="18"/>
              </w:rPr>
              <w:t>n.</w:t>
            </w:r>
          </w:p>
        </w:tc>
        <w:tc>
          <w:tcPr>
            <w:tcW w:w="3923" w:type="dxa"/>
            <w:tcBorders>
              <w:top w:val="single" w:sz="4" w:space="0" w:color="000000"/>
              <w:left w:val="single" w:sz="4" w:space="0" w:color="000000"/>
              <w:bottom w:val="single" w:sz="4" w:space="0" w:color="000000"/>
              <w:right w:val="single" w:sz="4" w:space="0" w:color="000000"/>
            </w:tcBorders>
            <w:shd w:val="clear" w:color="auto" w:fill="D9D9D9"/>
          </w:tcPr>
          <w:p w14:paraId="5CC24B28" w14:textId="77777777" w:rsidR="006842EE" w:rsidRDefault="008F2625">
            <w:pPr>
              <w:widowControl w:val="0"/>
              <w:spacing w:before="56"/>
              <w:ind w:left="752"/>
              <w:jc w:val="center"/>
              <w:rPr>
                <w:rFonts w:ascii="Titillium" w:hAnsi="Titillium" w:cstheme="minorHAnsi"/>
                <w:i/>
                <w:sz w:val="18"/>
                <w:szCs w:val="18"/>
              </w:rPr>
            </w:pPr>
            <w:r>
              <w:rPr>
                <w:rFonts w:ascii="Titillium" w:hAnsi="Titillium" w:cstheme="minorHAnsi"/>
                <w:i/>
                <w:sz w:val="18"/>
                <w:szCs w:val="18"/>
              </w:rPr>
              <w:t>sub-criteri di valutazione</w:t>
            </w:r>
          </w:p>
        </w:tc>
        <w:tc>
          <w:tcPr>
            <w:tcW w:w="957" w:type="dxa"/>
            <w:tcBorders>
              <w:top w:val="single" w:sz="4" w:space="0" w:color="000000"/>
              <w:left w:val="single" w:sz="4" w:space="0" w:color="000000"/>
              <w:bottom w:val="single" w:sz="4" w:space="0" w:color="000000"/>
              <w:right w:val="single" w:sz="4" w:space="0" w:color="000000"/>
            </w:tcBorders>
            <w:shd w:val="clear" w:color="auto" w:fill="D9D9D9"/>
          </w:tcPr>
          <w:p w14:paraId="24CA1EDD" w14:textId="77777777" w:rsidR="006842EE" w:rsidRDefault="008F2625">
            <w:pPr>
              <w:widowControl w:val="0"/>
              <w:spacing w:before="56"/>
              <w:ind w:left="77"/>
              <w:jc w:val="center"/>
              <w:rPr>
                <w:rFonts w:ascii="Titillium" w:hAnsi="Titillium" w:cstheme="minorHAnsi"/>
                <w:i/>
                <w:sz w:val="18"/>
                <w:szCs w:val="18"/>
              </w:rPr>
            </w:pPr>
            <w:r>
              <w:rPr>
                <w:rFonts w:ascii="Titillium" w:hAnsi="Titillium" w:cstheme="minorHAnsi"/>
                <w:i/>
                <w:sz w:val="18"/>
                <w:szCs w:val="18"/>
              </w:rPr>
              <w:t>punti D</w:t>
            </w:r>
          </w:p>
        </w:tc>
        <w:tc>
          <w:tcPr>
            <w:tcW w:w="978" w:type="dxa"/>
            <w:tcBorders>
              <w:top w:val="single" w:sz="4" w:space="0" w:color="000000"/>
              <w:left w:val="single" w:sz="4" w:space="0" w:color="000000"/>
              <w:bottom w:val="single" w:sz="4" w:space="0" w:color="000000"/>
              <w:right w:val="single" w:sz="4" w:space="0" w:color="000000"/>
            </w:tcBorders>
            <w:shd w:val="clear" w:color="auto" w:fill="D9D9D9"/>
          </w:tcPr>
          <w:p w14:paraId="790EDC3F" w14:textId="77777777" w:rsidR="006842EE" w:rsidRDefault="008F2625">
            <w:pPr>
              <w:widowControl w:val="0"/>
              <w:spacing w:before="56"/>
              <w:ind w:left="107"/>
              <w:jc w:val="center"/>
              <w:rPr>
                <w:rFonts w:ascii="Titillium" w:hAnsi="Titillium" w:cstheme="minorHAnsi"/>
                <w:i/>
                <w:sz w:val="18"/>
                <w:szCs w:val="18"/>
              </w:rPr>
            </w:pPr>
            <w:r>
              <w:rPr>
                <w:rFonts w:ascii="Titillium" w:hAnsi="Titillium" w:cstheme="minorHAnsi"/>
                <w:i/>
                <w:sz w:val="18"/>
                <w:szCs w:val="18"/>
              </w:rPr>
              <w:t>punti T</w:t>
            </w:r>
          </w:p>
        </w:tc>
      </w:tr>
      <w:tr w:rsidR="006842EE" w14:paraId="1122897E" w14:textId="77777777">
        <w:trPr>
          <w:trHeight w:val="561"/>
          <w:jc w:val="center"/>
        </w:trPr>
        <w:tc>
          <w:tcPr>
            <w:tcW w:w="522" w:type="dxa"/>
            <w:vMerge w:val="restart"/>
            <w:tcBorders>
              <w:top w:val="single" w:sz="4" w:space="0" w:color="000000"/>
              <w:left w:val="single" w:sz="4" w:space="0" w:color="000000"/>
              <w:bottom w:val="single" w:sz="4" w:space="0" w:color="000000"/>
              <w:right w:val="single" w:sz="4" w:space="0" w:color="000000"/>
            </w:tcBorders>
          </w:tcPr>
          <w:p w14:paraId="717E3CCE" w14:textId="77777777" w:rsidR="006842EE" w:rsidRDefault="006842EE">
            <w:pPr>
              <w:widowControl w:val="0"/>
              <w:rPr>
                <w:rFonts w:ascii="Titillium" w:hAnsi="Titillium" w:cstheme="minorHAnsi"/>
                <w:b/>
                <w:i/>
                <w:sz w:val="18"/>
                <w:szCs w:val="18"/>
              </w:rPr>
            </w:pPr>
          </w:p>
          <w:p w14:paraId="12EF9D08" w14:textId="77777777" w:rsidR="006842EE" w:rsidRDefault="006842EE">
            <w:pPr>
              <w:widowControl w:val="0"/>
              <w:spacing w:before="1"/>
              <w:rPr>
                <w:rFonts w:ascii="Titillium" w:hAnsi="Titillium" w:cstheme="minorHAnsi"/>
                <w:b/>
                <w:i/>
                <w:sz w:val="18"/>
                <w:szCs w:val="18"/>
              </w:rPr>
            </w:pPr>
          </w:p>
          <w:p w14:paraId="0D67E87E" w14:textId="77777777" w:rsidR="006842EE" w:rsidRDefault="008F2625">
            <w:pPr>
              <w:widowControl w:val="0"/>
              <w:spacing w:before="1"/>
              <w:ind w:left="69"/>
              <w:rPr>
                <w:rFonts w:ascii="Titillium" w:hAnsi="Titillium" w:cstheme="minorHAnsi"/>
                <w:sz w:val="18"/>
                <w:szCs w:val="18"/>
              </w:rPr>
            </w:pPr>
            <w:r>
              <w:rPr>
                <w:rFonts w:ascii="Titillium" w:hAnsi="Titillium" w:cstheme="minorHAnsi"/>
                <w:sz w:val="18"/>
                <w:szCs w:val="18"/>
              </w:rPr>
              <w:t>1</w:t>
            </w:r>
          </w:p>
        </w:tc>
        <w:tc>
          <w:tcPr>
            <w:tcW w:w="1821" w:type="dxa"/>
            <w:vMerge w:val="restart"/>
            <w:tcBorders>
              <w:top w:val="single" w:sz="4" w:space="0" w:color="000000"/>
              <w:left w:val="single" w:sz="4" w:space="0" w:color="000000"/>
              <w:bottom w:val="single" w:sz="4" w:space="0" w:color="000000"/>
              <w:right w:val="single" w:sz="4" w:space="0" w:color="000000"/>
            </w:tcBorders>
          </w:tcPr>
          <w:p w14:paraId="664EE02B" w14:textId="77777777" w:rsidR="006842EE" w:rsidRDefault="006842EE">
            <w:pPr>
              <w:widowControl w:val="0"/>
              <w:spacing w:before="8"/>
              <w:rPr>
                <w:rFonts w:ascii="Titillium" w:hAnsi="Titillium" w:cstheme="minorHAnsi"/>
                <w:b/>
                <w:i/>
                <w:sz w:val="18"/>
                <w:szCs w:val="18"/>
              </w:rPr>
            </w:pPr>
          </w:p>
          <w:p w14:paraId="7AFACCE0" w14:textId="77777777" w:rsidR="006842EE" w:rsidRDefault="008F2625">
            <w:pPr>
              <w:widowControl w:val="0"/>
              <w:ind w:left="69"/>
              <w:rPr>
                <w:rFonts w:ascii="Titillium" w:hAnsi="Titillium" w:cstheme="minorHAnsi"/>
                <w:sz w:val="18"/>
                <w:szCs w:val="18"/>
              </w:rPr>
            </w:pPr>
            <w:r>
              <w:rPr>
                <w:rFonts w:ascii="Titillium" w:hAnsi="Titillium" w:cstheme="minorHAnsi"/>
                <w:sz w:val="18"/>
                <w:szCs w:val="18"/>
              </w:rPr>
              <w:t xml:space="preserve">Professionalità e adeguatezza desunta da n … </w:t>
            </w:r>
            <w:r>
              <w:rPr>
                <w:rFonts w:ascii="Titillium" w:hAnsi="Titillium" w:cstheme="minorHAnsi"/>
                <w:i/>
                <w:sz w:val="18"/>
                <w:szCs w:val="18"/>
              </w:rPr>
              <w:t xml:space="preserve">[max 3] </w:t>
            </w:r>
            <w:r>
              <w:rPr>
                <w:rFonts w:ascii="Titillium" w:hAnsi="Titillium" w:cstheme="minorHAnsi"/>
                <w:sz w:val="18"/>
                <w:szCs w:val="18"/>
              </w:rPr>
              <w:t>servizi</w:t>
            </w:r>
          </w:p>
        </w:tc>
        <w:tc>
          <w:tcPr>
            <w:tcW w:w="772" w:type="dxa"/>
            <w:vMerge w:val="restart"/>
            <w:tcBorders>
              <w:top w:val="single" w:sz="4" w:space="0" w:color="000000"/>
              <w:left w:val="single" w:sz="4" w:space="0" w:color="000000"/>
              <w:bottom w:val="single" w:sz="4" w:space="0" w:color="000000"/>
              <w:right w:val="single" w:sz="4" w:space="0" w:color="000000"/>
            </w:tcBorders>
          </w:tcPr>
          <w:p w14:paraId="0292A5DD" w14:textId="77777777" w:rsidR="006842EE" w:rsidRDefault="006842EE">
            <w:pPr>
              <w:widowControl w:val="0"/>
              <w:rPr>
                <w:rFonts w:ascii="Titillium" w:hAnsi="Titillium" w:cstheme="minorHAnsi"/>
                <w:b/>
                <w:i/>
                <w:sz w:val="18"/>
                <w:szCs w:val="18"/>
              </w:rPr>
            </w:pPr>
          </w:p>
          <w:p w14:paraId="4EF1C5C2" w14:textId="77777777" w:rsidR="006842EE" w:rsidRDefault="006842EE">
            <w:pPr>
              <w:widowControl w:val="0"/>
              <w:spacing w:before="1"/>
              <w:rPr>
                <w:rFonts w:ascii="Titillium" w:hAnsi="Titillium" w:cstheme="minorHAnsi"/>
                <w:b/>
                <w:i/>
                <w:sz w:val="18"/>
                <w:szCs w:val="18"/>
              </w:rPr>
            </w:pPr>
          </w:p>
          <w:p w14:paraId="2C3C7F58" w14:textId="77777777" w:rsidR="006842EE" w:rsidRDefault="008F2625">
            <w:pPr>
              <w:widowControl w:val="0"/>
              <w:spacing w:before="1"/>
              <w:ind w:left="8"/>
              <w:jc w:val="center"/>
              <w:rPr>
                <w:rFonts w:ascii="Titillium" w:hAnsi="Titillium" w:cstheme="minorHAnsi"/>
                <w:sz w:val="18"/>
                <w:szCs w:val="18"/>
              </w:rPr>
            </w:pPr>
            <w:r>
              <w:rPr>
                <w:rFonts w:ascii="Titillium" w:hAnsi="Titillium" w:cstheme="minorHAnsi"/>
                <w:sz w:val="18"/>
                <w:szCs w:val="18"/>
              </w:rPr>
              <w:t>…</w:t>
            </w:r>
          </w:p>
        </w:tc>
        <w:tc>
          <w:tcPr>
            <w:tcW w:w="653" w:type="dxa"/>
            <w:tcBorders>
              <w:top w:val="single" w:sz="4" w:space="0" w:color="000000"/>
              <w:left w:val="single" w:sz="4" w:space="0" w:color="000000"/>
              <w:bottom w:val="single" w:sz="4" w:space="0" w:color="000000"/>
              <w:right w:val="single" w:sz="4" w:space="0" w:color="000000"/>
            </w:tcBorders>
          </w:tcPr>
          <w:p w14:paraId="27EE119C" w14:textId="77777777" w:rsidR="006842EE" w:rsidRDefault="008F2625">
            <w:pPr>
              <w:widowControl w:val="0"/>
              <w:spacing w:before="134"/>
              <w:jc w:val="right"/>
              <w:rPr>
                <w:rFonts w:ascii="Titillium" w:hAnsi="Titillium" w:cstheme="minorHAnsi"/>
                <w:sz w:val="18"/>
                <w:szCs w:val="18"/>
              </w:rPr>
            </w:pPr>
            <w:r>
              <w:rPr>
                <w:rFonts w:ascii="Titillium" w:hAnsi="Titillium" w:cstheme="minorHAnsi"/>
                <w:sz w:val="18"/>
                <w:szCs w:val="18"/>
              </w:rPr>
              <w:t>…</w:t>
            </w:r>
          </w:p>
        </w:tc>
        <w:tc>
          <w:tcPr>
            <w:tcW w:w="3923" w:type="dxa"/>
            <w:tcBorders>
              <w:top w:val="single" w:sz="4" w:space="0" w:color="000000"/>
              <w:left w:val="single" w:sz="4" w:space="0" w:color="000000"/>
              <w:bottom w:val="single" w:sz="4" w:space="0" w:color="000000"/>
              <w:right w:val="single" w:sz="4" w:space="0" w:color="000000"/>
            </w:tcBorders>
          </w:tcPr>
          <w:p w14:paraId="732661D0" w14:textId="77777777" w:rsidR="006842EE" w:rsidRDefault="008F2625">
            <w:pPr>
              <w:widowControl w:val="0"/>
              <w:spacing w:before="134"/>
              <w:ind w:left="751"/>
              <w:jc w:val="center"/>
              <w:rPr>
                <w:rFonts w:ascii="Titillium" w:hAnsi="Titillium" w:cstheme="minorHAnsi"/>
                <w:sz w:val="18"/>
                <w:szCs w:val="18"/>
              </w:rPr>
            </w:pPr>
            <w:r>
              <w:rPr>
                <w:rFonts w:ascii="Titillium" w:hAnsi="Titillium" w:cstheme="minorHAnsi"/>
                <w:sz w:val="18"/>
                <w:szCs w:val="18"/>
              </w:rPr>
              <w:t>….</w:t>
            </w:r>
          </w:p>
        </w:tc>
        <w:tc>
          <w:tcPr>
            <w:tcW w:w="957" w:type="dxa"/>
            <w:tcBorders>
              <w:top w:val="single" w:sz="4" w:space="0" w:color="000000"/>
              <w:left w:val="single" w:sz="4" w:space="0" w:color="000000"/>
              <w:bottom w:val="single" w:sz="4" w:space="0" w:color="000000"/>
              <w:right w:val="single" w:sz="4" w:space="0" w:color="000000"/>
            </w:tcBorders>
          </w:tcPr>
          <w:p w14:paraId="22836818" w14:textId="77777777" w:rsidR="006842EE" w:rsidRDefault="008F2625">
            <w:pPr>
              <w:widowControl w:val="0"/>
              <w:spacing w:before="134"/>
              <w:ind w:left="13"/>
              <w:jc w:val="center"/>
              <w:rPr>
                <w:rFonts w:ascii="Titillium" w:hAnsi="Titillium" w:cstheme="minorHAnsi"/>
                <w:sz w:val="18"/>
                <w:szCs w:val="18"/>
              </w:rPr>
            </w:pPr>
            <w:r>
              <w:rPr>
                <w:rFonts w:ascii="Titillium" w:hAnsi="Titillium" w:cstheme="minorHAnsi"/>
                <w:sz w:val="18"/>
                <w:szCs w:val="18"/>
              </w:rPr>
              <w:t>…</w:t>
            </w:r>
          </w:p>
        </w:tc>
        <w:tc>
          <w:tcPr>
            <w:tcW w:w="978" w:type="dxa"/>
            <w:tcBorders>
              <w:top w:val="single" w:sz="4" w:space="0" w:color="000000"/>
              <w:left w:val="single" w:sz="4" w:space="0" w:color="000000"/>
              <w:bottom w:val="single" w:sz="4" w:space="0" w:color="000000"/>
              <w:right w:val="single" w:sz="4" w:space="0" w:color="000000"/>
            </w:tcBorders>
          </w:tcPr>
          <w:p w14:paraId="263D1A31" w14:textId="77777777" w:rsidR="006842EE" w:rsidRDefault="008F2625">
            <w:pPr>
              <w:widowControl w:val="0"/>
              <w:spacing w:before="134"/>
              <w:ind w:left="14"/>
              <w:jc w:val="center"/>
              <w:rPr>
                <w:rFonts w:ascii="Titillium" w:hAnsi="Titillium" w:cstheme="minorHAnsi"/>
                <w:sz w:val="18"/>
                <w:szCs w:val="18"/>
              </w:rPr>
            </w:pPr>
            <w:r>
              <w:rPr>
                <w:rFonts w:ascii="Titillium" w:hAnsi="Titillium" w:cstheme="minorHAnsi"/>
                <w:sz w:val="18"/>
                <w:szCs w:val="18"/>
              </w:rPr>
              <w:t>…</w:t>
            </w:r>
          </w:p>
        </w:tc>
      </w:tr>
      <w:tr w:rsidR="006842EE" w14:paraId="7844C71F" w14:textId="77777777">
        <w:trPr>
          <w:trHeight w:val="561"/>
          <w:jc w:val="center"/>
        </w:trPr>
        <w:tc>
          <w:tcPr>
            <w:tcW w:w="522" w:type="dxa"/>
            <w:vMerge/>
            <w:tcBorders>
              <w:top w:val="single" w:sz="4" w:space="0" w:color="000000"/>
              <w:left w:val="single" w:sz="4" w:space="0" w:color="000000"/>
              <w:bottom w:val="single" w:sz="4" w:space="0" w:color="000000"/>
              <w:right w:val="single" w:sz="4" w:space="0" w:color="000000"/>
            </w:tcBorders>
          </w:tcPr>
          <w:p w14:paraId="75016962" w14:textId="77777777" w:rsidR="006842EE" w:rsidRDefault="006842EE">
            <w:pPr>
              <w:widowControl w:val="0"/>
              <w:rPr>
                <w:rFonts w:ascii="Titillium" w:hAnsi="Titillium" w:cstheme="minorHAnsi"/>
                <w:sz w:val="18"/>
                <w:szCs w:val="18"/>
              </w:rPr>
            </w:pPr>
          </w:p>
        </w:tc>
        <w:tc>
          <w:tcPr>
            <w:tcW w:w="1821" w:type="dxa"/>
            <w:vMerge/>
            <w:tcBorders>
              <w:top w:val="single" w:sz="4" w:space="0" w:color="000000"/>
              <w:left w:val="single" w:sz="4" w:space="0" w:color="000000"/>
              <w:bottom w:val="single" w:sz="4" w:space="0" w:color="000000"/>
              <w:right w:val="single" w:sz="4" w:space="0" w:color="000000"/>
            </w:tcBorders>
          </w:tcPr>
          <w:p w14:paraId="5234C0CC" w14:textId="77777777" w:rsidR="006842EE" w:rsidRDefault="006842EE">
            <w:pPr>
              <w:widowControl w:val="0"/>
              <w:rPr>
                <w:rFonts w:ascii="Titillium" w:hAnsi="Titillium" w:cstheme="minorHAnsi"/>
                <w:sz w:val="18"/>
                <w:szCs w:val="18"/>
              </w:rPr>
            </w:pPr>
          </w:p>
        </w:tc>
        <w:tc>
          <w:tcPr>
            <w:tcW w:w="772" w:type="dxa"/>
            <w:vMerge/>
            <w:tcBorders>
              <w:top w:val="single" w:sz="4" w:space="0" w:color="000000"/>
              <w:left w:val="single" w:sz="4" w:space="0" w:color="000000"/>
              <w:bottom w:val="single" w:sz="4" w:space="0" w:color="000000"/>
              <w:right w:val="single" w:sz="4" w:space="0" w:color="000000"/>
            </w:tcBorders>
          </w:tcPr>
          <w:p w14:paraId="4CD5370A" w14:textId="77777777" w:rsidR="006842EE" w:rsidRDefault="006842EE">
            <w:pPr>
              <w:widowControl w:val="0"/>
              <w:rPr>
                <w:rFonts w:ascii="Titillium" w:hAnsi="Titillium" w:cstheme="minorHAnsi"/>
                <w:sz w:val="18"/>
                <w:szCs w:val="18"/>
              </w:rPr>
            </w:pPr>
          </w:p>
        </w:tc>
        <w:tc>
          <w:tcPr>
            <w:tcW w:w="653" w:type="dxa"/>
            <w:tcBorders>
              <w:top w:val="single" w:sz="4" w:space="0" w:color="000000"/>
              <w:left w:val="single" w:sz="4" w:space="0" w:color="000000"/>
              <w:bottom w:val="single" w:sz="4" w:space="0" w:color="000000"/>
              <w:right w:val="single" w:sz="4" w:space="0" w:color="000000"/>
            </w:tcBorders>
          </w:tcPr>
          <w:p w14:paraId="2AAD47D0" w14:textId="77777777" w:rsidR="006842EE" w:rsidRDefault="008F2625">
            <w:pPr>
              <w:widowControl w:val="0"/>
              <w:spacing w:before="134"/>
              <w:jc w:val="right"/>
              <w:rPr>
                <w:rFonts w:ascii="Titillium" w:hAnsi="Titillium" w:cstheme="minorHAnsi"/>
                <w:sz w:val="18"/>
                <w:szCs w:val="18"/>
              </w:rPr>
            </w:pPr>
            <w:r>
              <w:rPr>
                <w:rFonts w:ascii="Titillium" w:hAnsi="Titillium" w:cstheme="minorHAnsi"/>
                <w:sz w:val="18"/>
                <w:szCs w:val="18"/>
              </w:rPr>
              <w:t>…</w:t>
            </w:r>
          </w:p>
        </w:tc>
        <w:tc>
          <w:tcPr>
            <w:tcW w:w="3923" w:type="dxa"/>
            <w:tcBorders>
              <w:top w:val="single" w:sz="4" w:space="0" w:color="000000"/>
              <w:left w:val="single" w:sz="4" w:space="0" w:color="000000"/>
              <w:bottom w:val="single" w:sz="4" w:space="0" w:color="000000"/>
              <w:right w:val="single" w:sz="4" w:space="0" w:color="000000"/>
            </w:tcBorders>
          </w:tcPr>
          <w:p w14:paraId="54A8AD7C" w14:textId="77777777" w:rsidR="006842EE" w:rsidRDefault="008F2625">
            <w:pPr>
              <w:widowControl w:val="0"/>
              <w:spacing w:before="134"/>
              <w:ind w:left="751"/>
              <w:jc w:val="center"/>
              <w:rPr>
                <w:rFonts w:ascii="Titillium" w:hAnsi="Titillium" w:cstheme="minorHAnsi"/>
                <w:sz w:val="18"/>
                <w:szCs w:val="18"/>
              </w:rPr>
            </w:pPr>
            <w:r>
              <w:rPr>
                <w:rFonts w:ascii="Titillium" w:hAnsi="Titillium" w:cstheme="minorHAnsi"/>
                <w:sz w:val="18"/>
                <w:szCs w:val="18"/>
              </w:rPr>
              <w:t>….</w:t>
            </w:r>
          </w:p>
        </w:tc>
        <w:tc>
          <w:tcPr>
            <w:tcW w:w="957" w:type="dxa"/>
            <w:tcBorders>
              <w:top w:val="single" w:sz="4" w:space="0" w:color="000000"/>
              <w:left w:val="single" w:sz="4" w:space="0" w:color="000000"/>
              <w:bottom w:val="single" w:sz="4" w:space="0" w:color="000000"/>
              <w:right w:val="single" w:sz="4" w:space="0" w:color="000000"/>
            </w:tcBorders>
          </w:tcPr>
          <w:p w14:paraId="66144D5B" w14:textId="77777777" w:rsidR="006842EE" w:rsidRDefault="008F2625">
            <w:pPr>
              <w:widowControl w:val="0"/>
              <w:spacing w:before="134"/>
              <w:ind w:left="13"/>
              <w:jc w:val="center"/>
              <w:rPr>
                <w:rFonts w:ascii="Titillium" w:hAnsi="Titillium" w:cstheme="minorHAnsi"/>
                <w:sz w:val="18"/>
                <w:szCs w:val="18"/>
              </w:rPr>
            </w:pPr>
            <w:r>
              <w:rPr>
                <w:rFonts w:ascii="Titillium" w:hAnsi="Titillium" w:cstheme="minorHAnsi"/>
                <w:sz w:val="18"/>
                <w:szCs w:val="18"/>
              </w:rPr>
              <w:t>…</w:t>
            </w:r>
          </w:p>
        </w:tc>
        <w:tc>
          <w:tcPr>
            <w:tcW w:w="978" w:type="dxa"/>
            <w:tcBorders>
              <w:top w:val="single" w:sz="4" w:space="0" w:color="000000"/>
              <w:left w:val="single" w:sz="4" w:space="0" w:color="000000"/>
              <w:bottom w:val="single" w:sz="4" w:space="0" w:color="000000"/>
              <w:right w:val="single" w:sz="4" w:space="0" w:color="000000"/>
            </w:tcBorders>
          </w:tcPr>
          <w:p w14:paraId="33E877B2" w14:textId="77777777" w:rsidR="006842EE" w:rsidRDefault="008F2625">
            <w:pPr>
              <w:widowControl w:val="0"/>
              <w:spacing w:before="134"/>
              <w:ind w:left="14"/>
              <w:jc w:val="center"/>
              <w:rPr>
                <w:rFonts w:ascii="Titillium" w:hAnsi="Titillium" w:cstheme="minorHAnsi"/>
                <w:sz w:val="18"/>
                <w:szCs w:val="18"/>
              </w:rPr>
            </w:pPr>
            <w:r>
              <w:rPr>
                <w:rFonts w:ascii="Titillium" w:hAnsi="Titillium" w:cstheme="minorHAnsi"/>
                <w:sz w:val="18"/>
                <w:szCs w:val="18"/>
              </w:rPr>
              <w:t>…</w:t>
            </w:r>
          </w:p>
        </w:tc>
      </w:tr>
      <w:tr w:rsidR="006842EE" w14:paraId="0DD31901" w14:textId="77777777">
        <w:trPr>
          <w:trHeight w:val="560"/>
          <w:jc w:val="center"/>
        </w:trPr>
        <w:tc>
          <w:tcPr>
            <w:tcW w:w="522" w:type="dxa"/>
            <w:vMerge/>
            <w:tcBorders>
              <w:top w:val="single" w:sz="4" w:space="0" w:color="000000"/>
              <w:left w:val="single" w:sz="4" w:space="0" w:color="000000"/>
              <w:bottom w:val="single" w:sz="4" w:space="0" w:color="000000"/>
              <w:right w:val="single" w:sz="4" w:space="0" w:color="000000"/>
            </w:tcBorders>
          </w:tcPr>
          <w:p w14:paraId="0197D9D7" w14:textId="77777777" w:rsidR="006842EE" w:rsidRDefault="006842EE">
            <w:pPr>
              <w:widowControl w:val="0"/>
              <w:rPr>
                <w:rFonts w:ascii="Titillium" w:hAnsi="Titillium" w:cstheme="minorHAnsi"/>
                <w:sz w:val="18"/>
                <w:szCs w:val="18"/>
              </w:rPr>
            </w:pPr>
          </w:p>
        </w:tc>
        <w:tc>
          <w:tcPr>
            <w:tcW w:w="1821" w:type="dxa"/>
            <w:vMerge/>
            <w:tcBorders>
              <w:top w:val="single" w:sz="4" w:space="0" w:color="000000"/>
              <w:left w:val="single" w:sz="4" w:space="0" w:color="000000"/>
              <w:bottom w:val="single" w:sz="4" w:space="0" w:color="000000"/>
              <w:right w:val="single" w:sz="4" w:space="0" w:color="000000"/>
            </w:tcBorders>
          </w:tcPr>
          <w:p w14:paraId="398CBE09" w14:textId="77777777" w:rsidR="006842EE" w:rsidRDefault="006842EE">
            <w:pPr>
              <w:widowControl w:val="0"/>
              <w:rPr>
                <w:rFonts w:ascii="Titillium" w:hAnsi="Titillium" w:cstheme="minorHAnsi"/>
                <w:sz w:val="18"/>
                <w:szCs w:val="18"/>
              </w:rPr>
            </w:pPr>
          </w:p>
        </w:tc>
        <w:tc>
          <w:tcPr>
            <w:tcW w:w="772" w:type="dxa"/>
            <w:vMerge/>
            <w:tcBorders>
              <w:top w:val="single" w:sz="4" w:space="0" w:color="000000"/>
              <w:left w:val="single" w:sz="4" w:space="0" w:color="000000"/>
              <w:bottom w:val="single" w:sz="4" w:space="0" w:color="000000"/>
              <w:right w:val="single" w:sz="4" w:space="0" w:color="000000"/>
            </w:tcBorders>
          </w:tcPr>
          <w:p w14:paraId="67632A32" w14:textId="77777777" w:rsidR="006842EE" w:rsidRDefault="006842EE">
            <w:pPr>
              <w:widowControl w:val="0"/>
              <w:rPr>
                <w:rFonts w:ascii="Titillium" w:hAnsi="Titillium" w:cstheme="minorHAnsi"/>
                <w:sz w:val="18"/>
                <w:szCs w:val="18"/>
              </w:rPr>
            </w:pPr>
          </w:p>
        </w:tc>
        <w:tc>
          <w:tcPr>
            <w:tcW w:w="653" w:type="dxa"/>
            <w:tcBorders>
              <w:top w:val="single" w:sz="4" w:space="0" w:color="000000"/>
              <w:left w:val="single" w:sz="4" w:space="0" w:color="000000"/>
              <w:bottom w:val="single" w:sz="4" w:space="0" w:color="000000"/>
              <w:right w:val="single" w:sz="4" w:space="0" w:color="000000"/>
            </w:tcBorders>
          </w:tcPr>
          <w:p w14:paraId="6256BE0B" w14:textId="77777777" w:rsidR="006842EE" w:rsidRDefault="008F2625">
            <w:pPr>
              <w:widowControl w:val="0"/>
              <w:spacing w:before="134"/>
              <w:jc w:val="right"/>
              <w:rPr>
                <w:rFonts w:ascii="Titillium" w:hAnsi="Titillium" w:cstheme="minorHAnsi"/>
                <w:sz w:val="18"/>
                <w:szCs w:val="18"/>
              </w:rPr>
            </w:pPr>
            <w:r>
              <w:rPr>
                <w:rFonts w:ascii="Titillium" w:hAnsi="Titillium" w:cstheme="minorHAnsi"/>
                <w:sz w:val="18"/>
                <w:szCs w:val="18"/>
              </w:rPr>
              <w:t>…</w:t>
            </w:r>
          </w:p>
        </w:tc>
        <w:tc>
          <w:tcPr>
            <w:tcW w:w="3923" w:type="dxa"/>
            <w:tcBorders>
              <w:top w:val="single" w:sz="4" w:space="0" w:color="000000"/>
              <w:left w:val="single" w:sz="4" w:space="0" w:color="000000"/>
              <w:bottom w:val="single" w:sz="4" w:space="0" w:color="000000"/>
              <w:right w:val="single" w:sz="4" w:space="0" w:color="000000"/>
            </w:tcBorders>
          </w:tcPr>
          <w:p w14:paraId="34C58BD5" w14:textId="77777777" w:rsidR="006842EE" w:rsidRDefault="008F2625">
            <w:pPr>
              <w:widowControl w:val="0"/>
              <w:spacing w:before="134"/>
              <w:ind w:left="751"/>
              <w:jc w:val="center"/>
              <w:rPr>
                <w:rFonts w:ascii="Titillium" w:hAnsi="Titillium" w:cstheme="minorHAnsi"/>
                <w:sz w:val="18"/>
                <w:szCs w:val="18"/>
              </w:rPr>
            </w:pPr>
            <w:r>
              <w:rPr>
                <w:rFonts w:ascii="Titillium" w:hAnsi="Titillium" w:cstheme="minorHAnsi"/>
                <w:sz w:val="18"/>
                <w:szCs w:val="18"/>
              </w:rPr>
              <w:t>….</w:t>
            </w:r>
          </w:p>
        </w:tc>
        <w:tc>
          <w:tcPr>
            <w:tcW w:w="957" w:type="dxa"/>
            <w:tcBorders>
              <w:top w:val="single" w:sz="4" w:space="0" w:color="000000"/>
              <w:left w:val="single" w:sz="4" w:space="0" w:color="000000"/>
              <w:bottom w:val="single" w:sz="4" w:space="0" w:color="000000"/>
              <w:right w:val="single" w:sz="4" w:space="0" w:color="000000"/>
            </w:tcBorders>
          </w:tcPr>
          <w:p w14:paraId="19922A12" w14:textId="77777777" w:rsidR="006842EE" w:rsidRDefault="008F2625">
            <w:pPr>
              <w:widowControl w:val="0"/>
              <w:spacing w:before="134"/>
              <w:ind w:left="13"/>
              <w:jc w:val="center"/>
              <w:rPr>
                <w:rFonts w:ascii="Titillium" w:hAnsi="Titillium" w:cstheme="minorHAnsi"/>
                <w:sz w:val="18"/>
                <w:szCs w:val="18"/>
              </w:rPr>
            </w:pPr>
            <w:r>
              <w:rPr>
                <w:rFonts w:ascii="Titillium" w:hAnsi="Titillium" w:cstheme="minorHAnsi"/>
                <w:sz w:val="18"/>
                <w:szCs w:val="18"/>
              </w:rPr>
              <w:t>…</w:t>
            </w:r>
          </w:p>
        </w:tc>
        <w:tc>
          <w:tcPr>
            <w:tcW w:w="978" w:type="dxa"/>
            <w:tcBorders>
              <w:top w:val="single" w:sz="4" w:space="0" w:color="000000"/>
              <w:left w:val="single" w:sz="4" w:space="0" w:color="000000"/>
              <w:bottom w:val="single" w:sz="4" w:space="0" w:color="000000"/>
              <w:right w:val="single" w:sz="4" w:space="0" w:color="000000"/>
            </w:tcBorders>
          </w:tcPr>
          <w:p w14:paraId="1764B727" w14:textId="77777777" w:rsidR="006842EE" w:rsidRDefault="008F2625">
            <w:pPr>
              <w:widowControl w:val="0"/>
              <w:spacing w:before="134"/>
              <w:ind w:left="14"/>
              <w:jc w:val="center"/>
              <w:rPr>
                <w:rFonts w:ascii="Titillium" w:hAnsi="Titillium" w:cstheme="minorHAnsi"/>
                <w:sz w:val="18"/>
                <w:szCs w:val="18"/>
              </w:rPr>
            </w:pPr>
            <w:r>
              <w:rPr>
                <w:rFonts w:ascii="Titillium" w:hAnsi="Titillium" w:cstheme="minorHAnsi"/>
                <w:sz w:val="18"/>
                <w:szCs w:val="18"/>
              </w:rPr>
              <w:t>…</w:t>
            </w:r>
          </w:p>
        </w:tc>
      </w:tr>
      <w:tr w:rsidR="006842EE" w14:paraId="485CFB8D" w14:textId="77777777">
        <w:trPr>
          <w:trHeight w:val="444"/>
          <w:jc w:val="center"/>
        </w:trPr>
        <w:tc>
          <w:tcPr>
            <w:tcW w:w="7691" w:type="dxa"/>
            <w:gridSpan w:val="5"/>
            <w:tcBorders>
              <w:top w:val="single" w:sz="4" w:space="0" w:color="000000"/>
              <w:left w:val="single" w:sz="4" w:space="0" w:color="000000"/>
              <w:bottom w:val="single" w:sz="4" w:space="0" w:color="000000"/>
              <w:right w:val="single" w:sz="4" w:space="0" w:color="000000"/>
            </w:tcBorders>
            <w:shd w:val="clear" w:color="auto" w:fill="D9D9D9"/>
          </w:tcPr>
          <w:p w14:paraId="7672F9ED" w14:textId="77777777" w:rsidR="006842EE" w:rsidRDefault="008F2625">
            <w:pPr>
              <w:widowControl w:val="0"/>
              <w:spacing w:before="76"/>
              <w:jc w:val="right"/>
              <w:rPr>
                <w:rFonts w:ascii="Titillium" w:hAnsi="Titillium" w:cstheme="minorHAnsi"/>
                <w:sz w:val="18"/>
                <w:szCs w:val="18"/>
              </w:rPr>
            </w:pPr>
            <w:r>
              <w:rPr>
                <w:rFonts w:ascii="Titillium" w:hAnsi="Titillium" w:cstheme="minorHAnsi"/>
                <w:sz w:val="18"/>
                <w:szCs w:val="18"/>
              </w:rPr>
              <w:t>TOTALE PUNTI</w:t>
            </w:r>
          </w:p>
        </w:tc>
        <w:tc>
          <w:tcPr>
            <w:tcW w:w="957" w:type="dxa"/>
            <w:tcBorders>
              <w:top w:val="single" w:sz="4" w:space="0" w:color="000000"/>
              <w:left w:val="single" w:sz="4" w:space="0" w:color="000000"/>
              <w:bottom w:val="single" w:sz="4" w:space="0" w:color="000000"/>
              <w:right w:val="single" w:sz="4" w:space="0" w:color="000000"/>
            </w:tcBorders>
            <w:shd w:val="clear" w:color="auto" w:fill="D9D9D9"/>
          </w:tcPr>
          <w:p w14:paraId="33EAECA3" w14:textId="77777777" w:rsidR="006842EE" w:rsidRDefault="008F2625">
            <w:pPr>
              <w:widowControl w:val="0"/>
              <w:spacing w:before="76"/>
              <w:ind w:left="13"/>
              <w:jc w:val="center"/>
              <w:rPr>
                <w:rFonts w:ascii="Titillium" w:hAnsi="Titillium" w:cstheme="minorHAnsi"/>
                <w:sz w:val="18"/>
                <w:szCs w:val="18"/>
              </w:rPr>
            </w:pPr>
            <w:r>
              <w:rPr>
                <w:rFonts w:ascii="Titillium" w:hAnsi="Titillium" w:cstheme="minorHAnsi"/>
                <w:sz w:val="18"/>
                <w:szCs w:val="18"/>
              </w:rPr>
              <w:t>…</w:t>
            </w:r>
          </w:p>
        </w:tc>
        <w:tc>
          <w:tcPr>
            <w:tcW w:w="978" w:type="dxa"/>
            <w:tcBorders>
              <w:top w:val="single" w:sz="4" w:space="0" w:color="000000"/>
              <w:left w:val="single" w:sz="4" w:space="0" w:color="000000"/>
              <w:bottom w:val="single" w:sz="4" w:space="0" w:color="000000"/>
              <w:right w:val="single" w:sz="4" w:space="0" w:color="000000"/>
            </w:tcBorders>
            <w:shd w:val="clear" w:color="auto" w:fill="D9D9D9"/>
          </w:tcPr>
          <w:p w14:paraId="568506A6" w14:textId="77777777" w:rsidR="006842EE" w:rsidRDefault="008F2625">
            <w:pPr>
              <w:widowControl w:val="0"/>
              <w:spacing w:before="76"/>
              <w:ind w:left="14"/>
              <w:jc w:val="center"/>
              <w:rPr>
                <w:rFonts w:ascii="Titillium" w:hAnsi="Titillium" w:cstheme="minorHAnsi"/>
                <w:sz w:val="18"/>
                <w:szCs w:val="18"/>
              </w:rPr>
            </w:pPr>
            <w:r>
              <w:rPr>
                <w:rFonts w:ascii="Titillium" w:hAnsi="Titillium" w:cstheme="minorHAnsi"/>
                <w:sz w:val="18"/>
                <w:szCs w:val="18"/>
              </w:rPr>
              <w:t>…</w:t>
            </w:r>
          </w:p>
        </w:tc>
      </w:tr>
    </w:tbl>
    <w:p w14:paraId="322B239E" w14:textId="77777777" w:rsidR="006842EE" w:rsidRDefault="006842EE">
      <w:pPr>
        <w:rPr>
          <w:rFonts w:ascii="Titillium" w:hAnsi="Titillium" w:cstheme="minorHAnsi"/>
          <w:sz w:val="18"/>
          <w:szCs w:val="18"/>
        </w:rPr>
      </w:pPr>
    </w:p>
    <w:p w14:paraId="3BB4CBE6" w14:textId="77777777" w:rsidR="00DA48A3" w:rsidRDefault="00DA48A3">
      <w:pPr>
        <w:rPr>
          <w:rFonts w:ascii="Titillium" w:hAnsi="Titillium" w:cstheme="minorHAnsi"/>
          <w:sz w:val="18"/>
          <w:szCs w:val="18"/>
        </w:rPr>
      </w:pPr>
    </w:p>
    <w:p w14:paraId="035ADA06" w14:textId="77777777" w:rsidR="00DA48A3" w:rsidRDefault="00DA48A3">
      <w:pPr>
        <w:rPr>
          <w:rFonts w:ascii="Titillium" w:hAnsi="Titillium" w:cstheme="minorHAnsi"/>
          <w:sz w:val="18"/>
          <w:szCs w:val="18"/>
        </w:rPr>
      </w:pPr>
    </w:p>
    <w:p w14:paraId="4C61DCBE" w14:textId="77777777" w:rsidR="00DA48A3" w:rsidRDefault="00DA48A3">
      <w:pPr>
        <w:rPr>
          <w:rFonts w:ascii="Titillium" w:hAnsi="Titillium" w:cstheme="minorHAnsi"/>
          <w:sz w:val="18"/>
          <w:szCs w:val="18"/>
        </w:rPr>
      </w:pPr>
    </w:p>
    <w:tbl>
      <w:tblPr>
        <w:tblW w:w="9630" w:type="dxa"/>
        <w:jc w:val="center"/>
        <w:tblLayout w:type="fixed"/>
        <w:tblLook w:val="0000" w:firstRow="0" w:lastRow="0" w:firstColumn="0" w:lastColumn="0" w:noHBand="0" w:noVBand="0"/>
      </w:tblPr>
      <w:tblGrid>
        <w:gridCol w:w="556"/>
        <w:gridCol w:w="1622"/>
        <w:gridCol w:w="793"/>
        <w:gridCol w:w="698"/>
        <w:gridCol w:w="3977"/>
        <w:gridCol w:w="1000"/>
        <w:gridCol w:w="984"/>
      </w:tblGrid>
      <w:tr w:rsidR="006842EE" w14:paraId="596E9C79" w14:textId="77777777">
        <w:trPr>
          <w:trHeight w:val="487"/>
          <w:jc w:val="center"/>
        </w:trPr>
        <w:tc>
          <w:tcPr>
            <w:tcW w:w="555" w:type="dxa"/>
            <w:tcBorders>
              <w:top w:val="single" w:sz="4" w:space="0" w:color="000000"/>
              <w:left w:val="single" w:sz="4" w:space="0" w:color="000000"/>
              <w:bottom w:val="single" w:sz="4" w:space="0" w:color="000000"/>
              <w:right w:val="single" w:sz="4" w:space="0" w:color="000000"/>
            </w:tcBorders>
            <w:shd w:val="clear" w:color="auto" w:fill="D9D9D9"/>
          </w:tcPr>
          <w:p w14:paraId="3C02449B" w14:textId="77777777" w:rsidR="006842EE" w:rsidRDefault="008F2625">
            <w:pPr>
              <w:widowControl w:val="0"/>
              <w:spacing w:before="56"/>
              <w:ind w:left="7"/>
              <w:jc w:val="center"/>
              <w:rPr>
                <w:rFonts w:ascii="Titillium" w:hAnsi="Titillium" w:cstheme="minorHAnsi"/>
                <w:b/>
                <w:sz w:val="18"/>
                <w:szCs w:val="18"/>
              </w:rPr>
            </w:pPr>
            <w:r>
              <w:rPr>
                <w:rFonts w:ascii="Titillium" w:hAnsi="Titillium" w:cstheme="minorHAnsi"/>
                <w:b/>
                <w:sz w:val="18"/>
                <w:szCs w:val="18"/>
              </w:rPr>
              <w:t>B</w:t>
            </w:r>
          </w:p>
        </w:tc>
        <w:tc>
          <w:tcPr>
            <w:tcW w:w="9074" w:type="dxa"/>
            <w:gridSpan w:val="6"/>
            <w:tcBorders>
              <w:top w:val="single" w:sz="4" w:space="0" w:color="000000"/>
              <w:left w:val="single" w:sz="4" w:space="0" w:color="000000"/>
              <w:bottom w:val="single" w:sz="4" w:space="0" w:color="000000"/>
              <w:right w:val="single" w:sz="4" w:space="0" w:color="000000"/>
            </w:tcBorders>
            <w:shd w:val="clear" w:color="auto" w:fill="D9D9D9"/>
          </w:tcPr>
          <w:p w14:paraId="3E0ED0D7" w14:textId="77777777" w:rsidR="006842EE" w:rsidRDefault="008F2625">
            <w:pPr>
              <w:widowControl w:val="0"/>
              <w:spacing w:before="56"/>
              <w:ind w:left="69"/>
              <w:rPr>
                <w:rFonts w:ascii="Titillium" w:hAnsi="Titillium" w:cstheme="minorHAnsi"/>
                <w:b/>
                <w:sz w:val="18"/>
                <w:szCs w:val="18"/>
              </w:rPr>
            </w:pPr>
            <w:r>
              <w:rPr>
                <w:rFonts w:ascii="Titillium" w:hAnsi="Titillium" w:cstheme="minorHAnsi"/>
                <w:b/>
                <w:sz w:val="18"/>
                <w:szCs w:val="18"/>
              </w:rPr>
              <w:t>CARATTERISTICHE METODOLOGICHE DELL’OFFERTA</w:t>
            </w:r>
          </w:p>
        </w:tc>
      </w:tr>
      <w:tr w:rsidR="006842EE" w14:paraId="2DE74661" w14:textId="77777777">
        <w:trPr>
          <w:trHeight w:val="488"/>
          <w:jc w:val="center"/>
        </w:trPr>
        <w:tc>
          <w:tcPr>
            <w:tcW w:w="555" w:type="dxa"/>
            <w:tcBorders>
              <w:top w:val="single" w:sz="4" w:space="0" w:color="000000"/>
              <w:left w:val="single" w:sz="4" w:space="0" w:color="000000"/>
              <w:bottom w:val="single" w:sz="4" w:space="0" w:color="000000"/>
              <w:right w:val="single" w:sz="4" w:space="0" w:color="000000"/>
            </w:tcBorders>
            <w:shd w:val="clear" w:color="auto" w:fill="D9D9D9"/>
          </w:tcPr>
          <w:p w14:paraId="0375BC08" w14:textId="77777777" w:rsidR="006842EE" w:rsidRDefault="006842EE">
            <w:pPr>
              <w:widowControl w:val="0"/>
              <w:rPr>
                <w:rFonts w:ascii="Titillium" w:hAnsi="Titillium" w:cstheme="minorHAnsi"/>
                <w:sz w:val="18"/>
                <w:szCs w:val="18"/>
              </w:rPr>
            </w:pPr>
          </w:p>
        </w:tc>
        <w:tc>
          <w:tcPr>
            <w:tcW w:w="1622" w:type="dxa"/>
            <w:tcBorders>
              <w:top w:val="single" w:sz="4" w:space="0" w:color="000000"/>
              <w:left w:val="single" w:sz="4" w:space="0" w:color="000000"/>
              <w:bottom w:val="single" w:sz="4" w:space="0" w:color="000000"/>
              <w:right w:val="single" w:sz="4" w:space="0" w:color="000000"/>
            </w:tcBorders>
            <w:shd w:val="clear" w:color="auto" w:fill="D9D9D9"/>
          </w:tcPr>
          <w:p w14:paraId="56BB2BDD" w14:textId="77777777" w:rsidR="006842EE" w:rsidRDefault="008F2625">
            <w:pPr>
              <w:widowControl w:val="0"/>
              <w:spacing w:before="56"/>
              <w:ind w:left="465"/>
              <w:rPr>
                <w:rFonts w:ascii="Titillium" w:hAnsi="Titillium" w:cstheme="minorHAnsi"/>
                <w:i/>
                <w:sz w:val="18"/>
                <w:szCs w:val="18"/>
              </w:rPr>
            </w:pPr>
            <w:r>
              <w:rPr>
                <w:rFonts w:ascii="Titillium" w:hAnsi="Titillium" w:cstheme="minorHAnsi"/>
                <w:i/>
                <w:sz w:val="18"/>
                <w:szCs w:val="18"/>
              </w:rPr>
              <w:t>Criterio</w:t>
            </w:r>
          </w:p>
        </w:tc>
        <w:tc>
          <w:tcPr>
            <w:tcW w:w="793" w:type="dxa"/>
            <w:tcBorders>
              <w:top w:val="single" w:sz="4" w:space="0" w:color="000000"/>
              <w:left w:val="single" w:sz="4" w:space="0" w:color="000000"/>
              <w:bottom w:val="single" w:sz="4" w:space="0" w:color="000000"/>
              <w:right w:val="single" w:sz="4" w:space="0" w:color="000000"/>
            </w:tcBorders>
            <w:shd w:val="clear" w:color="auto" w:fill="D9D9D9"/>
          </w:tcPr>
          <w:p w14:paraId="658E9686" w14:textId="77777777" w:rsidR="006842EE" w:rsidRDefault="008F2625">
            <w:pPr>
              <w:widowControl w:val="0"/>
              <w:spacing w:before="56"/>
              <w:ind w:left="126"/>
              <w:rPr>
                <w:rFonts w:ascii="Titillium" w:hAnsi="Titillium" w:cstheme="minorHAnsi"/>
                <w:i/>
                <w:sz w:val="18"/>
                <w:szCs w:val="18"/>
              </w:rPr>
            </w:pPr>
            <w:r>
              <w:rPr>
                <w:rFonts w:ascii="Titillium" w:hAnsi="Titillium" w:cstheme="minorHAnsi"/>
                <w:i/>
                <w:sz w:val="18"/>
                <w:szCs w:val="18"/>
              </w:rPr>
              <w:t>punti</w:t>
            </w:r>
          </w:p>
        </w:tc>
        <w:tc>
          <w:tcPr>
            <w:tcW w:w="698" w:type="dxa"/>
            <w:tcBorders>
              <w:top w:val="single" w:sz="4" w:space="0" w:color="000000"/>
              <w:left w:val="single" w:sz="4" w:space="0" w:color="000000"/>
              <w:bottom w:val="single" w:sz="4" w:space="0" w:color="000000"/>
              <w:right w:val="single" w:sz="4" w:space="0" w:color="000000"/>
            </w:tcBorders>
            <w:shd w:val="clear" w:color="auto" w:fill="D9D9D9"/>
          </w:tcPr>
          <w:p w14:paraId="2A317955" w14:textId="77777777" w:rsidR="006842EE" w:rsidRDefault="008F2625">
            <w:pPr>
              <w:widowControl w:val="0"/>
              <w:spacing w:before="56"/>
              <w:ind w:left="270"/>
              <w:jc w:val="center"/>
              <w:rPr>
                <w:rFonts w:ascii="Titillium" w:hAnsi="Titillium" w:cstheme="minorHAnsi"/>
                <w:i/>
                <w:sz w:val="18"/>
                <w:szCs w:val="18"/>
              </w:rPr>
            </w:pPr>
            <w:r>
              <w:rPr>
                <w:rFonts w:ascii="Titillium" w:hAnsi="Titillium" w:cstheme="minorHAnsi"/>
                <w:i/>
                <w:sz w:val="18"/>
                <w:szCs w:val="18"/>
              </w:rPr>
              <w:t>n.</w:t>
            </w:r>
          </w:p>
        </w:tc>
        <w:tc>
          <w:tcPr>
            <w:tcW w:w="3977" w:type="dxa"/>
            <w:tcBorders>
              <w:top w:val="single" w:sz="4" w:space="0" w:color="000000"/>
              <w:left w:val="single" w:sz="4" w:space="0" w:color="000000"/>
              <w:bottom w:val="single" w:sz="4" w:space="0" w:color="000000"/>
              <w:right w:val="single" w:sz="4" w:space="0" w:color="000000"/>
            </w:tcBorders>
            <w:shd w:val="clear" w:color="auto" w:fill="D9D9D9"/>
          </w:tcPr>
          <w:p w14:paraId="470885E0" w14:textId="77777777" w:rsidR="006842EE" w:rsidRDefault="008F2625">
            <w:pPr>
              <w:widowControl w:val="0"/>
              <w:spacing w:before="56"/>
              <w:ind w:left="776"/>
              <w:jc w:val="center"/>
              <w:rPr>
                <w:rFonts w:ascii="Titillium" w:hAnsi="Titillium" w:cstheme="minorHAnsi"/>
                <w:i/>
                <w:sz w:val="18"/>
                <w:szCs w:val="18"/>
              </w:rPr>
            </w:pPr>
            <w:r>
              <w:rPr>
                <w:rFonts w:ascii="Titillium" w:hAnsi="Titillium" w:cstheme="minorHAnsi"/>
                <w:i/>
                <w:sz w:val="18"/>
                <w:szCs w:val="18"/>
              </w:rPr>
              <w:t>sub-criteri di valutazione</w:t>
            </w:r>
          </w:p>
        </w:tc>
        <w:tc>
          <w:tcPr>
            <w:tcW w:w="1000" w:type="dxa"/>
            <w:tcBorders>
              <w:top w:val="single" w:sz="4" w:space="0" w:color="000000"/>
              <w:left w:val="single" w:sz="4" w:space="0" w:color="000000"/>
              <w:bottom w:val="single" w:sz="4" w:space="0" w:color="000000"/>
              <w:right w:val="single" w:sz="4" w:space="0" w:color="000000"/>
            </w:tcBorders>
            <w:shd w:val="clear" w:color="auto" w:fill="D9D9D9"/>
          </w:tcPr>
          <w:p w14:paraId="2D04AD9B" w14:textId="77777777" w:rsidR="006842EE" w:rsidRDefault="008F2625">
            <w:pPr>
              <w:widowControl w:val="0"/>
              <w:spacing w:before="56"/>
              <w:ind w:left="125"/>
              <w:jc w:val="center"/>
              <w:rPr>
                <w:rFonts w:ascii="Titillium" w:hAnsi="Titillium" w:cstheme="minorHAnsi"/>
                <w:i/>
                <w:sz w:val="18"/>
                <w:szCs w:val="18"/>
              </w:rPr>
            </w:pPr>
            <w:r>
              <w:rPr>
                <w:rFonts w:ascii="Titillium" w:hAnsi="Titillium" w:cstheme="minorHAnsi"/>
                <w:i/>
                <w:sz w:val="18"/>
                <w:szCs w:val="18"/>
              </w:rPr>
              <w:t>punti D</w:t>
            </w:r>
          </w:p>
        </w:tc>
        <w:tc>
          <w:tcPr>
            <w:tcW w:w="984" w:type="dxa"/>
            <w:tcBorders>
              <w:top w:val="single" w:sz="4" w:space="0" w:color="000000"/>
              <w:left w:val="single" w:sz="4" w:space="0" w:color="000000"/>
              <w:bottom w:val="single" w:sz="4" w:space="0" w:color="000000"/>
              <w:right w:val="single" w:sz="4" w:space="0" w:color="000000"/>
            </w:tcBorders>
            <w:shd w:val="clear" w:color="auto" w:fill="D9D9D9"/>
          </w:tcPr>
          <w:p w14:paraId="2784D4DF" w14:textId="77777777" w:rsidR="006842EE" w:rsidRDefault="008F2625">
            <w:pPr>
              <w:widowControl w:val="0"/>
              <w:spacing w:before="56"/>
              <w:ind w:left="139"/>
              <w:jc w:val="center"/>
              <w:rPr>
                <w:rFonts w:ascii="Titillium" w:hAnsi="Titillium" w:cstheme="minorHAnsi"/>
                <w:i/>
                <w:sz w:val="18"/>
                <w:szCs w:val="18"/>
              </w:rPr>
            </w:pPr>
            <w:r>
              <w:rPr>
                <w:rFonts w:ascii="Titillium" w:hAnsi="Titillium" w:cstheme="minorHAnsi"/>
                <w:i/>
                <w:sz w:val="18"/>
                <w:szCs w:val="18"/>
              </w:rPr>
              <w:t>punti T</w:t>
            </w:r>
          </w:p>
        </w:tc>
      </w:tr>
      <w:tr w:rsidR="006842EE" w14:paraId="62C72D63" w14:textId="77777777">
        <w:trPr>
          <w:trHeight w:val="561"/>
          <w:jc w:val="center"/>
        </w:trPr>
        <w:tc>
          <w:tcPr>
            <w:tcW w:w="555" w:type="dxa"/>
            <w:vMerge w:val="restart"/>
            <w:tcBorders>
              <w:top w:val="single" w:sz="4" w:space="0" w:color="000000"/>
              <w:left w:val="single" w:sz="4" w:space="0" w:color="000000"/>
              <w:bottom w:val="single" w:sz="4" w:space="0" w:color="000000"/>
              <w:right w:val="single" w:sz="4" w:space="0" w:color="000000"/>
            </w:tcBorders>
          </w:tcPr>
          <w:p w14:paraId="1C83C923" w14:textId="77777777" w:rsidR="006842EE" w:rsidRDefault="006842EE">
            <w:pPr>
              <w:widowControl w:val="0"/>
              <w:spacing w:before="9"/>
              <w:rPr>
                <w:rFonts w:ascii="Titillium" w:hAnsi="Titillium" w:cstheme="minorHAnsi"/>
                <w:b/>
                <w:i/>
                <w:sz w:val="18"/>
                <w:szCs w:val="18"/>
              </w:rPr>
            </w:pPr>
          </w:p>
          <w:p w14:paraId="06C80BA6" w14:textId="77777777" w:rsidR="006842EE" w:rsidRDefault="008F2625">
            <w:pPr>
              <w:widowControl w:val="0"/>
              <w:ind w:left="69"/>
              <w:rPr>
                <w:rFonts w:ascii="Titillium" w:hAnsi="Titillium" w:cstheme="minorHAnsi"/>
                <w:sz w:val="18"/>
                <w:szCs w:val="18"/>
              </w:rPr>
            </w:pPr>
            <w:r>
              <w:rPr>
                <w:rFonts w:ascii="Titillium" w:hAnsi="Titillium" w:cstheme="minorHAnsi"/>
                <w:sz w:val="18"/>
                <w:szCs w:val="18"/>
              </w:rPr>
              <w:t>1</w:t>
            </w:r>
          </w:p>
        </w:tc>
        <w:tc>
          <w:tcPr>
            <w:tcW w:w="1622" w:type="dxa"/>
            <w:vMerge w:val="restart"/>
            <w:tcBorders>
              <w:top w:val="single" w:sz="4" w:space="0" w:color="000000"/>
              <w:left w:val="single" w:sz="4" w:space="0" w:color="000000"/>
              <w:bottom w:val="single" w:sz="4" w:space="0" w:color="000000"/>
              <w:right w:val="single" w:sz="4" w:space="0" w:color="000000"/>
            </w:tcBorders>
          </w:tcPr>
          <w:p w14:paraId="4373A12B" w14:textId="77777777" w:rsidR="006842EE" w:rsidRDefault="006842EE">
            <w:pPr>
              <w:widowControl w:val="0"/>
              <w:spacing w:before="9"/>
              <w:rPr>
                <w:rFonts w:ascii="Titillium" w:hAnsi="Titillium" w:cstheme="minorHAnsi"/>
                <w:b/>
                <w:i/>
                <w:sz w:val="18"/>
                <w:szCs w:val="18"/>
              </w:rPr>
            </w:pPr>
          </w:p>
          <w:p w14:paraId="45FABB7F" w14:textId="77777777" w:rsidR="006842EE" w:rsidRDefault="008F2625">
            <w:pPr>
              <w:widowControl w:val="0"/>
              <w:ind w:left="7"/>
              <w:jc w:val="center"/>
              <w:rPr>
                <w:rFonts w:ascii="Titillium" w:hAnsi="Titillium" w:cstheme="minorHAnsi"/>
                <w:sz w:val="18"/>
                <w:szCs w:val="18"/>
              </w:rPr>
            </w:pPr>
            <w:r>
              <w:rPr>
                <w:rFonts w:ascii="Titillium" w:hAnsi="Titillium" w:cstheme="minorHAnsi"/>
                <w:sz w:val="18"/>
                <w:szCs w:val="18"/>
              </w:rPr>
              <w:t>…</w:t>
            </w:r>
          </w:p>
        </w:tc>
        <w:tc>
          <w:tcPr>
            <w:tcW w:w="793" w:type="dxa"/>
            <w:vMerge w:val="restart"/>
            <w:tcBorders>
              <w:top w:val="single" w:sz="4" w:space="0" w:color="000000"/>
              <w:left w:val="single" w:sz="4" w:space="0" w:color="000000"/>
              <w:bottom w:val="single" w:sz="4" w:space="0" w:color="000000"/>
              <w:right w:val="single" w:sz="4" w:space="0" w:color="000000"/>
            </w:tcBorders>
          </w:tcPr>
          <w:p w14:paraId="3EF7DEEA" w14:textId="77777777" w:rsidR="006842EE" w:rsidRDefault="006842EE">
            <w:pPr>
              <w:widowControl w:val="0"/>
              <w:spacing w:before="9"/>
              <w:rPr>
                <w:rFonts w:ascii="Titillium" w:hAnsi="Titillium" w:cstheme="minorHAnsi"/>
                <w:b/>
                <w:i/>
                <w:sz w:val="18"/>
                <w:szCs w:val="18"/>
              </w:rPr>
            </w:pPr>
          </w:p>
          <w:p w14:paraId="462F8070" w14:textId="77777777" w:rsidR="006842EE" w:rsidRDefault="008F2625">
            <w:pPr>
              <w:widowControl w:val="0"/>
              <w:ind w:left="6"/>
              <w:jc w:val="center"/>
              <w:rPr>
                <w:rFonts w:ascii="Titillium" w:hAnsi="Titillium" w:cstheme="minorHAnsi"/>
                <w:sz w:val="18"/>
                <w:szCs w:val="18"/>
              </w:rPr>
            </w:pPr>
            <w:r>
              <w:rPr>
                <w:rFonts w:ascii="Titillium" w:hAnsi="Titillium" w:cstheme="minorHAnsi"/>
                <w:sz w:val="18"/>
                <w:szCs w:val="18"/>
              </w:rPr>
              <w:t>…</w:t>
            </w:r>
          </w:p>
        </w:tc>
        <w:tc>
          <w:tcPr>
            <w:tcW w:w="698" w:type="dxa"/>
            <w:tcBorders>
              <w:top w:val="single" w:sz="4" w:space="0" w:color="000000"/>
              <w:left w:val="single" w:sz="4" w:space="0" w:color="000000"/>
              <w:bottom w:val="single" w:sz="4" w:space="0" w:color="000000"/>
              <w:right w:val="single" w:sz="4" w:space="0" w:color="000000"/>
            </w:tcBorders>
          </w:tcPr>
          <w:p w14:paraId="275F22D4" w14:textId="77777777" w:rsidR="006842EE" w:rsidRDefault="008F2625">
            <w:pPr>
              <w:widowControl w:val="0"/>
              <w:spacing w:before="134"/>
              <w:ind w:left="10"/>
              <w:jc w:val="center"/>
              <w:rPr>
                <w:rFonts w:ascii="Titillium" w:hAnsi="Titillium" w:cstheme="minorHAnsi"/>
                <w:sz w:val="18"/>
                <w:szCs w:val="18"/>
              </w:rPr>
            </w:pPr>
            <w:r>
              <w:rPr>
                <w:rFonts w:ascii="Titillium" w:hAnsi="Titillium" w:cstheme="minorHAnsi"/>
                <w:sz w:val="18"/>
                <w:szCs w:val="18"/>
              </w:rPr>
              <w:t>…</w:t>
            </w:r>
          </w:p>
        </w:tc>
        <w:tc>
          <w:tcPr>
            <w:tcW w:w="3977" w:type="dxa"/>
            <w:tcBorders>
              <w:top w:val="single" w:sz="4" w:space="0" w:color="000000"/>
              <w:left w:val="single" w:sz="4" w:space="0" w:color="000000"/>
              <w:bottom w:val="single" w:sz="4" w:space="0" w:color="000000"/>
              <w:right w:val="single" w:sz="4" w:space="0" w:color="000000"/>
            </w:tcBorders>
          </w:tcPr>
          <w:p w14:paraId="07C7E634" w14:textId="77777777" w:rsidR="006842EE" w:rsidRDefault="008F2625">
            <w:pPr>
              <w:widowControl w:val="0"/>
              <w:spacing w:before="134"/>
              <w:ind w:left="776"/>
              <w:jc w:val="center"/>
              <w:rPr>
                <w:rFonts w:ascii="Titillium" w:hAnsi="Titillium" w:cstheme="minorHAnsi"/>
                <w:sz w:val="18"/>
                <w:szCs w:val="18"/>
              </w:rPr>
            </w:pPr>
            <w:r>
              <w:rPr>
                <w:rFonts w:ascii="Titillium" w:hAnsi="Titillium" w:cstheme="minorHAnsi"/>
                <w:sz w:val="18"/>
                <w:szCs w:val="18"/>
              </w:rPr>
              <w:t>….</w:t>
            </w:r>
          </w:p>
        </w:tc>
        <w:tc>
          <w:tcPr>
            <w:tcW w:w="1000" w:type="dxa"/>
            <w:tcBorders>
              <w:top w:val="single" w:sz="4" w:space="0" w:color="000000"/>
              <w:left w:val="single" w:sz="4" w:space="0" w:color="000000"/>
              <w:bottom w:val="single" w:sz="4" w:space="0" w:color="000000"/>
              <w:right w:val="single" w:sz="4" w:space="0" w:color="000000"/>
            </w:tcBorders>
          </w:tcPr>
          <w:p w14:paraId="1AD6FB6F" w14:textId="77777777" w:rsidR="006842EE" w:rsidRDefault="008F2625">
            <w:pPr>
              <w:widowControl w:val="0"/>
              <w:spacing w:before="134"/>
              <w:ind w:left="6"/>
              <w:jc w:val="center"/>
              <w:rPr>
                <w:rFonts w:ascii="Titillium" w:hAnsi="Titillium" w:cstheme="minorHAnsi"/>
                <w:sz w:val="18"/>
                <w:szCs w:val="18"/>
              </w:rPr>
            </w:pPr>
            <w:r>
              <w:rPr>
                <w:rFonts w:ascii="Titillium" w:hAnsi="Titillium" w:cstheme="minorHAnsi"/>
                <w:sz w:val="18"/>
                <w:szCs w:val="18"/>
              </w:rPr>
              <w:t>…</w:t>
            </w:r>
          </w:p>
        </w:tc>
        <w:tc>
          <w:tcPr>
            <w:tcW w:w="984" w:type="dxa"/>
            <w:tcBorders>
              <w:top w:val="single" w:sz="4" w:space="0" w:color="000000"/>
              <w:left w:val="single" w:sz="4" w:space="0" w:color="000000"/>
              <w:bottom w:val="single" w:sz="4" w:space="0" w:color="000000"/>
              <w:right w:val="single" w:sz="4" w:space="0" w:color="000000"/>
            </w:tcBorders>
          </w:tcPr>
          <w:p w14:paraId="4478A10C" w14:textId="77777777" w:rsidR="006842EE" w:rsidRDefault="008F2625">
            <w:pPr>
              <w:widowControl w:val="0"/>
              <w:spacing w:before="134"/>
              <w:ind w:left="7"/>
              <w:jc w:val="center"/>
              <w:rPr>
                <w:rFonts w:ascii="Titillium" w:hAnsi="Titillium" w:cstheme="minorHAnsi"/>
                <w:sz w:val="18"/>
                <w:szCs w:val="18"/>
              </w:rPr>
            </w:pPr>
            <w:r>
              <w:rPr>
                <w:rFonts w:ascii="Titillium" w:hAnsi="Titillium" w:cstheme="minorHAnsi"/>
                <w:sz w:val="18"/>
                <w:szCs w:val="18"/>
              </w:rPr>
              <w:t>…</w:t>
            </w:r>
          </w:p>
        </w:tc>
      </w:tr>
      <w:tr w:rsidR="006842EE" w14:paraId="715C5447" w14:textId="77777777">
        <w:trPr>
          <w:trHeight w:val="560"/>
          <w:jc w:val="center"/>
        </w:trPr>
        <w:tc>
          <w:tcPr>
            <w:tcW w:w="555" w:type="dxa"/>
            <w:vMerge/>
            <w:tcBorders>
              <w:top w:val="single" w:sz="4" w:space="0" w:color="000000"/>
              <w:left w:val="single" w:sz="4" w:space="0" w:color="000000"/>
              <w:bottom w:val="single" w:sz="4" w:space="0" w:color="000000"/>
              <w:right w:val="single" w:sz="4" w:space="0" w:color="000000"/>
            </w:tcBorders>
          </w:tcPr>
          <w:p w14:paraId="0E251B9D" w14:textId="77777777" w:rsidR="006842EE" w:rsidRDefault="006842EE">
            <w:pPr>
              <w:widowControl w:val="0"/>
              <w:rPr>
                <w:rFonts w:ascii="Titillium" w:hAnsi="Titillium" w:cstheme="minorHAnsi"/>
                <w:sz w:val="18"/>
                <w:szCs w:val="18"/>
              </w:rPr>
            </w:pPr>
          </w:p>
        </w:tc>
        <w:tc>
          <w:tcPr>
            <w:tcW w:w="1622" w:type="dxa"/>
            <w:vMerge/>
            <w:tcBorders>
              <w:top w:val="single" w:sz="4" w:space="0" w:color="000000"/>
              <w:left w:val="single" w:sz="4" w:space="0" w:color="000000"/>
              <w:bottom w:val="single" w:sz="4" w:space="0" w:color="000000"/>
              <w:right w:val="single" w:sz="4" w:space="0" w:color="000000"/>
            </w:tcBorders>
          </w:tcPr>
          <w:p w14:paraId="40A1180C" w14:textId="77777777" w:rsidR="006842EE" w:rsidRDefault="006842EE">
            <w:pPr>
              <w:widowControl w:val="0"/>
              <w:rPr>
                <w:rFonts w:ascii="Titillium" w:hAnsi="Titillium" w:cstheme="minorHAnsi"/>
                <w:sz w:val="18"/>
                <w:szCs w:val="18"/>
              </w:rPr>
            </w:pPr>
          </w:p>
        </w:tc>
        <w:tc>
          <w:tcPr>
            <w:tcW w:w="793" w:type="dxa"/>
            <w:vMerge/>
            <w:tcBorders>
              <w:top w:val="single" w:sz="4" w:space="0" w:color="000000"/>
              <w:left w:val="single" w:sz="4" w:space="0" w:color="000000"/>
              <w:bottom w:val="single" w:sz="4" w:space="0" w:color="000000"/>
              <w:right w:val="single" w:sz="4" w:space="0" w:color="000000"/>
            </w:tcBorders>
          </w:tcPr>
          <w:p w14:paraId="7F245F2B" w14:textId="77777777" w:rsidR="006842EE" w:rsidRDefault="006842EE">
            <w:pPr>
              <w:widowControl w:val="0"/>
              <w:rPr>
                <w:rFonts w:ascii="Titillium" w:hAnsi="Titillium" w:cstheme="minorHAnsi"/>
                <w:sz w:val="18"/>
                <w:szCs w:val="18"/>
              </w:rPr>
            </w:pPr>
          </w:p>
        </w:tc>
        <w:tc>
          <w:tcPr>
            <w:tcW w:w="698" w:type="dxa"/>
            <w:tcBorders>
              <w:top w:val="single" w:sz="4" w:space="0" w:color="000000"/>
              <w:left w:val="single" w:sz="4" w:space="0" w:color="000000"/>
              <w:bottom w:val="single" w:sz="4" w:space="0" w:color="000000"/>
              <w:right w:val="single" w:sz="4" w:space="0" w:color="000000"/>
            </w:tcBorders>
          </w:tcPr>
          <w:p w14:paraId="3163FA85" w14:textId="77777777" w:rsidR="006842EE" w:rsidRDefault="008F2625">
            <w:pPr>
              <w:widowControl w:val="0"/>
              <w:spacing w:before="134"/>
              <w:ind w:left="10"/>
              <w:jc w:val="center"/>
              <w:rPr>
                <w:rFonts w:ascii="Titillium" w:hAnsi="Titillium" w:cstheme="minorHAnsi"/>
                <w:sz w:val="18"/>
                <w:szCs w:val="18"/>
              </w:rPr>
            </w:pPr>
            <w:r>
              <w:rPr>
                <w:rFonts w:ascii="Titillium" w:hAnsi="Titillium" w:cstheme="minorHAnsi"/>
                <w:sz w:val="18"/>
                <w:szCs w:val="18"/>
              </w:rPr>
              <w:t>…</w:t>
            </w:r>
          </w:p>
        </w:tc>
        <w:tc>
          <w:tcPr>
            <w:tcW w:w="3977" w:type="dxa"/>
            <w:tcBorders>
              <w:top w:val="single" w:sz="4" w:space="0" w:color="000000"/>
              <w:left w:val="single" w:sz="4" w:space="0" w:color="000000"/>
              <w:bottom w:val="single" w:sz="4" w:space="0" w:color="000000"/>
              <w:right w:val="single" w:sz="4" w:space="0" w:color="000000"/>
            </w:tcBorders>
          </w:tcPr>
          <w:p w14:paraId="638E8A92" w14:textId="77777777" w:rsidR="006842EE" w:rsidRDefault="008F2625">
            <w:pPr>
              <w:widowControl w:val="0"/>
              <w:spacing w:before="134"/>
              <w:ind w:left="776"/>
              <w:jc w:val="center"/>
              <w:rPr>
                <w:rFonts w:ascii="Titillium" w:hAnsi="Titillium" w:cstheme="minorHAnsi"/>
                <w:sz w:val="18"/>
                <w:szCs w:val="18"/>
              </w:rPr>
            </w:pPr>
            <w:r>
              <w:rPr>
                <w:rFonts w:ascii="Titillium" w:hAnsi="Titillium" w:cstheme="minorHAnsi"/>
                <w:sz w:val="18"/>
                <w:szCs w:val="18"/>
              </w:rPr>
              <w:t>….</w:t>
            </w:r>
          </w:p>
        </w:tc>
        <w:tc>
          <w:tcPr>
            <w:tcW w:w="1000" w:type="dxa"/>
            <w:tcBorders>
              <w:top w:val="single" w:sz="4" w:space="0" w:color="000000"/>
              <w:left w:val="single" w:sz="4" w:space="0" w:color="000000"/>
              <w:bottom w:val="single" w:sz="4" w:space="0" w:color="000000"/>
              <w:right w:val="single" w:sz="4" w:space="0" w:color="000000"/>
            </w:tcBorders>
          </w:tcPr>
          <w:p w14:paraId="6E66DD1A" w14:textId="77777777" w:rsidR="006842EE" w:rsidRDefault="008F2625">
            <w:pPr>
              <w:widowControl w:val="0"/>
              <w:spacing w:before="134"/>
              <w:ind w:left="6"/>
              <w:jc w:val="center"/>
              <w:rPr>
                <w:rFonts w:ascii="Titillium" w:hAnsi="Titillium" w:cstheme="minorHAnsi"/>
                <w:sz w:val="18"/>
                <w:szCs w:val="18"/>
              </w:rPr>
            </w:pPr>
            <w:r>
              <w:rPr>
                <w:rFonts w:ascii="Titillium" w:hAnsi="Titillium" w:cstheme="minorHAnsi"/>
                <w:sz w:val="18"/>
                <w:szCs w:val="18"/>
              </w:rPr>
              <w:t>…</w:t>
            </w:r>
          </w:p>
        </w:tc>
        <w:tc>
          <w:tcPr>
            <w:tcW w:w="984" w:type="dxa"/>
            <w:tcBorders>
              <w:top w:val="single" w:sz="4" w:space="0" w:color="000000"/>
              <w:left w:val="single" w:sz="4" w:space="0" w:color="000000"/>
              <w:bottom w:val="single" w:sz="4" w:space="0" w:color="000000"/>
              <w:right w:val="single" w:sz="4" w:space="0" w:color="000000"/>
            </w:tcBorders>
          </w:tcPr>
          <w:p w14:paraId="7B3D1505" w14:textId="77777777" w:rsidR="006842EE" w:rsidRDefault="008F2625">
            <w:pPr>
              <w:widowControl w:val="0"/>
              <w:spacing w:before="134"/>
              <w:ind w:left="7"/>
              <w:jc w:val="center"/>
              <w:rPr>
                <w:rFonts w:ascii="Titillium" w:hAnsi="Titillium" w:cstheme="minorHAnsi"/>
                <w:sz w:val="18"/>
                <w:szCs w:val="18"/>
              </w:rPr>
            </w:pPr>
            <w:r>
              <w:rPr>
                <w:rFonts w:ascii="Titillium" w:hAnsi="Titillium" w:cstheme="minorHAnsi"/>
                <w:sz w:val="18"/>
                <w:szCs w:val="18"/>
              </w:rPr>
              <w:t>…</w:t>
            </w:r>
          </w:p>
        </w:tc>
      </w:tr>
      <w:tr w:rsidR="006842EE" w14:paraId="6B21B665" w14:textId="77777777">
        <w:trPr>
          <w:trHeight w:val="561"/>
          <w:jc w:val="center"/>
        </w:trPr>
        <w:tc>
          <w:tcPr>
            <w:tcW w:w="555" w:type="dxa"/>
            <w:vMerge w:val="restart"/>
            <w:tcBorders>
              <w:top w:val="single" w:sz="4" w:space="0" w:color="000000"/>
              <w:left w:val="single" w:sz="4" w:space="0" w:color="000000"/>
              <w:bottom w:val="single" w:sz="4" w:space="0" w:color="000000"/>
              <w:right w:val="single" w:sz="4" w:space="0" w:color="000000"/>
            </w:tcBorders>
          </w:tcPr>
          <w:p w14:paraId="7E1A248C" w14:textId="77777777" w:rsidR="006842EE" w:rsidRDefault="006842EE">
            <w:pPr>
              <w:widowControl w:val="0"/>
              <w:spacing w:before="9"/>
              <w:rPr>
                <w:rFonts w:ascii="Titillium" w:hAnsi="Titillium" w:cstheme="minorHAnsi"/>
                <w:b/>
                <w:i/>
                <w:sz w:val="18"/>
                <w:szCs w:val="18"/>
              </w:rPr>
            </w:pPr>
          </w:p>
          <w:p w14:paraId="4BF8F955" w14:textId="77777777" w:rsidR="006842EE" w:rsidRDefault="008F2625">
            <w:pPr>
              <w:widowControl w:val="0"/>
              <w:ind w:left="69"/>
              <w:rPr>
                <w:rFonts w:ascii="Titillium" w:hAnsi="Titillium" w:cstheme="minorHAnsi"/>
                <w:sz w:val="18"/>
                <w:szCs w:val="18"/>
              </w:rPr>
            </w:pPr>
            <w:r>
              <w:rPr>
                <w:rFonts w:ascii="Titillium" w:hAnsi="Titillium" w:cstheme="minorHAnsi"/>
                <w:sz w:val="18"/>
                <w:szCs w:val="18"/>
              </w:rPr>
              <w:t>2</w:t>
            </w:r>
          </w:p>
        </w:tc>
        <w:tc>
          <w:tcPr>
            <w:tcW w:w="1622" w:type="dxa"/>
            <w:vMerge w:val="restart"/>
            <w:tcBorders>
              <w:top w:val="single" w:sz="4" w:space="0" w:color="000000"/>
              <w:left w:val="single" w:sz="4" w:space="0" w:color="000000"/>
              <w:bottom w:val="single" w:sz="4" w:space="0" w:color="000000"/>
              <w:right w:val="single" w:sz="4" w:space="0" w:color="000000"/>
            </w:tcBorders>
          </w:tcPr>
          <w:p w14:paraId="29821011" w14:textId="77777777" w:rsidR="006842EE" w:rsidRDefault="006842EE">
            <w:pPr>
              <w:widowControl w:val="0"/>
              <w:spacing w:before="9"/>
              <w:rPr>
                <w:rFonts w:ascii="Titillium" w:hAnsi="Titillium" w:cstheme="minorHAnsi"/>
                <w:b/>
                <w:i/>
                <w:sz w:val="18"/>
                <w:szCs w:val="18"/>
              </w:rPr>
            </w:pPr>
          </w:p>
          <w:p w14:paraId="7DAF1C03" w14:textId="77777777" w:rsidR="006842EE" w:rsidRDefault="008F2625">
            <w:pPr>
              <w:widowControl w:val="0"/>
              <w:ind w:left="7"/>
              <w:jc w:val="center"/>
              <w:rPr>
                <w:rFonts w:ascii="Titillium" w:hAnsi="Titillium" w:cstheme="minorHAnsi"/>
                <w:sz w:val="18"/>
                <w:szCs w:val="18"/>
              </w:rPr>
            </w:pPr>
            <w:r>
              <w:rPr>
                <w:rFonts w:ascii="Titillium" w:hAnsi="Titillium" w:cstheme="minorHAnsi"/>
                <w:sz w:val="18"/>
                <w:szCs w:val="18"/>
              </w:rPr>
              <w:t>…</w:t>
            </w:r>
          </w:p>
        </w:tc>
        <w:tc>
          <w:tcPr>
            <w:tcW w:w="793" w:type="dxa"/>
            <w:vMerge w:val="restart"/>
            <w:tcBorders>
              <w:top w:val="single" w:sz="4" w:space="0" w:color="000000"/>
              <w:left w:val="single" w:sz="4" w:space="0" w:color="000000"/>
              <w:bottom w:val="single" w:sz="4" w:space="0" w:color="000000"/>
              <w:right w:val="single" w:sz="4" w:space="0" w:color="000000"/>
            </w:tcBorders>
          </w:tcPr>
          <w:p w14:paraId="41D29600" w14:textId="77777777" w:rsidR="006842EE" w:rsidRDefault="006842EE">
            <w:pPr>
              <w:widowControl w:val="0"/>
              <w:spacing w:before="9"/>
              <w:rPr>
                <w:rFonts w:ascii="Titillium" w:hAnsi="Titillium" w:cstheme="minorHAnsi"/>
                <w:b/>
                <w:i/>
                <w:sz w:val="18"/>
                <w:szCs w:val="18"/>
              </w:rPr>
            </w:pPr>
          </w:p>
          <w:p w14:paraId="46D16207" w14:textId="77777777" w:rsidR="006842EE" w:rsidRDefault="008F2625">
            <w:pPr>
              <w:widowControl w:val="0"/>
              <w:ind w:left="6"/>
              <w:jc w:val="center"/>
              <w:rPr>
                <w:rFonts w:ascii="Titillium" w:hAnsi="Titillium" w:cstheme="minorHAnsi"/>
                <w:sz w:val="18"/>
                <w:szCs w:val="18"/>
              </w:rPr>
            </w:pPr>
            <w:r>
              <w:rPr>
                <w:rFonts w:ascii="Titillium" w:hAnsi="Titillium" w:cstheme="minorHAnsi"/>
                <w:sz w:val="18"/>
                <w:szCs w:val="18"/>
              </w:rPr>
              <w:t>…</w:t>
            </w:r>
          </w:p>
        </w:tc>
        <w:tc>
          <w:tcPr>
            <w:tcW w:w="698" w:type="dxa"/>
            <w:tcBorders>
              <w:top w:val="single" w:sz="4" w:space="0" w:color="000000"/>
              <w:left w:val="single" w:sz="4" w:space="0" w:color="000000"/>
              <w:bottom w:val="single" w:sz="4" w:space="0" w:color="000000"/>
              <w:right w:val="single" w:sz="4" w:space="0" w:color="000000"/>
            </w:tcBorders>
          </w:tcPr>
          <w:p w14:paraId="69AA9330" w14:textId="77777777" w:rsidR="006842EE" w:rsidRDefault="008F2625">
            <w:pPr>
              <w:widowControl w:val="0"/>
              <w:spacing w:before="134"/>
              <w:ind w:left="10"/>
              <w:jc w:val="center"/>
              <w:rPr>
                <w:rFonts w:ascii="Titillium" w:hAnsi="Titillium" w:cstheme="minorHAnsi"/>
                <w:sz w:val="18"/>
                <w:szCs w:val="18"/>
              </w:rPr>
            </w:pPr>
            <w:r>
              <w:rPr>
                <w:rFonts w:ascii="Titillium" w:hAnsi="Titillium" w:cstheme="minorHAnsi"/>
                <w:sz w:val="18"/>
                <w:szCs w:val="18"/>
              </w:rPr>
              <w:t>…</w:t>
            </w:r>
          </w:p>
        </w:tc>
        <w:tc>
          <w:tcPr>
            <w:tcW w:w="3977" w:type="dxa"/>
            <w:tcBorders>
              <w:top w:val="single" w:sz="4" w:space="0" w:color="000000"/>
              <w:left w:val="single" w:sz="4" w:space="0" w:color="000000"/>
              <w:bottom w:val="single" w:sz="4" w:space="0" w:color="000000"/>
              <w:right w:val="single" w:sz="4" w:space="0" w:color="000000"/>
            </w:tcBorders>
          </w:tcPr>
          <w:p w14:paraId="4FDD80D0" w14:textId="77777777" w:rsidR="006842EE" w:rsidRDefault="008F2625">
            <w:pPr>
              <w:widowControl w:val="0"/>
              <w:spacing w:before="134"/>
              <w:ind w:left="776"/>
              <w:jc w:val="center"/>
              <w:rPr>
                <w:rFonts w:ascii="Titillium" w:hAnsi="Titillium" w:cstheme="minorHAnsi"/>
                <w:sz w:val="18"/>
                <w:szCs w:val="18"/>
              </w:rPr>
            </w:pPr>
            <w:r>
              <w:rPr>
                <w:rFonts w:ascii="Titillium" w:hAnsi="Titillium" w:cstheme="minorHAnsi"/>
                <w:sz w:val="18"/>
                <w:szCs w:val="18"/>
              </w:rPr>
              <w:t>….</w:t>
            </w:r>
          </w:p>
        </w:tc>
        <w:tc>
          <w:tcPr>
            <w:tcW w:w="1000" w:type="dxa"/>
            <w:tcBorders>
              <w:top w:val="single" w:sz="4" w:space="0" w:color="000000"/>
              <w:left w:val="single" w:sz="4" w:space="0" w:color="000000"/>
              <w:bottom w:val="single" w:sz="4" w:space="0" w:color="000000"/>
              <w:right w:val="single" w:sz="4" w:space="0" w:color="000000"/>
            </w:tcBorders>
          </w:tcPr>
          <w:p w14:paraId="7FA3865F" w14:textId="77777777" w:rsidR="006842EE" w:rsidRDefault="008F2625">
            <w:pPr>
              <w:widowControl w:val="0"/>
              <w:spacing w:before="134"/>
              <w:ind w:left="6"/>
              <w:jc w:val="center"/>
              <w:rPr>
                <w:rFonts w:ascii="Titillium" w:hAnsi="Titillium" w:cstheme="minorHAnsi"/>
                <w:sz w:val="18"/>
                <w:szCs w:val="18"/>
              </w:rPr>
            </w:pPr>
            <w:r>
              <w:rPr>
                <w:rFonts w:ascii="Titillium" w:hAnsi="Titillium" w:cstheme="minorHAnsi"/>
                <w:sz w:val="18"/>
                <w:szCs w:val="18"/>
              </w:rPr>
              <w:t>…</w:t>
            </w:r>
          </w:p>
        </w:tc>
        <w:tc>
          <w:tcPr>
            <w:tcW w:w="984" w:type="dxa"/>
            <w:tcBorders>
              <w:top w:val="single" w:sz="4" w:space="0" w:color="000000"/>
              <w:left w:val="single" w:sz="4" w:space="0" w:color="000000"/>
              <w:bottom w:val="single" w:sz="4" w:space="0" w:color="000000"/>
              <w:right w:val="single" w:sz="4" w:space="0" w:color="000000"/>
            </w:tcBorders>
          </w:tcPr>
          <w:p w14:paraId="3F66F069" w14:textId="77777777" w:rsidR="006842EE" w:rsidRDefault="008F2625">
            <w:pPr>
              <w:widowControl w:val="0"/>
              <w:spacing w:before="134"/>
              <w:ind w:left="7"/>
              <w:jc w:val="center"/>
              <w:rPr>
                <w:rFonts w:ascii="Titillium" w:hAnsi="Titillium" w:cstheme="minorHAnsi"/>
                <w:sz w:val="18"/>
                <w:szCs w:val="18"/>
              </w:rPr>
            </w:pPr>
            <w:r>
              <w:rPr>
                <w:rFonts w:ascii="Titillium" w:hAnsi="Titillium" w:cstheme="minorHAnsi"/>
                <w:sz w:val="18"/>
                <w:szCs w:val="18"/>
              </w:rPr>
              <w:t>…</w:t>
            </w:r>
          </w:p>
        </w:tc>
      </w:tr>
      <w:tr w:rsidR="006842EE" w14:paraId="5DE16101" w14:textId="77777777">
        <w:trPr>
          <w:trHeight w:val="561"/>
          <w:jc w:val="center"/>
        </w:trPr>
        <w:tc>
          <w:tcPr>
            <w:tcW w:w="555" w:type="dxa"/>
            <w:vMerge/>
            <w:tcBorders>
              <w:top w:val="single" w:sz="4" w:space="0" w:color="000000"/>
              <w:left w:val="single" w:sz="4" w:space="0" w:color="000000"/>
              <w:bottom w:val="single" w:sz="4" w:space="0" w:color="000000"/>
              <w:right w:val="single" w:sz="4" w:space="0" w:color="000000"/>
            </w:tcBorders>
          </w:tcPr>
          <w:p w14:paraId="075F411F" w14:textId="77777777" w:rsidR="006842EE" w:rsidRDefault="006842EE">
            <w:pPr>
              <w:widowControl w:val="0"/>
              <w:rPr>
                <w:rFonts w:ascii="Titillium" w:hAnsi="Titillium" w:cstheme="minorHAnsi"/>
                <w:sz w:val="18"/>
                <w:szCs w:val="18"/>
              </w:rPr>
            </w:pPr>
          </w:p>
        </w:tc>
        <w:tc>
          <w:tcPr>
            <w:tcW w:w="1622" w:type="dxa"/>
            <w:vMerge/>
            <w:tcBorders>
              <w:top w:val="single" w:sz="4" w:space="0" w:color="000000"/>
              <w:left w:val="single" w:sz="4" w:space="0" w:color="000000"/>
              <w:bottom w:val="single" w:sz="4" w:space="0" w:color="000000"/>
              <w:right w:val="single" w:sz="4" w:space="0" w:color="000000"/>
            </w:tcBorders>
          </w:tcPr>
          <w:p w14:paraId="6C52029F" w14:textId="77777777" w:rsidR="006842EE" w:rsidRDefault="006842EE">
            <w:pPr>
              <w:widowControl w:val="0"/>
              <w:rPr>
                <w:rFonts w:ascii="Titillium" w:hAnsi="Titillium" w:cstheme="minorHAnsi"/>
                <w:sz w:val="18"/>
                <w:szCs w:val="18"/>
              </w:rPr>
            </w:pPr>
          </w:p>
        </w:tc>
        <w:tc>
          <w:tcPr>
            <w:tcW w:w="793" w:type="dxa"/>
            <w:vMerge/>
            <w:tcBorders>
              <w:top w:val="single" w:sz="4" w:space="0" w:color="000000"/>
              <w:left w:val="single" w:sz="4" w:space="0" w:color="000000"/>
              <w:bottom w:val="single" w:sz="4" w:space="0" w:color="000000"/>
              <w:right w:val="single" w:sz="4" w:space="0" w:color="000000"/>
            </w:tcBorders>
          </w:tcPr>
          <w:p w14:paraId="213B8F17" w14:textId="77777777" w:rsidR="006842EE" w:rsidRDefault="006842EE">
            <w:pPr>
              <w:widowControl w:val="0"/>
              <w:rPr>
                <w:rFonts w:ascii="Titillium" w:hAnsi="Titillium" w:cstheme="minorHAnsi"/>
                <w:sz w:val="18"/>
                <w:szCs w:val="18"/>
              </w:rPr>
            </w:pPr>
          </w:p>
        </w:tc>
        <w:tc>
          <w:tcPr>
            <w:tcW w:w="698" w:type="dxa"/>
            <w:tcBorders>
              <w:top w:val="single" w:sz="4" w:space="0" w:color="000000"/>
              <w:left w:val="single" w:sz="4" w:space="0" w:color="000000"/>
              <w:bottom w:val="single" w:sz="4" w:space="0" w:color="000000"/>
              <w:right w:val="single" w:sz="4" w:space="0" w:color="000000"/>
            </w:tcBorders>
          </w:tcPr>
          <w:p w14:paraId="04ED2C9E" w14:textId="77777777" w:rsidR="006842EE" w:rsidRDefault="008F2625">
            <w:pPr>
              <w:widowControl w:val="0"/>
              <w:spacing w:before="134"/>
              <w:ind w:left="10"/>
              <w:jc w:val="center"/>
              <w:rPr>
                <w:rFonts w:ascii="Titillium" w:hAnsi="Titillium" w:cstheme="minorHAnsi"/>
                <w:sz w:val="18"/>
                <w:szCs w:val="18"/>
              </w:rPr>
            </w:pPr>
            <w:r>
              <w:rPr>
                <w:rFonts w:ascii="Titillium" w:hAnsi="Titillium" w:cstheme="minorHAnsi"/>
                <w:sz w:val="18"/>
                <w:szCs w:val="18"/>
              </w:rPr>
              <w:t>…</w:t>
            </w:r>
          </w:p>
        </w:tc>
        <w:tc>
          <w:tcPr>
            <w:tcW w:w="3977" w:type="dxa"/>
            <w:tcBorders>
              <w:top w:val="single" w:sz="4" w:space="0" w:color="000000"/>
              <w:left w:val="single" w:sz="4" w:space="0" w:color="000000"/>
              <w:bottom w:val="single" w:sz="4" w:space="0" w:color="000000"/>
              <w:right w:val="single" w:sz="4" w:space="0" w:color="000000"/>
            </w:tcBorders>
          </w:tcPr>
          <w:p w14:paraId="19D552E9" w14:textId="77777777" w:rsidR="006842EE" w:rsidRDefault="008F2625">
            <w:pPr>
              <w:widowControl w:val="0"/>
              <w:spacing w:before="134"/>
              <w:ind w:left="776"/>
              <w:jc w:val="center"/>
              <w:rPr>
                <w:rFonts w:ascii="Titillium" w:hAnsi="Titillium" w:cstheme="minorHAnsi"/>
                <w:sz w:val="18"/>
                <w:szCs w:val="18"/>
              </w:rPr>
            </w:pPr>
            <w:r>
              <w:rPr>
                <w:rFonts w:ascii="Titillium" w:hAnsi="Titillium" w:cstheme="minorHAnsi"/>
                <w:sz w:val="18"/>
                <w:szCs w:val="18"/>
              </w:rPr>
              <w:t>….</w:t>
            </w:r>
          </w:p>
        </w:tc>
        <w:tc>
          <w:tcPr>
            <w:tcW w:w="1000" w:type="dxa"/>
            <w:tcBorders>
              <w:top w:val="single" w:sz="4" w:space="0" w:color="000000"/>
              <w:left w:val="single" w:sz="4" w:space="0" w:color="000000"/>
              <w:bottom w:val="single" w:sz="4" w:space="0" w:color="000000"/>
              <w:right w:val="single" w:sz="4" w:space="0" w:color="000000"/>
            </w:tcBorders>
          </w:tcPr>
          <w:p w14:paraId="27DA8040" w14:textId="77777777" w:rsidR="006842EE" w:rsidRDefault="008F2625">
            <w:pPr>
              <w:widowControl w:val="0"/>
              <w:spacing w:before="134"/>
              <w:ind w:left="6"/>
              <w:jc w:val="center"/>
              <w:rPr>
                <w:rFonts w:ascii="Titillium" w:hAnsi="Titillium" w:cstheme="minorHAnsi"/>
                <w:sz w:val="18"/>
                <w:szCs w:val="18"/>
              </w:rPr>
            </w:pPr>
            <w:r>
              <w:rPr>
                <w:rFonts w:ascii="Titillium" w:hAnsi="Titillium" w:cstheme="minorHAnsi"/>
                <w:sz w:val="18"/>
                <w:szCs w:val="18"/>
              </w:rPr>
              <w:t>…</w:t>
            </w:r>
          </w:p>
        </w:tc>
        <w:tc>
          <w:tcPr>
            <w:tcW w:w="984" w:type="dxa"/>
            <w:tcBorders>
              <w:top w:val="single" w:sz="4" w:space="0" w:color="000000"/>
              <w:left w:val="single" w:sz="4" w:space="0" w:color="000000"/>
              <w:bottom w:val="single" w:sz="4" w:space="0" w:color="000000"/>
              <w:right w:val="single" w:sz="4" w:space="0" w:color="000000"/>
            </w:tcBorders>
          </w:tcPr>
          <w:p w14:paraId="0476D54B" w14:textId="77777777" w:rsidR="006842EE" w:rsidRDefault="008F2625">
            <w:pPr>
              <w:widowControl w:val="0"/>
              <w:spacing w:before="134"/>
              <w:ind w:left="7"/>
              <w:jc w:val="center"/>
              <w:rPr>
                <w:rFonts w:ascii="Titillium" w:hAnsi="Titillium" w:cstheme="minorHAnsi"/>
                <w:sz w:val="18"/>
                <w:szCs w:val="18"/>
              </w:rPr>
            </w:pPr>
            <w:r>
              <w:rPr>
                <w:rFonts w:ascii="Titillium" w:hAnsi="Titillium" w:cstheme="minorHAnsi"/>
                <w:sz w:val="18"/>
                <w:szCs w:val="18"/>
              </w:rPr>
              <w:t>…</w:t>
            </w:r>
          </w:p>
        </w:tc>
      </w:tr>
    </w:tbl>
    <w:p w14:paraId="7533CA2F" w14:textId="77777777" w:rsidR="006842EE" w:rsidRDefault="006842EE">
      <w:pPr>
        <w:spacing w:before="120" w:after="60"/>
        <w:rPr>
          <w:rFonts w:ascii="Titillium" w:hAnsi="Titillium"/>
          <w:sz w:val="18"/>
          <w:szCs w:val="18"/>
          <w:lang w:eastAsia="it-IT"/>
        </w:rPr>
      </w:pPr>
    </w:p>
    <w:tbl>
      <w:tblPr>
        <w:tblW w:w="9630" w:type="dxa"/>
        <w:jc w:val="center"/>
        <w:tblLayout w:type="fixed"/>
        <w:tblLook w:val="0000" w:firstRow="0" w:lastRow="0" w:firstColumn="0" w:lastColumn="0" w:noHBand="0" w:noVBand="0"/>
      </w:tblPr>
      <w:tblGrid>
        <w:gridCol w:w="556"/>
        <w:gridCol w:w="1622"/>
        <w:gridCol w:w="793"/>
        <w:gridCol w:w="698"/>
        <w:gridCol w:w="3977"/>
        <w:gridCol w:w="1000"/>
        <w:gridCol w:w="984"/>
      </w:tblGrid>
      <w:tr w:rsidR="006842EE" w14:paraId="500E4066" w14:textId="77777777">
        <w:trPr>
          <w:trHeight w:val="487"/>
          <w:jc w:val="center"/>
        </w:trPr>
        <w:tc>
          <w:tcPr>
            <w:tcW w:w="555" w:type="dxa"/>
            <w:tcBorders>
              <w:top w:val="single" w:sz="4" w:space="0" w:color="000000"/>
              <w:left w:val="single" w:sz="4" w:space="0" w:color="000000"/>
              <w:bottom w:val="single" w:sz="4" w:space="0" w:color="000000"/>
              <w:right w:val="single" w:sz="4" w:space="0" w:color="000000"/>
            </w:tcBorders>
            <w:shd w:val="clear" w:color="auto" w:fill="D9D9D9"/>
          </w:tcPr>
          <w:p w14:paraId="5EE072D2" w14:textId="77777777" w:rsidR="006842EE" w:rsidRDefault="008F2625">
            <w:pPr>
              <w:widowControl w:val="0"/>
              <w:spacing w:before="56"/>
              <w:ind w:left="7"/>
              <w:jc w:val="center"/>
              <w:rPr>
                <w:rFonts w:ascii="Titillium" w:hAnsi="Titillium" w:cstheme="minorHAnsi"/>
                <w:b/>
                <w:sz w:val="18"/>
                <w:szCs w:val="18"/>
              </w:rPr>
            </w:pPr>
            <w:r>
              <w:rPr>
                <w:rFonts w:ascii="Titillium" w:hAnsi="Titillium" w:cstheme="minorHAnsi"/>
                <w:b/>
                <w:sz w:val="18"/>
                <w:szCs w:val="18"/>
              </w:rPr>
              <w:t>c</w:t>
            </w:r>
          </w:p>
        </w:tc>
        <w:tc>
          <w:tcPr>
            <w:tcW w:w="9074" w:type="dxa"/>
            <w:gridSpan w:val="6"/>
            <w:tcBorders>
              <w:top w:val="single" w:sz="4" w:space="0" w:color="000000"/>
              <w:left w:val="single" w:sz="4" w:space="0" w:color="000000"/>
              <w:bottom w:val="single" w:sz="4" w:space="0" w:color="000000"/>
              <w:right w:val="single" w:sz="4" w:space="0" w:color="000000"/>
            </w:tcBorders>
            <w:shd w:val="clear" w:color="auto" w:fill="D9D9D9"/>
          </w:tcPr>
          <w:p w14:paraId="63A1C4F8" w14:textId="77777777" w:rsidR="006842EE" w:rsidRDefault="008F2625">
            <w:pPr>
              <w:widowControl w:val="0"/>
              <w:spacing w:before="56"/>
              <w:ind w:left="69"/>
              <w:rPr>
                <w:rFonts w:ascii="Titillium" w:hAnsi="Titillium" w:cstheme="minorHAnsi"/>
                <w:b/>
                <w:sz w:val="18"/>
                <w:szCs w:val="18"/>
              </w:rPr>
            </w:pPr>
            <w:r>
              <w:rPr>
                <w:rFonts w:ascii="Titillium" w:hAnsi="Titillium" w:cstheme="minorHAnsi"/>
                <w:b/>
                <w:sz w:val="18"/>
                <w:szCs w:val="18"/>
              </w:rPr>
              <w:t>CARATTERISTICHE DELL’OFFERTA DI GESTIONE INFORMATIVA</w:t>
            </w:r>
          </w:p>
        </w:tc>
      </w:tr>
      <w:tr w:rsidR="006842EE" w14:paraId="588C72C7" w14:textId="77777777">
        <w:trPr>
          <w:trHeight w:val="488"/>
          <w:jc w:val="center"/>
        </w:trPr>
        <w:tc>
          <w:tcPr>
            <w:tcW w:w="555" w:type="dxa"/>
            <w:tcBorders>
              <w:top w:val="single" w:sz="4" w:space="0" w:color="000000"/>
              <w:left w:val="single" w:sz="4" w:space="0" w:color="000000"/>
              <w:bottom w:val="single" w:sz="4" w:space="0" w:color="000000"/>
              <w:right w:val="single" w:sz="4" w:space="0" w:color="000000"/>
            </w:tcBorders>
            <w:shd w:val="clear" w:color="auto" w:fill="D9D9D9"/>
          </w:tcPr>
          <w:p w14:paraId="4DC96EE2" w14:textId="77777777" w:rsidR="006842EE" w:rsidRDefault="006842EE">
            <w:pPr>
              <w:widowControl w:val="0"/>
              <w:rPr>
                <w:rFonts w:ascii="Titillium" w:hAnsi="Titillium" w:cstheme="minorHAnsi"/>
                <w:sz w:val="18"/>
                <w:szCs w:val="18"/>
              </w:rPr>
            </w:pPr>
          </w:p>
        </w:tc>
        <w:tc>
          <w:tcPr>
            <w:tcW w:w="1622" w:type="dxa"/>
            <w:tcBorders>
              <w:top w:val="single" w:sz="4" w:space="0" w:color="000000"/>
              <w:left w:val="single" w:sz="4" w:space="0" w:color="000000"/>
              <w:bottom w:val="single" w:sz="4" w:space="0" w:color="000000"/>
              <w:right w:val="single" w:sz="4" w:space="0" w:color="000000"/>
            </w:tcBorders>
            <w:shd w:val="clear" w:color="auto" w:fill="D9D9D9"/>
          </w:tcPr>
          <w:p w14:paraId="43AFA82C" w14:textId="77777777" w:rsidR="006842EE" w:rsidRDefault="008F2625">
            <w:pPr>
              <w:widowControl w:val="0"/>
              <w:spacing w:before="56"/>
              <w:ind w:left="465"/>
              <w:rPr>
                <w:rFonts w:ascii="Titillium" w:hAnsi="Titillium" w:cstheme="minorHAnsi"/>
                <w:i/>
                <w:sz w:val="18"/>
                <w:szCs w:val="18"/>
              </w:rPr>
            </w:pPr>
            <w:r>
              <w:rPr>
                <w:rFonts w:ascii="Titillium" w:hAnsi="Titillium" w:cstheme="minorHAnsi"/>
                <w:i/>
                <w:sz w:val="18"/>
                <w:szCs w:val="18"/>
              </w:rPr>
              <w:t>Criterio</w:t>
            </w:r>
          </w:p>
        </w:tc>
        <w:tc>
          <w:tcPr>
            <w:tcW w:w="793" w:type="dxa"/>
            <w:tcBorders>
              <w:top w:val="single" w:sz="4" w:space="0" w:color="000000"/>
              <w:left w:val="single" w:sz="4" w:space="0" w:color="000000"/>
              <w:bottom w:val="single" w:sz="4" w:space="0" w:color="000000"/>
              <w:right w:val="single" w:sz="4" w:space="0" w:color="000000"/>
            </w:tcBorders>
            <w:shd w:val="clear" w:color="auto" w:fill="D9D9D9"/>
          </w:tcPr>
          <w:p w14:paraId="44D3722E" w14:textId="77777777" w:rsidR="006842EE" w:rsidRDefault="008F2625">
            <w:pPr>
              <w:widowControl w:val="0"/>
              <w:spacing w:before="56"/>
              <w:ind w:left="126"/>
              <w:rPr>
                <w:rFonts w:ascii="Titillium" w:hAnsi="Titillium" w:cstheme="minorHAnsi"/>
                <w:i/>
                <w:sz w:val="18"/>
                <w:szCs w:val="18"/>
              </w:rPr>
            </w:pPr>
            <w:r>
              <w:rPr>
                <w:rFonts w:ascii="Titillium" w:hAnsi="Titillium" w:cstheme="minorHAnsi"/>
                <w:i/>
                <w:sz w:val="18"/>
                <w:szCs w:val="18"/>
              </w:rPr>
              <w:t>punti</w:t>
            </w:r>
          </w:p>
        </w:tc>
        <w:tc>
          <w:tcPr>
            <w:tcW w:w="698" w:type="dxa"/>
            <w:tcBorders>
              <w:top w:val="single" w:sz="4" w:space="0" w:color="000000"/>
              <w:left w:val="single" w:sz="4" w:space="0" w:color="000000"/>
              <w:bottom w:val="single" w:sz="4" w:space="0" w:color="000000"/>
              <w:right w:val="single" w:sz="4" w:space="0" w:color="000000"/>
            </w:tcBorders>
            <w:shd w:val="clear" w:color="auto" w:fill="D9D9D9"/>
          </w:tcPr>
          <w:p w14:paraId="7ED03283" w14:textId="77777777" w:rsidR="006842EE" w:rsidRDefault="008F2625">
            <w:pPr>
              <w:widowControl w:val="0"/>
              <w:spacing w:before="56"/>
              <w:ind w:left="270"/>
              <w:jc w:val="center"/>
              <w:rPr>
                <w:rFonts w:ascii="Titillium" w:hAnsi="Titillium" w:cstheme="minorHAnsi"/>
                <w:i/>
                <w:sz w:val="18"/>
                <w:szCs w:val="18"/>
              </w:rPr>
            </w:pPr>
            <w:r>
              <w:rPr>
                <w:rFonts w:ascii="Titillium" w:hAnsi="Titillium" w:cstheme="minorHAnsi"/>
                <w:i/>
                <w:sz w:val="18"/>
                <w:szCs w:val="18"/>
              </w:rPr>
              <w:t>n.</w:t>
            </w:r>
          </w:p>
        </w:tc>
        <w:tc>
          <w:tcPr>
            <w:tcW w:w="3977" w:type="dxa"/>
            <w:tcBorders>
              <w:top w:val="single" w:sz="4" w:space="0" w:color="000000"/>
              <w:left w:val="single" w:sz="4" w:space="0" w:color="000000"/>
              <w:bottom w:val="single" w:sz="4" w:space="0" w:color="000000"/>
              <w:right w:val="single" w:sz="4" w:space="0" w:color="000000"/>
            </w:tcBorders>
            <w:shd w:val="clear" w:color="auto" w:fill="D9D9D9"/>
          </w:tcPr>
          <w:p w14:paraId="142EC9B2" w14:textId="77777777" w:rsidR="006842EE" w:rsidRDefault="008F2625">
            <w:pPr>
              <w:widowControl w:val="0"/>
              <w:spacing w:before="56"/>
              <w:ind w:left="776"/>
              <w:jc w:val="center"/>
              <w:rPr>
                <w:rFonts w:ascii="Titillium" w:hAnsi="Titillium" w:cstheme="minorHAnsi"/>
                <w:i/>
                <w:sz w:val="18"/>
                <w:szCs w:val="18"/>
              </w:rPr>
            </w:pPr>
            <w:r>
              <w:rPr>
                <w:rFonts w:ascii="Titillium" w:hAnsi="Titillium" w:cstheme="minorHAnsi"/>
                <w:i/>
                <w:sz w:val="18"/>
                <w:szCs w:val="18"/>
              </w:rPr>
              <w:t>sub-criteri di valutazione</w:t>
            </w:r>
          </w:p>
        </w:tc>
        <w:tc>
          <w:tcPr>
            <w:tcW w:w="1000" w:type="dxa"/>
            <w:tcBorders>
              <w:top w:val="single" w:sz="4" w:space="0" w:color="000000"/>
              <w:left w:val="single" w:sz="4" w:space="0" w:color="000000"/>
              <w:bottom w:val="single" w:sz="4" w:space="0" w:color="000000"/>
              <w:right w:val="single" w:sz="4" w:space="0" w:color="000000"/>
            </w:tcBorders>
            <w:shd w:val="clear" w:color="auto" w:fill="D9D9D9"/>
          </w:tcPr>
          <w:p w14:paraId="61FC801D" w14:textId="77777777" w:rsidR="006842EE" w:rsidRDefault="008F2625">
            <w:pPr>
              <w:widowControl w:val="0"/>
              <w:spacing w:before="56"/>
              <w:ind w:left="125"/>
              <w:jc w:val="center"/>
              <w:rPr>
                <w:rFonts w:ascii="Titillium" w:hAnsi="Titillium" w:cstheme="minorHAnsi"/>
                <w:i/>
                <w:sz w:val="18"/>
                <w:szCs w:val="18"/>
              </w:rPr>
            </w:pPr>
            <w:r>
              <w:rPr>
                <w:rFonts w:ascii="Titillium" w:hAnsi="Titillium" w:cstheme="minorHAnsi"/>
                <w:i/>
                <w:sz w:val="18"/>
                <w:szCs w:val="18"/>
              </w:rPr>
              <w:t>punti D</w:t>
            </w:r>
          </w:p>
        </w:tc>
        <w:tc>
          <w:tcPr>
            <w:tcW w:w="984" w:type="dxa"/>
            <w:tcBorders>
              <w:top w:val="single" w:sz="4" w:space="0" w:color="000000"/>
              <w:left w:val="single" w:sz="4" w:space="0" w:color="000000"/>
              <w:bottom w:val="single" w:sz="4" w:space="0" w:color="000000"/>
              <w:right w:val="single" w:sz="4" w:space="0" w:color="000000"/>
            </w:tcBorders>
            <w:shd w:val="clear" w:color="auto" w:fill="D9D9D9"/>
          </w:tcPr>
          <w:p w14:paraId="2ECBB932" w14:textId="77777777" w:rsidR="006842EE" w:rsidRDefault="008F2625">
            <w:pPr>
              <w:widowControl w:val="0"/>
              <w:spacing w:before="56"/>
              <w:ind w:left="139"/>
              <w:jc w:val="center"/>
              <w:rPr>
                <w:rFonts w:ascii="Titillium" w:hAnsi="Titillium" w:cstheme="minorHAnsi"/>
                <w:i/>
                <w:sz w:val="18"/>
                <w:szCs w:val="18"/>
              </w:rPr>
            </w:pPr>
            <w:r>
              <w:rPr>
                <w:rFonts w:ascii="Titillium" w:hAnsi="Titillium" w:cstheme="minorHAnsi"/>
                <w:i/>
                <w:sz w:val="18"/>
                <w:szCs w:val="18"/>
              </w:rPr>
              <w:t>punti T</w:t>
            </w:r>
          </w:p>
        </w:tc>
      </w:tr>
      <w:tr w:rsidR="006842EE" w14:paraId="4CC74BFF" w14:textId="77777777">
        <w:trPr>
          <w:trHeight w:val="1101"/>
          <w:jc w:val="center"/>
        </w:trPr>
        <w:tc>
          <w:tcPr>
            <w:tcW w:w="555" w:type="dxa"/>
            <w:vMerge w:val="restart"/>
            <w:tcBorders>
              <w:top w:val="single" w:sz="4" w:space="0" w:color="000000"/>
              <w:left w:val="single" w:sz="4" w:space="0" w:color="000000"/>
              <w:bottom w:val="single" w:sz="4" w:space="0" w:color="000000"/>
              <w:right w:val="single" w:sz="4" w:space="0" w:color="000000"/>
            </w:tcBorders>
          </w:tcPr>
          <w:p w14:paraId="1F1C1E4D" w14:textId="77777777" w:rsidR="006842EE" w:rsidRDefault="006842EE">
            <w:pPr>
              <w:widowControl w:val="0"/>
              <w:spacing w:before="9"/>
              <w:rPr>
                <w:rFonts w:ascii="Titillium" w:hAnsi="Titillium" w:cstheme="minorHAnsi"/>
                <w:b/>
                <w:i/>
                <w:sz w:val="18"/>
                <w:szCs w:val="18"/>
              </w:rPr>
            </w:pPr>
          </w:p>
          <w:p w14:paraId="14C339EE" w14:textId="77777777" w:rsidR="006842EE" w:rsidRDefault="008F2625">
            <w:pPr>
              <w:widowControl w:val="0"/>
              <w:ind w:left="69"/>
              <w:rPr>
                <w:rFonts w:ascii="Titillium" w:hAnsi="Titillium" w:cstheme="minorHAnsi"/>
                <w:sz w:val="18"/>
                <w:szCs w:val="18"/>
              </w:rPr>
            </w:pPr>
            <w:r>
              <w:rPr>
                <w:rFonts w:ascii="Titillium" w:hAnsi="Titillium" w:cstheme="minorHAnsi"/>
                <w:sz w:val="18"/>
                <w:szCs w:val="18"/>
              </w:rPr>
              <w:t>1</w:t>
            </w:r>
          </w:p>
        </w:tc>
        <w:tc>
          <w:tcPr>
            <w:tcW w:w="1622" w:type="dxa"/>
            <w:vMerge w:val="restart"/>
            <w:tcBorders>
              <w:top w:val="single" w:sz="4" w:space="0" w:color="000000"/>
              <w:left w:val="single" w:sz="4" w:space="0" w:color="000000"/>
              <w:bottom w:val="single" w:sz="4" w:space="0" w:color="000000"/>
              <w:right w:val="single" w:sz="4" w:space="0" w:color="000000"/>
            </w:tcBorders>
          </w:tcPr>
          <w:p w14:paraId="20921DA7" w14:textId="77777777" w:rsidR="006842EE" w:rsidRDefault="006842EE">
            <w:pPr>
              <w:widowControl w:val="0"/>
              <w:spacing w:before="9"/>
              <w:rPr>
                <w:rFonts w:ascii="Titillium" w:hAnsi="Titillium" w:cstheme="minorHAnsi"/>
                <w:b/>
                <w:i/>
                <w:sz w:val="18"/>
                <w:szCs w:val="18"/>
              </w:rPr>
            </w:pPr>
          </w:p>
          <w:p w14:paraId="2088605E" w14:textId="77777777" w:rsidR="006842EE" w:rsidRDefault="008F2625">
            <w:pPr>
              <w:widowControl w:val="0"/>
              <w:ind w:left="7"/>
              <w:jc w:val="center"/>
              <w:rPr>
                <w:rFonts w:ascii="Titillium" w:hAnsi="Titillium" w:cstheme="minorHAnsi"/>
                <w:sz w:val="18"/>
                <w:szCs w:val="18"/>
              </w:rPr>
            </w:pPr>
            <w:r>
              <w:rPr>
                <w:rFonts w:ascii="Titillium" w:hAnsi="Titillium" w:cstheme="minorHAnsi"/>
                <w:sz w:val="18"/>
                <w:szCs w:val="18"/>
              </w:rPr>
              <w:t>qualità e rispondenza dell’offerta di gestione informativa rispetto alle richieste del capitolato informativo</w:t>
            </w:r>
          </w:p>
          <w:p w14:paraId="2AE5C1AE" w14:textId="77777777" w:rsidR="006842EE" w:rsidRDefault="008F2625">
            <w:pPr>
              <w:widowControl w:val="0"/>
              <w:ind w:left="7"/>
              <w:jc w:val="center"/>
              <w:rPr>
                <w:rFonts w:ascii="Titillium" w:hAnsi="Titillium" w:cstheme="minorHAnsi"/>
                <w:sz w:val="18"/>
                <w:szCs w:val="18"/>
              </w:rPr>
            </w:pPr>
            <w:r>
              <w:rPr>
                <w:rFonts w:ascii="Titillium" w:hAnsi="Titillium" w:cstheme="minorHAnsi"/>
                <w:sz w:val="18"/>
                <w:szCs w:val="18"/>
              </w:rPr>
              <w:t>…</w:t>
            </w:r>
          </w:p>
        </w:tc>
        <w:tc>
          <w:tcPr>
            <w:tcW w:w="793" w:type="dxa"/>
            <w:vMerge w:val="restart"/>
            <w:tcBorders>
              <w:top w:val="single" w:sz="4" w:space="0" w:color="000000"/>
              <w:left w:val="single" w:sz="4" w:space="0" w:color="000000"/>
              <w:bottom w:val="single" w:sz="4" w:space="0" w:color="000000"/>
              <w:right w:val="single" w:sz="4" w:space="0" w:color="000000"/>
            </w:tcBorders>
          </w:tcPr>
          <w:p w14:paraId="4B43E748" w14:textId="77777777" w:rsidR="006842EE" w:rsidRDefault="006842EE">
            <w:pPr>
              <w:widowControl w:val="0"/>
              <w:spacing w:before="9"/>
              <w:rPr>
                <w:rFonts w:ascii="Titillium" w:hAnsi="Titillium" w:cstheme="minorHAnsi"/>
                <w:b/>
                <w:i/>
                <w:sz w:val="18"/>
                <w:szCs w:val="18"/>
              </w:rPr>
            </w:pPr>
          </w:p>
          <w:p w14:paraId="070CA268" w14:textId="77777777" w:rsidR="006842EE" w:rsidRDefault="008F2625">
            <w:pPr>
              <w:widowControl w:val="0"/>
              <w:ind w:left="6"/>
              <w:jc w:val="center"/>
              <w:rPr>
                <w:rFonts w:ascii="Titillium" w:hAnsi="Titillium" w:cstheme="minorHAnsi"/>
                <w:sz w:val="18"/>
                <w:szCs w:val="18"/>
              </w:rPr>
            </w:pPr>
            <w:r>
              <w:rPr>
                <w:rFonts w:ascii="Titillium" w:hAnsi="Titillium" w:cstheme="minorHAnsi"/>
                <w:sz w:val="18"/>
                <w:szCs w:val="18"/>
              </w:rPr>
              <w:t>…</w:t>
            </w:r>
          </w:p>
        </w:tc>
        <w:tc>
          <w:tcPr>
            <w:tcW w:w="698" w:type="dxa"/>
            <w:tcBorders>
              <w:top w:val="single" w:sz="4" w:space="0" w:color="000000"/>
              <w:left w:val="single" w:sz="4" w:space="0" w:color="000000"/>
              <w:bottom w:val="single" w:sz="4" w:space="0" w:color="000000"/>
              <w:right w:val="single" w:sz="4" w:space="0" w:color="000000"/>
            </w:tcBorders>
          </w:tcPr>
          <w:p w14:paraId="0ABF1CD1" w14:textId="77777777" w:rsidR="006842EE" w:rsidRDefault="008F2625">
            <w:pPr>
              <w:widowControl w:val="0"/>
              <w:spacing w:before="134"/>
              <w:ind w:left="10"/>
              <w:jc w:val="center"/>
              <w:rPr>
                <w:rFonts w:ascii="Titillium" w:hAnsi="Titillium" w:cstheme="minorHAnsi"/>
                <w:sz w:val="18"/>
                <w:szCs w:val="18"/>
              </w:rPr>
            </w:pPr>
            <w:r>
              <w:rPr>
                <w:rFonts w:ascii="Titillium" w:hAnsi="Titillium" w:cstheme="minorHAnsi"/>
                <w:sz w:val="18"/>
                <w:szCs w:val="18"/>
              </w:rPr>
              <w:t>…</w:t>
            </w:r>
          </w:p>
        </w:tc>
        <w:tc>
          <w:tcPr>
            <w:tcW w:w="3977" w:type="dxa"/>
            <w:tcBorders>
              <w:top w:val="single" w:sz="4" w:space="0" w:color="000000"/>
              <w:left w:val="single" w:sz="4" w:space="0" w:color="000000"/>
              <w:bottom w:val="single" w:sz="4" w:space="0" w:color="000000"/>
              <w:right w:val="single" w:sz="4" w:space="0" w:color="000000"/>
            </w:tcBorders>
          </w:tcPr>
          <w:p w14:paraId="60C137C5" w14:textId="7FB91DA0" w:rsidR="006842EE" w:rsidRDefault="006842EE">
            <w:pPr>
              <w:widowControl w:val="0"/>
              <w:spacing w:before="134"/>
              <w:ind w:left="776"/>
              <w:jc w:val="center"/>
              <w:rPr>
                <w:rFonts w:ascii="Titillium" w:hAnsi="Titillium" w:cstheme="minorHAnsi"/>
                <w:sz w:val="18"/>
                <w:szCs w:val="18"/>
              </w:rPr>
            </w:pPr>
          </w:p>
        </w:tc>
        <w:tc>
          <w:tcPr>
            <w:tcW w:w="1000" w:type="dxa"/>
            <w:tcBorders>
              <w:top w:val="single" w:sz="4" w:space="0" w:color="000000"/>
              <w:left w:val="single" w:sz="4" w:space="0" w:color="000000"/>
              <w:bottom w:val="single" w:sz="4" w:space="0" w:color="000000"/>
              <w:right w:val="single" w:sz="4" w:space="0" w:color="000000"/>
            </w:tcBorders>
          </w:tcPr>
          <w:p w14:paraId="6F856318" w14:textId="77777777" w:rsidR="006842EE" w:rsidRDefault="008F2625">
            <w:pPr>
              <w:widowControl w:val="0"/>
              <w:spacing w:before="134"/>
              <w:ind w:left="6"/>
              <w:jc w:val="center"/>
              <w:rPr>
                <w:rFonts w:ascii="Titillium" w:hAnsi="Titillium" w:cstheme="minorHAnsi"/>
                <w:sz w:val="18"/>
                <w:szCs w:val="18"/>
              </w:rPr>
            </w:pPr>
            <w:r>
              <w:rPr>
                <w:rFonts w:ascii="Titillium" w:hAnsi="Titillium" w:cstheme="minorHAnsi"/>
                <w:sz w:val="18"/>
                <w:szCs w:val="18"/>
              </w:rPr>
              <w:t>…</w:t>
            </w:r>
          </w:p>
        </w:tc>
        <w:tc>
          <w:tcPr>
            <w:tcW w:w="984" w:type="dxa"/>
            <w:tcBorders>
              <w:top w:val="single" w:sz="4" w:space="0" w:color="000000"/>
              <w:left w:val="single" w:sz="4" w:space="0" w:color="000000"/>
              <w:bottom w:val="single" w:sz="4" w:space="0" w:color="000000"/>
              <w:right w:val="single" w:sz="4" w:space="0" w:color="000000"/>
            </w:tcBorders>
          </w:tcPr>
          <w:p w14:paraId="6B378A73" w14:textId="77777777" w:rsidR="006842EE" w:rsidRDefault="008F2625">
            <w:pPr>
              <w:widowControl w:val="0"/>
              <w:spacing w:before="134"/>
              <w:ind w:left="7"/>
              <w:jc w:val="center"/>
              <w:rPr>
                <w:rFonts w:ascii="Titillium" w:hAnsi="Titillium" w:cstheme="minorHAnsi"/>
                <w:sz w:val="18"/>
                <w:szCs w:val="18"/>
              </w:rPr>
            </w:pPr>
            <w:r>
              <w:rPr>
                <w:rFonts w:ascii="Titillium" w:hAnsi="Titillium" w:cstheme="minorHAnsi"/>
                <w:sz w:val="18"/>
                <w:szCs w:val="18"/>
              </w:rPr>
              <w:t>…</w:t>
            </w:r>
          </w:p>
        </w:tc>
      </w:tr>
      <w:tr w:rsidR="006842EE" w14:paraId="7A94BC17" w14:textId="77777777">
        <w:trPr>
          <w:trHeight w:val="692"/>
          <w:jc w:val="center"/>
        </w:trPr>
        <w:tc>
          <w:tcPr>
            <w:tcW w:w="555" w:type="dxa"/>
            <w:vMerge/>
            <w:tcBorders>
              <w:top w:val="single" w:sz="4" w:space="0" w:color="000000"/>
              <w:left w:val="single" w:sz="4" w:space="0" w:color="000000"/>
              <w:bottom w:val="single" w:sz="4" w:space="0" w:color="000000"/>
              <w:right w:val="single" w:sz="4" w:space="0" w:color="000000"/>
            </w:tcBorders>
          </w:tcPr>
          <w:p w14:paraId="14BB56F9" w14:textId="77777777" w:rsidR="006842EE" w:rsidRDefault="006842EE">
            <w:pPr>
              <w:widowControl w:val="0"/>
              <w:rPr>
                <w:rFonts w:ascii="Titillium" w:hAnsi="Titillium" w:cstheme="minorHAnsi"/>
                <w:sz w:val="18"/>
                <w:szCs w:val="18"/>
              </w:rPr>
            </w:pPr>
          </w:p>
        </w:tc>
        <w:tc>
          <w:tcPr>
            <w:tcW w:w="1622" w:type="dxa"/>
            <w:vMerge/>
            <w:tcBorders>
              <w:top w:val="single" w:sz="4" w:space="0" w:color="000000"/>
              <w:left w:val="single" w:sz="4" w:space="0" w:color="000000"/>
              <w:bottom w:val="single" w:sz="4" w:space="0" w:color="000000"/>
              <w:right w:val="single" w:sz="4" w:space="0" w:color="000000"/>
            </w:tcBorders>
          </w:tcPr>
          <w:p w14:paraId="7204400F" w14:textId="77777777" w:rsidR="006842EE" w:rsidRDefault="006842EE">
            <w:pPr>
              <w:widowControl w:val="0"/>
              <w:rPr>
                <w:rFonts w:ascii="Titillium" w:hAnsi="Titillium" w:cstheme="minorHAnsi"/>
                <w:sz w:val="18"/>
                <w:szCs w:val="18"/>
              </w:rPr>
            </w:pPr>
          </w:p>
        </w:tc>
        <w:tc>
          <w:tcPr>
            <w:tcW w:w="793" w:type="dxa"/>
            <w:vMerge/>
            <w:tcBorders>
              <w:top w:val="single" w:sz="4" w:space="0" w:color="000000"/>
              <w:left w:val="single" w:sz="4" w:space="0" w:color="000000"/>
              <w:bottom w:val="single" w:sz="4" w:space="0" w:color="000000"/>
              <w:right w:val="single" w:sz="4" w:space="0" w:color="000000"/>
            </w:tcBorders>
          </w:tcPr>
          <w:p w14:paraId="281A62BB" w14:textId="77777777" w:rsidR="006842EE" w:rsidRDefault="006842EE">
            <w:pPr>
              <w:widowControl w:val="0"/>
              <w:rPr>
                <w:rFonts w:ascii="Titillium" w:hAnsi="Titillium" w:cstheme="minorHAnsi"/>
                <w:sz w:val="18"/>
                <w:szCs w:val="18"/>
              </w:rPr>
            </w:pPr>
          </w:p>
        </w:tc>
        <w:tc>
          <w:tcPr>
            <w:tcW w:w="698" w:type="dxa"/>
            <w:tcBorders>
              <w:top w:val="single" w:sz="4" w:space="0" w:color="000000"/>
              <w:left w:val="single" w:sz="4" w:space="0" w:color="000000"/>
              <w:bottom w:val="single" w:sz="4" w:space="0" w:color="000000"/>
              <w:right w:val="single" w:sz="4" w:space="0" w:color="000000"/>
            </w:tcBorders>
          </w:tcPr>
          <w:p w14:paraId="174A6D56" w14:textId="77777777" w:rsidR="006842EE" w:rsidRDefault="008F2625">
            <w:pPr>
              <w:widowControl w:val="0"/>
              <w:spacing w:before="134"/>
              <w:ind w:left="10"/>
              <w:jc w:val="center"/>
              <w:rPr>
                <w:rFonts w:ascii="Titillium" w:hAnsi="Titillium" w:cstheme="minorHAnsi"/>
                <w:sz w:val="18"/>
                <w:szCs w:val="18"/>
              </w:rPr>
            </w:pPr>
            <w:r>
              <w:rPr>
                <w:rFonts w:ascii="Titillium" w:hAnsi="Titillium" w:cstheme="minorHAnsi"/>
                <w:sz w:val="18"/>
                <w:szCs w:val="18"/>
              </w:rPr>
              <w:t>…</w:t>
            </w:r>
          </w:p>
        </w:tc>
        <w:tc>
          <w:tcPr>
            <w:tcW w:w="3977" w:type="dxa"/>
            <w:tcBorders>
              <w:top w:val="single" w:sz="4" w:space="0" w:color="000000"/>
              <w:left w:val="single" w:sz="4" w:space="0" w:color="000000"/>
              <w:bottom w:val="single" w:sz="4" w:space="0" w:color="000000"/>
              <w:right w:val="single" w:sz="4" w:space="0" w:color="000000"/>
            </w:tcBorders>
          </w:tcPr>
          <w:p w14:paraId="1D514812" w14:textId="77777777" w:rsidR="006842EE" w:rsidRDefault="008F2625">
            <w:pPr>
              <w:widowControl w:val="0"/>
              <w:spacing w:before="134"/>
              <w:ind w:left="776"/>
              <w:jc w:val="center"/>
              <w:rPr>
                <w:rFonts w:ascii="Titillium" w:hAnsi="Titillium" w:cstheme="minorHAnsi"/>
                <w:sz w:val="18"/>
                <w:szCs w:val="18"/>
              </w:rPr>
            </w:pPr>
            <w:r>
              <w:rPr>
                <w:rFonts w:ascii="Titillium" w:hAnsi="Titillium" w:cstheme="minorHAnsi"/>
                <w:sz w:val="18"/>
                <w:szCs w:val="18"/>
              </w:rPr>
              <w:t>….</w:t>
            </w:r>
          </w:p>
        </w:tc>
        <w:tc>
          <w:tcPr>
            <w:tcW w:w="1000" w:type="dxa"/>
            <w:tcBorders>
              <w:top w:val="single" w:sz="4" w:space="0" w:color="000000"/>
              <w:left w:val="single" w:sz="4" w:space="0" w:color="000000"/>
              <w:bottom w:val="single" w:sz="4" w:space="0" w:color="000000"/>
              <w:right w:val="single" w:sz="4" w:space="0" w:color="000000"/>
            </w:tcBorders>
          </w:tcPr>
          <w:p w14:paraId="5246AD7C" w14:textId="77777777" w:rsidR="006842EE" w:rsidRDefault="008F2625">
            <w:pPr>
              <w:widowControl w:val="0"/>
              <w:spacing w:before="134"/>
              <w:ind w:left="6"/>
              <w:jc w:val="center"/>
              <w:rPr>
                <w:rFonts w:ascii="Titillium" w:hAnsi="Titillium" w:cstheme="minorHAnsi"/>
                <w:sz w:val="18"/>
                <w:szCs w:val="18"/>
              </w:rPr>
            </w:pPr>
            <w:r>
              <w:rPr>
                <w:rFonts w:ascii="Titillium" w:hAnsi="Titillium" w:cstheme="minorHAnsi"/>
                <w:sz w:val="18"/>
                <w:szCs w:val="18"/>
              </w:rPr>
              <w:t>…</w:t>
            </w:r>
          </w:p>
        </w:tc>
        <w:tc>
          <w:tcPr>
            <w:tcW w:w="984" w:type="dxa"/>
            <w:tcBorders>
              <w:top w:val="single" w:sz="4" w:space="0" w:color="000000"/>
              <w:left w:val="single" w:sz="4" w:space="0" w:color="000000"/>
              <w:bottom w:val="single" w:sz="4" w:space="0" w:color="000000"/>
              <w:right w:val="single" w:sz="4" w:space="0" w:color="000000"/>
            </w:tcBorders>
          </w:tcPr>
          <w:p w14:paraId="7C7A4ACE" w14:textId="77777777" w:rsidR="006842EE" w:rsidRDefault="008F2625">
            <w:pPr>
              <w:widowControl w:val="0"/>
              <w:spacing w:before="134"/>
              <w:ind w:left="7"/>
              <w:jc w:val="center"/>
              <w:rPr>
                <w:rFonts w:ascii="Titillium" w:hAnsi="Titillium" w:cstheme="minorHAnsi"/>
                <w:sz w:val="18"/>
                <w:szCs w:val="18"/>
              </w:rPr>
            </w:pPr>
            <w:r>
              <w:rPr>
                <w:rFonts w:ascii="Titillium" w:hAnsi="Titillium" w:cstheme="minorHAnsi"/>
                <w:sz w:val="18"/>
                <w:szCs w:val="18"/>
              </w:rPr>
              <w:t>…</w:t>
            </w:r>
          </w:p>
        </w:tc>
      </w:tr>
      <w:tr w:rsidR="006842EE" w14:paraId="04218658" w14:textId="77777777">
        <w:trPr>
          <w:trHeight w:val="561"/>
          <w:jc w:val="center"/>
        </w:trPr>
        <w:tc>
          <w:tcPr>
            <w:tcW w:w="555" w:type="dxa"/>
            <w:vMerge w:val="restart"/>
            <w:tcBorders>
              <w:top w:val="single" w:sz="4" w:space="0" w:color="000000"/>
              <w:left w:val="single" w:sz="4" w:space="0" w:color="000000"/>
              <w:bottom w:val="single" w:sz="4" w:space="0" w:color="000000"/>
              <w:right w:val="single" w:sz="4" w:space="0" w:color="000000"/>
            </w:tcBorders>
          </w:tcPr>
          <w:p w14:paraId="3700B6EA" w14:textId="77777777" w:rsidR="006842EE" w:rsidRDefault="006842EE">
            <w:pPr>
              <w:widowControl w:val="0"/>
              <w:spacing w:before="9"/>
              <w:rPr>
                <w:rFonts w:ascii="Titillium" w:hAnsi="Titillium" w:cstheme="minorHAnsi"/>
                <w:b/>
                <w:i/>
                <w:sz w:val="18"/>
                <w:szCs w:val="18"/>
              </w:rPr>
            </w:pPr>
          </w:p>
          <w:p w14:paraId="317612E3" w14:textId="77777777" w:rsidR="006842EE" w:rsidRDefault="008F2625">
            <w:pPr>
              <w:widowControl w:val="0"/>
              <w:ind w:left="69"/>
              <w:rPr>
                <w:rFonts w:ascii="Titillium" w:hAnsi="Titillium" w:cstheme="minorHAnsi"/>
                <w:sz w:val="18"/>
                <w:szCs w:val="18"/>
              </w:rPr>
            </w:pPr>
            <w:r>
              <w:rPr>
                <w:rFonts w:ascii="Titillium" w:hAnsi="Titillium" w:cstheme="minorHAnsi"/>
                <w:sz w:val="18"/>
                <w:szCs w:val="18"/>
              </w:rPr>
              <w:t>2</w:t>
            </w:r>
          </w:p>
        </w:tc>
        <w:tc>
          <w:tcPr>
            <w:tcW w:w="1622" w:type="dxa"/>
            <w:vMerge w:val="restart"/>
            <w:tcBorders>
              <w:top w:val="single" w:sz="4" w:space="0" w:color="000000"/>
              <w:left w:val="single" w:sz="4" w:space="0" w:color="000000"/>
              <w:bottom w:val="single" w:sz="4" w:space="0" w:color="000000"/>
              <w:right w:val="single" w:sz="4" w:space="0" w:color="000000"/>
            </w:tcBorders>
          </w:tcPr>
          <w:p w14:paraId="19BF6D2D" w14:textId="77777777" w:rsidR="006842EE" w:rsidRDefault="006842EE">
            <w:pPr>
              <w:widowControl w:val="0"/>
              <w:spacing w:before="9"/>
              <w:rPr>
                <w:rFonts w:ascii="Titillium" w:hAnsi="Titillium" w:cstheme="minorHAnsi"/>
                <w:b/>
                <w:i/>
                <w:sz w:val="18"/>
                <w:szCs w:val="18"/>
              </w:rPr>
            </w:pPr>
          </w:p>
          <w:p w14:paraId="5FCC219A" w14:textId="77777777" w:rsidR="006842EE" w:rsidRDefault="008F2625">
            <w:pPr>
              <w:widowControl w:val="0"/>
              <w:ind w:left="7"/>
              <w:jc w:val="center"/>
              <w:rPr>
                <w:rFonts w:ascii="Titillium" w:hAnsi="Titillium" w:cstheme="minorHAnsi"/>
                <w:sz w:val="18"/>
                <w:szCs w:val="18"/>
              </w:rPr>
            </w:pPr>
            <w:r>
              <w:rPr>
                <w:rFonts w:ascii="Titillium" w:hAnsi="Titillium" w:cstheme="minorHAnsi"/>
                <w:sz w:val="18"/>
                <w:szCs w:val="18"/>
              </w:rPr>
              <w:t>Esperienza pregressa…</w:t>
            </w:r>
          </w:p>
        </w:tc>
        <w:tc>
          <w:tcPr>
            <w:tcW w:w="793" w:type="dxa"/>
            <w:vMerge w:val="restart"/>
            <w:tcBorders>
              <w:top w:val="single" w:sz="4" w:space="0" w:color="000000"/>
              <w:left w:val="single" w:sz="4" w:space="0" w:color="000000"/>
              <w:bottom w:val="single" w:sz="4" w:space="0" w:color="000000"/>
              <w:right w:val="single" w:sz="4" w:space="0" w:color="000000"/>
            </w:tcBorders>
          </w:tcPr>
          <w:p w14:paraId="3531EB03" w14:textId="77777777" w:rsidR="006842EE" w:rsidRDefault="006842EE">
            <w:pPr>
              <w:widowControl w:val="0"/>
              <w:spacing w:before="9"/>
              <w:rPr>
                <w:rFonts w:ascii="Titillium" w:hAnsi="Titillium" w:cstheme="minorHAnsi"/>
                <w:b/>
                <w:i/>
                <w:sz w:val="18"/>
                <w:szCs w:val="18"/>
              </w:rPr>
            </w:pPr>
          </w:p>
          <w:p w14:paraId="5711924D" w14:textId="77777777" w:rsidR="006842EE" w:rsidRDefault="008F2625">
            <w:pPr>
              <w:widowControl w:val="0"/>
              <w:ind w:left="6"/>
              <w:jc w:val="center"/>
              <w:rPr>
                <w:rFonts w:ascii="Titillium" w:hAnsi="Titillium" w:cstheme="minorHAnsi"/>
                <w:sz w:val="18"/>
                <w:szCs w:val="18"/>
              </w:rPr>
            </w:pPr>
            <w:r>
              <w:rPr>
                <w:rFonts w:ascii="Titillium" w:hAnsi="Titillium" w:cstheme="minorHAnsi"/>
                <w:sz w:val="18"/>
                <w:szCs w:val="18"/>
              </w:rPr>
              <w:t>…</w:t>
            </w:r>
          </w:p>
        </w:tc>
        <w:tc>
          <w:tcPr>
            <w:tcW w:w="698" w:type="dxa"/>
            <w:tcBorders>
              <w:top w:val="single" w:sz="4" w:space="0" w:color="000000"/>
              <w:left w:val="single" w:sz="4" w:space="0" w:color="000000"/>
              <w:bottom w:val="single" w:sz="4" w:space="0" w:color="000000"/>
              <w:right w:val="single" w:sz="4" w:space="0" w:color="000000"/>
            </w:tcBorders>
          </w:tcPr>
          <w:p w14:paraId="5826875C" w14:textId="77777777" w:rsidR="006842EE" w:rsidRDefault="008F2625">
            <w:pPr>
              <w:widowControl w:val="0"/>
              <w:spacing w:before="134"/>
              <w:ind w:left="10"/>
              <w:jc w:val="center"/>
              <w:rPr>
                <w:rFonts w:ascii="Titillium" w:hAnsi="Titillium" w:cstheme="minorHAnsi"/>
                <w:sz w:val="18"/>
                <w:szCs w:val="18"/>
              </w:rPr>
            </w:pPr>
            <w:r>
              <w:rPr>
                <w:rFonts w:ascii="Titillium" w:hAnsi="Titillium" w:cstheme="minorHAnsi"/>
                <w:sz w:val="18"/>
                <w:szCs w:val="18"/>
              </w:rPr>
              <w:t>…</w:t>
            </w:r>
          </w:p>
        </w:tc>
        <w:tc>
          <w:tcPr>
            <w:tcW w:w="3977" w:type="dxa"/>
            <w:tcBorders>
              <w:top w:val="single" w:sz="4" w:space="0" w:color="000000"/>
              <w:left w:val="single" w:sz="4" w:space="0" w:color="000000"/>
              <w:bottom w:val="single" w:sz="4" w:space="0" w:color="000000"/>
              <w:right w:val="single" w:sz="4" w:space="0" w:color="000000"/>
            </w:tcBorders>
          </w:tcPr>
          <w:p w14:paraId="5923CA22" w14:textId="77777777" w:rsidR="006842EE" w:rsidRDefault="008F2625">
            <w:pPr>
              <w:widowControl w:val="0"/>
              <w:spacing w:before="134"/>
              <w:ind w:left="776"/>
              <w:jc w:val="center"/>
              <w:rPr>
                <w:rFonts w:ascii="Titillium" w:hAnsi="Titillium" w:cstheme="minorHAnsi"/>
                <w:sz w:val="18"/>
                <w:szCs w:val="18"/>
              </w:rPr>
            </w:pPr>
            <w:r>
              <w:rPr>
                <w:rFonts w:ascii="Titillium" w:hAnsi="Titillium" w:cstheme="minorHAnsi"/>
                <w:sz w:val="18"/>
                <w:szCs w:val="18"/>
              </w:rPr>
              <w:t>….</w:t>
            </w:r>
          </w:p>
        </w:tc>
        <w:tc>
          <w:tcPr>
            <w:tcW w:w="1000" w:type="dxa"/>
            <w:tcBorders>
              <w:top w:val="single" w:sz="4" w:space="0" w:color="000000"/>
              <w:left w:val="single" w:sz="4" w:space="0" w:color="000000"/>
              <w:bottom w:val="single" w:sz="4" w:space="0" w:color="000000"/>
              <w:right w:val="single" w:sz="4" w:space="0" w:color="000000"/>
            </w:tcBorders>
          </w:tcPr>
          <w:p w14:paraId="4D0E61E7" w14:textId="77777777" w:rsidR="006842EE" w:rsidRDefault="008F2625">
            <w:pPr>
              <w:widowControl w:val="0"/>
              <w:spacing w:before="134"/>
              <w:ind w:left="6"/>
              <w:jc w:val="center"/>
              <w:rPr>
                <w:rFonts w:ascii="Titillium" w:hAnsi="Titillium" w:cstheme="minorHAnsi"/>
                <w:sz w:val="18"/>
                <w:szCs w:val="18"/>
              </w:rPr>
            </w:pPr>
            <w:r>
              <w:rPr>
                <w:rFonts w:ascii="Titillium" w:hAnsi="Titillium" w:cstheme="minorHAnsi"/>
                <w:sz w:val="18"/>
                <w:szCs w:val="18"/>
              </w:rPr>
              <w:t>…</w:t>
            </w:r>
          </w:p>
        </w:tc>
        <w:tc>
          <w:tcPr>
            <w:tcW w:w="984" w:type="dxa"/>
            <w:tcBorders>
              <w:top w:val="single" w:sz="4" w:space="0" w:color="000000"/>
              <w:left w:val="single" w:sz="4" w:space="0" w:color="000000"/>
              <w:bottom w:val="single" w:sz="4" w:space="0" w:color="000000"/>
              <w:right w:val="single" w:sz="4" w:space="0" w:color="000000"/>
            </w:tcBorders>
          </w:tcPr>
          <w:p w14:paraId="3BCEB5CE" w14:textId="77777777" w:rsidR="006842EE" w:rsidRDefault="008F2625">
            <w:pPr>
              <w:widowControl w:val="0"/>
              <w:spacing w:before="134"/>
              <w:ind w:left="7"/>
              <w:jc w:val="center"/>
              <w:rPr>
                <w:rFonts w:ascii="Titillium" w:hAnsi="Titillium" w:cstheme="minorHAnsi"/>
                <w:sz w:val="18"/>
                <w:szCs w:val="18"/>
              </w:rPr>
            </w:pPr>
            <w:r>
              <w:rPr>
                <w:rFonts w:ascii="Titillium" w:hAnsi="Titillium" w:cstheme="minorHAnsi"/>
                <w:sz w:val="18"/>
                <w:szCs w:val="18"/>
              </w:rPr>
              <w:t>…</w:t>
            </w:r>
          </w:p>
        </w:tc>
      </w:tr>
      <w:tr w:rsidR="006842EE" w14:paraId="1B3AF610" w14:textId="77777777">
        <w:trPr>
          <w:trHeight w:val="561"/>
          <w:jc w:val="center"/>
        </w:trPr>
        <w:tc>
          <w:tcPr>
            <w:tcW w:w="555" w:type="dxa"/>
            <w:vMerge/>
            <w:tcBorders>
              <w:top w:val="single" w:sz="4" w:space="0" w:color="000000"/>
              <w:left w:val="single" w:sz="4" w:space="0" w:color="000000"/>
              <w:bottom w:val="single" w:sz="4" w:space="0" w:color="000000"/>
              <w:right w:val="single" w:sz="4" w:space="0" w:color="000000"/>
            </w:tcBorders>
          </w:tcPr>
          <w:p w14:paraId="152B7DAB" w14:textId="77777777" w:rsidR="006842EE" w:rsidRDefault="006842EE">
            <w:pPr>
              <w:widowControl w:val="0"/>
              <w:rPr>
                <w:rFonts w:ascii="Titillium" w:hAnsi="Titillium" w:cstheme="minorHAnsi"/>
                <w:sz w:val="18"/>
                <w:szCs w:val="18"/>
              </w:rPr>
            </w:pPr>
          </w:p>
        </w:tc>
        <w:tc>
          <w:tcPr>
            <w:tcW w:w="1622" w:type="dxa"/>
            <w:vMerge/>
            <w:tcBorders>
              <w:top w:val="single" w:sz="4" w:space="0" w:color="000000"/>
              <w:left w:val="single" w:sz="4" w:space="0" w:color="000000"/>
              <w:bottom w:val="single" w:sz="4" w:space="0" w:color="000000"/>
              <w:right w:val="single" w:sz="4" w:space="0" w:color="000000"/>
            </w:tcBorders>
          </w:tcPr>
          <w:p w14:paraId="4080B63A" w14:textId="77777777" w:rsidR="006842EE" w:rsidRDefault="006842EE">
            <w:pPr>
              <w:widowControl w:val="0"/>
              <w:rPr>
                <w:rFonts w:ascii="Titillium" w:hAnsi="Titillium" w:cstheme="minorHAnsi"/>
                <w:sz w:val="18"/>
                <w:szCs w:val="18"/>
              </w:rPr>
            </w:pPr>
          </w:p>
        </w:tc>
        <w:tc>
          <w:tcPr>
            <w:tcW w:w="793" w:type="dxa"/>
            <w:vMerge/>
            <w:tcBorders>
              <w:top w:val="single" w:sz="4" w:space="0" w:color="000000"/>
              <w:left w:val="single" w:sz="4" w:space="0" w:color="000000"/>
              <w:bottom w:val="single" w:sz="4" w:space="0" w:color="000000"/>
              <w:right w:val="single" w:sz="4" w:space="0" w:color="000000"/>
            </w:tcBorders>
          </w:tcPr>
          <w:p w14:paraId="24DBB640" w14:textId="77777777" w:rsidR="006842EE" w:rsidRDefault="006842EE">
            <w:pPr>
              <w:widowControl w:val="0"/>
              <w:rPr>
                <w:rFonts w:ascii="Titillium" w:hAnsi="Titillium" w:cstheme="minorHAnsi"/>
                <w:sz w:val="18"/>
                <w:szCs w:val="18"/>
              </w:rPr>
            </w:pPr>
          </w:p>
        </w:tc>
        <w:tc>
          <w:tcPr>
            <w:tcW w:w="698" w:type="dxa"/>
            <w:tcBorders>
              <w:top w:val="single" w:sz="4" w:space="0" w:color="000000"/>
              <w:left w:val="single" w:sz="4" w:space="0" w:color="000000"/>
              <w:bottom w:val="single" w:sz="4" w:space="0" w:color="000000"/>
              <w:right w:val="single" w:sz="4" w:space="0" w:color="000000"/>
            </w:tcBorders>
          </w:tcPr>
          <w:p w14:paraId="1BEB6D4D" w14:textId="77777777" w:rsidR="006842EE" w:rsidRDefault="008F2625">
            <w:pPr>
              <w:widowControl w:val="0"/>
              <w:spacing w:before="134"/>
              <w:ind w:left="10"/>
              <w:jc w:val="center"/>
              <w:rPr>
                <w:rFonts w:ascii="Titillium" w:hAnsi="Titillium" w:cstheme="minorHAnsi"/>
                <w:sz w:val="18"/>
                <w:szCs w:val="18"/>
              </w:rPr>
            </w:pPr>
            <w:r>
              <w:rPr>
                <w:rFonts w:ascii="Titillium" w:hAnsi="Titillium" w:cstheme="minorHAnsi"/>
                <w:sz w:val="18"/>
                <w:szCs w:val="18"/>
              </w:rPr>
              <w:t>…</w:t>
            </w:r>
          </w:p>
        </w:tc>
        <w:tc>
          <w:tcPr>
            <w:tcW w:w="3977" w:type="dxa"/>
            <w:tcBorders>
              <w:top w:val="single" w:sz="4" w:space="0" w:color="000000"/>
              <w:left w:val="single" w:sz="4" w:space="0" w:color="000000"/>
              <w:bottom w:val="single" w:sz="4" w:space="0" w:color="000000"/>
              <w:right w:val="single" w:sz="4" w:space="0" w:color="000000"/>
            </w:tcBorders>
          </w:tcPr>
          <w:p w14:paraId="31CCD15B" w14:textId="77777777" w:rsidR="006842EE" w:rsidRDefault="008F2625">
            <w:pPr>
              <w:widowControl w:val="0"/>
              <w:spacing w:before="134"/>
              <w:ind w:left="776"/>
              <w:jc w:val="center"/>
              <w:rPr>
                <w:rFonts w:ascii="Titillium" w:hAnsi="Titillium" w:cstheme="minorHAnsi"/>
                <w:sz w:val="18"/>
                <w:szCs w:val="18"/>
              </w:rPr>
            </w:pPr>
            <w:r>
              <w:rPr>
                <w:rFonts w:ascii="Titillium" w:hAnsi="Titillium" w:cstheme="minorHAnsi"/>
                <w:sz w:val="18"/>
                <w:szCs w:val="18"/>
              </w:rPr>
              <w:t>….</w:t>
            </w:r>
          </w:p>
        </w:tc>
        <w:tc>
          <w:tcPr>
            <w:tcW w:w="1000" w:type="dxa"/>
            <w:tcBorders>
              <w:top w:val="single" w:sz="4" w:space="0" w:color="000000"/>
              <w:left w:val="single" w:sz="4" w:space="0" w:color="000000"/>
              <w:bottom w:val="single" w:sz="4" w:space="0" w:color="000000"/>
              <w:right w:val="single" w:sz="4" w:space="0" w:color="000000"/>
            </w:tcBorders>
          </w:tcPr>
          <w:p w14:paraId="1988543F" w14:textId="77777777" w:rsidR="006842EE" w:rsidRDefault="008F2625">
            <w:pPr>
              <w:widowControl w:val="0"/>
              <w:spacing w:before="134"/>
              <w:ind w:left="6"/>
              <w:jc w:val="center"/>
              <w:rPr>
                <w:rFonts w:ascii="Titillium" w:hAnsi="Titillium" w:cstheme="minorHAnsi"/>
                <w:sz w:val="18"/>
                <w:szCs w:val="18"/>
              </w:rPr>
            </w:pPr>
            <w:r>
              <w:rPr>
                <w:rFonts w:ascii="Titillium" w:hAnsi="Titillium" w:cstheme="minorHAnsi"/>
                <w:sz w:val="18"/>
                <w:szCs w:val="18"/>
              </w:rPr>
              <w:t>…</w:t>
            </w:r>
          </w:p>
        </w:tc>
        <w:tc>
          <w:tcPr>
            <w:tcW w:w="984" w:type="dxa"/>
            <w:tcBorders>
              <w:top w:val="single" w:sz="4" w:space="0" w:color="000000"/>
              <w:left w:val="single" w:sz="4" w:space="0" w:color="000000"/>
              <w:bottom w:val="single" w:sz="4" w:space="0" w:color="000000"/>
              <w:right w:val="single" w:sz="4" w:space="0" w:color="000000"/>
            </w:tcBorders>
          </w:tcPr>
          <w:p w14:paraId="1E14B39B" w14:textId="77777777" w:rsidR="006842EE" w:rsidRDefault="008F2625">
            <w:pPr>
              <w:widowControl w:val="0"/>
              <w:spacing w:before="134"/>
              <w:ind w:left="7"/>
              <w:jc w:val="center"/>
              <w:rPr>
                <w:rFonts w:ascii="Titillium" w:hAnsi="Titillium" w:cstheme="minorHAnsi"/>
                <w:sz w:val="18"/>
                <w:szCs w:val="18"/>
              </w:rPr>
            </w:pPr>
            <w:r>
              <w:rPr>
                <w:rFonts w:ascii="Titillium" w:hAnsi="Titillium" w:cstheme="minorHAnsi"/>
                <w:sz w:val="18"/>
                <w:szCs w:val="18"/>
              </w:rPr>
              <w:t>…</w:t>
            </w:r>
          </w:p>
        </w:tc>
      </w:tr>
    </w:tbl>
    <w:p w14:paraId="3FFE727E" w14:textId="77777777" w:rsidR="006842EE" w:rsidRDefault="006842EE">
      <w:pPr>
        <w:spacing w:before="120" w:after="60"/>
        <w:rPr>
          <w:rFonts w:ascii="Titillium" w:hAnsi="Titillium"/>
          <w:sz w:val="18"/>
          <w:szCs w:val="18"/>
          <w:lang w:eastAsia="it-IT"/>
        </w:rPr>
      </w:pPr>
    </w:p>
    <w:p w14:paraId="1F7B2BD5" w14:textId="77777777" w:rsidR="006842EE" w:rsidRDefault="008F2625">
      <w:pPr>
        <w:spacing w:before="120" w:after="60"/>
        <w:rPr>
          <w:rFonts w:ascii="Titillium" w:hAnsi="Titillium"/>
          <w:sz w:val="18"/>
          <w:szCs w:val="18"/>
          <w:lang w:eastAsia="it-IT"/>
        </w:rPr>
      </w:pPr>
      <w:r>
        <w:rPr>
          <w:rFonts w:ascii="Titillium" w:hAnsi="Titillium"/>
          <w:sz w:val="18"/>
          <w:szCs w:val="18"/>
          <w:lang w:eastAsia="it-IT"/>
        </w:rPr>
        <w:t>[</w:t>
      </w:r>
      <w:r w:rsidRPr="00910FAF">
        <w:rPr>
          <w:rFonts w:ascii="Titillium" w:hAnsi="Titillium"/>
          <w:b/>
          <w:i/>
          <w:iCs/>
          <w:sz w:val="18"/>
          <w:szCs w:val="18"/>
          <w:lang w:eastAsia="it-IT"/>
        </w:rPr>
        <w:t>Facoltativo: soglia di sbarramento al punteggio tecnico</w:t>
      </w:r>
      <w:r>
        <w:rPr>
          <w:rFonts w:ascii="Titillium" w:hAnsi="Titillium"/>
          <w:sz w:val="18"/>
          <w:szCs w:val="18"/>
          <w:lang w:eastAsia="it-IT"/>
        </w:rPr>
        <w:t>] Il concorrente è escluso dalla gara nel caso in cui consegua un punteggio inferiore alla soglia minima di sbarramento pari a ... [</w:t>
      </w:r>
      <w:r w:rsidRPr="00D914DB">
        <w:rPr>
          <w:rFonts w:ascii="Titillium" w:hAnsi="Titillium"/>
          <w:i/>
          <w:iCs/>
          <w:sz w:val="18"/>
          <w:szCs w:val="18"/>
          <w:lang w:eastAsia="it-IT"/>
        </w:rPr>
        <w:t>indicare la/le soglie di punteggio</w:t>
      </w:r>
      <w:r>
        <w:rPr>
          <w:rFonts w:ascii="Titillium" w:hAnsi="Titillium"/>
          <w:sz w:val="18"/>
          <w:szCs w:val="18"/>
          <w:lang w:eastAsia="it-IT"/>
        </w:rPr>
        <w:t>] per … [</w:t>
      </w:r>
      <w:r w:rsidRPr="00D914DB">
        <w:rPr>
          <w:rFonts w:ascii="Titillium" w:hAnsi="Titillium"/>
          <w:i/>
          <w:iCs/>
          <w:sz w:val="18"/>
          <w:szCs w:val="18"/>
          <w:lang w:eastAsia="it-IT"/>
        </w:rPr>
        <w:t>indicare “il punteggio tecnico complessivo” oppure indicare “i seguenti criteri: …”, specificando i criteri su cui applicare lo sbarramento</w:t>
      </w:r>
      <w:r>
        <w:rPr>
          <w:rFonts w:ascii="Titillium" w:hAnsi="Titillium"/>
          <w:sz w:val="18"/>
          <w:szCs w:val="18"/>
          <w:lang w:eastAsia="it-IT"/>
        </w:rPr>
        <w:t>].</w:t>
      </w:r>
    </w:p>
    <w:p w14:paraId="534D5EF9" w14:textId="27965DDD" w:rsidR="006842EE" w:rsidRDefault="008F2625">
      <w:pPr>
        <w:spacing w:before="120" w:after="60"/>
        <w:rPr>
          <w:rFonts w:ascii="Titillium" w:hAnsi="Titillium"/>
          <w:sz w:val="18"/>
          <w:szCs w:val="18"/>
          <w:lang w:eastAsia="it-IT"/>
        </w:rPr>
      </w:pPr>
      <w:r>
        <w:rPr>
          <w:rFonts w:ascii="Titillium" w:hAnsi="Titillium"/>
          <w:sz w:val="18"/>
          <w:szCs w:val="18"/>
          <w:lang w:eastAsia="it-IT"/>
        </w:rPr>
        <w:t>[</w:t>
      </w:r>
      <w:r w:rsidRPr="00910FAF">
        <w:rPr>
          <w:rFonts w:ascii="Titillium" w:hAnsi="Titillium"/>
          <w:b/>
          <w:i/>
          <w:iCs/>
          <w:sz w:val="18"/>
          <w:szCs w:val="18"/>
          <w:lang w:eastAsia="it-IT"/>
        </w:rPr>
        <w:t>Nel caso in cui sia prevista una riparametrazione dei punteggi tecnici</w:t>
      </w:r>
      <w:r w:rsidRPr="00910FAF">
        <w:rPr>
          <w:rFonts w:ascii="Titillium" w:hAnsi="Titillium"/>
          <w:bCs/>
          <w:sz w:val="18"/>
          <w:szCs w:val="18"/>
          <w:lang w:eastAsia="it-IT"/>
        </w:rPr>
        <w:t xml:space="preserve">] </w:t>
      </w:r>
      <w:r>
        <w:rPr>
          <w:rFonts w:ascii="Titillium" w:hAnsi="Titillium"/>
          <w:sz w:val="18"/>
          <w:szCs w:val="18"/>
          <w:lang w:eastAsia="it-IT"/>
        </w:rPr>
        <w:t>Il superamento della soglia di sbarramento è calcolato prima della riparametrazione di cui al p</w:t>
      </w:r>
      <w:r w:rsidR="00743BE0">
        <w:rPr>
          <w:rFonts w:ascii="Titillium" w:hAnsi="Titillium"/>
          <w:sz w:val="18"/>
          <w:szCs w:val="18"/>
          <w:lang w:eastAsia="it-IT"/>
        </w:rPr>
        <w:t>aragrafo</w:t>
      </w:r>
      <w:r>
        <w:rPr>
          <w:rFonts w:ascii="Titillium" w:hAnsi="Titillium"/>
          <w:sz w:val="18"/>
          <w:szCs w:val="18"/>
          <w:lang w:eastAsia="it-IT"/>
        </w:rPr>
        <w:t xml:space="preserve"> 18.4.</w:t>
      </w:r>
    </w:p>
    <w:p w14:paraId="5A415311" w14:textId="77777777" w:rsidR="006842EE" w:rsidRDefault="006842EE">
      <w:pPr>
        <w:spacing w:before="120" w:after="60"/>
        <w:rPr>
          <w:rFonts w:ascii="Titillium" w:hAnsi="Titillium"/>
          <w:sz w:val="18"/>
          <w:szCs w:val="18"/>
          <w:lang w:eastAsia="it-IT"/>
        </w:rPr>
      </w:pPr>
    </w:p>
    <w:p w14:paraId="171CA080" w14:textId="77777777" w:rsidR="006842EE" w:rsidRPr="00547970" w:rsidRDefault="008F2625">
      <w:pPr>
        <w:pBdr>
          <w:top w:val="single" w:sz="4" w:space="1" w:color="000000"/>
          <w:left w:val="single" w:sz="4" w:space="4" w:color="000000"/>
          <w:bottom w:val="single" w:sz="4" w:space="1" w:color="000000"/>
          <w:right w:val="single" w:sz="4" w:space="4" w:color="000000"/>
        </w:pBdr>
        <w:spacing w:before="60" w:after="60"/>
        <w:rPr>
          <w:rFonts w:ascii="Titillium" w:hAnsi="Titillium" w:cs="Calibri"/>
          <w:i/>
          <w:iCs/>
          <w:sz w:val="18"/>
          <w:szCs w:val="18"/>
          <w:lang w:eastAsia="it-IT"/>
        </w:rPr>
      </w:pPr>
      <w:r>
        <w:rPr>
          <w:rFonts w:ascii="Titillium" w:hAnsi="Titillium" w:cs="Arial"/>
          <w:sz w:val="18"/>
          <w:szCs w:val="18"/>
        </w:rPr>
        <w:t>N</w:t>
      </w:r>
      <w:r w:rsidRPr="00547970">
        <w:rPr>
          <w:rFonts w:ascii="Titillium" w:hAnsi="Titillium" w:cs="Arial"/>
          <w:i/>
          <w:iCs/>
          <w:sz w:val="18"/>
          <w:szCs w:val="18"/>
        </w:rPr>
        <w:t xml:space="preserve">.B: </w:t>
      </w:r>
      <w:r w:rsidRPr="00547970">
        <w:rPr>
          <w:rFonts w:ascii="Titillium" w:hAnsi="Titillium" w:cs="Calibri"/>
          <w:i/>
          <w:iCs/>
          <w:sz w:val="18"/>
          <w:szCs w:val="18"/>
          <w:lang w:eastAsia="it-IT"/>
        </w:rPr>
        <w:t>nell’individuare gli elementi di valutazione dell’offerta tecnica la stazione appaltante:</w:t>
      </w:r>
    </w:p>
    <w:p w14:paraId="40460280" w14:textId="491E5DB2" w:rsidR="006842EE" w:rsidRPr="00547970" w:rsidRDefault="0099491E" w:rsidP="004E254C">
      <w:pPr>
        <w:pBdr>
          <w:top w:val="single" w:sz="4" w:space="1" w:color="000000"/>
          <w:left w:val="single" w:sz="4" w:space="4" w:color="000000"/>
          <w:bottom w:val="single" w:sz="4" w:space="1" w:color="000000"/>
          <w:right w:val="single" w:sz="4" w:space="4" w:color="000000"/>
        </w:pBdr>
        <w:spacing w:before="60" w:after="60"/>
        <w:ind w:left="284" w:hanging="284"/>
        <w:rPr>
          <w:rFonts w:ascii="Titillium" w:hAnsi="Titillium" w:cs="Calibri"/>
          <w:i/>
          <w:iCs/>
          <w:sz w:val="18"/>
          <w:szCs w:val="18"/>
          <w:lang w:eastAsia="it-IT"/>
        </w:rPr>
      </w:pPr>
      <w:r w:rsidRPr="00547970">
        <w:rPr>
          <w:rFonts w:ascii="Titillium" w:hAnsi="Titillium" w:cs="Calibri"/>
          <w:i/>
          <w:iCs/>
          <w:sz w:val="18"/>
          <w:szCs w:val="18"/>
          <w:lang w:eastAsia="it-IT"/>
        </w:rPr>
        <w:t xml:space="preserve">- </w:t>
      </w:r>
      <w:r w:rsidR="004E254C" w:rsidRPr="00547970">
        <w:rPr>
          <w:rFonts w:ascii="Titillium" w:hAnsi="Titillium" w:cs="Calibri"/>
          <w:i/>
          <w:iCs/>
          <w:sz w:val="18"/>
          <w:szCs w:val="18"/>
          <w:lang w:eastAsia="it-IT"/>
        </w:rPr>
        <w:tab/>
      </w:r>
      <w:r w:rsidR="008F2625" w:rsidRPr="00547970">
        <w:rPr>
          <w:rFonts w:ascii="Titillium" w:hAnsi="Titillium" w:cs="Calibri"/>
          <w:i/>
          <w:iCs/>
          <w:sz w:val="18"/>
          <w:szCs w:val="18"/>
          <w:lang w:eastAsia="it-IT"/>
        </w:rPr>
        <w:t xml:space="preserve">tiene conto dei criteri </w:t>
      </w:r>
      <w:r w:rsidR="00B544E7" w:rsidRPr="00547970">
        <w:rPr>
          <w:rFonts w:ascii="Titillium" w:hAnsi="Titillium" w:cs="Calibri"/>
          <w:i/>
          <w:iCs/>
          <w:sz w:val="18"/>
          <w:szCs w:val="18"/>
          <w:lang w:eastAsia="it-IT"/>
        </w:rPr>
        <w:t>premiali indicati</w:t>
      </w:r>
      <w:r w:rsidR="008F2625" w:rsidRPr="00547970">
        <w:rPr>
          <w:rFonts w:ascii="Titillium" w:hAnsi="Titillium" w:cs="Calibri"/>
          <w:i/>
          <w:iCs/>
          <w:sz w:val="18"/>
          <w:szCs w:val="18"/>
          <w:lang w:eastAsia="it-IT"/>
        </w:rPr>
        <w:t xml:space="preserve"> nei decreti sui CAM </w:t>
      </w:r>
      <w:r w:rsidR="00671BB7" w:rsidRPr="00547970">
        <w:rPr>
          <w:rFonts w:ascii="Titillium" w:hAnsi="Titillium" w:cs="Calibri"/>
          <w:i/>
          <w:iCs/>
          <w:sz w:val="18"/>
          <w:szCs w:val="18"/>
          <w:lang w:eastAsia="it-IT"/>
        </w:rPr>
        <w:t xml:space="preserve">applicabili </w:t>
      </w:r>
      <w:r w:rsidR="008F2625" w:rsidRPr="00547970">
        <w:rPr>
          <w:rFonts w:ascii="Titillium" w:hAnsi="Titillium" w:cs="Calibri"/>
          <w:i/>
          <w:iCs/>
          <w:sz w:val="18"/>
          <w:szCs w:val="18"/>
          <w:lang w:eastAsia="it-IT"/>
        </w:rPr>
        <w:t>allo specifico affidamento;</w:t>
      </w:r>
    </w:p>
    <w:p w14:paraId="58DAC496" w14:textId="2CFD5952" w:rsidR="006842EE" w:rsidRPr="00547970" w:rsidRDefault="008F2625" w:rsidP="004E254C">
      <w:pPr>
        <w:pBdr>
          <w:top w:val="single" w:sz="4" w:space="1" w:color="000000"/>
          <w:left w:val="single" w:sz="4" w:space="4" w:color="000000"/>
          <w:bottom w:val="single" w:sz="4" w:space="1" w:color="000000"/>
          <w:right w:val="single" w:sz="4" w:space="4" w:color="000000"/>
        </w:pBdr>
        <w:spacing w:before="60" w:after="60"/>
        <w:ind w:left="284" w:hanging="284"/>
        <w:rPr>
          <w:rFonts w:ascii="Titillium" w:hAnsi="Titillium" w:cs="Calibri"/>
          <w:i/>
          <w:iCs/>
          <w:sz w:val="18"/>
          <w:szCs w:val="18"/>
          <w:lang w:eastAsia="it-IT"/>
        </w:rPr>
      </w:pPr>
      <w:r w:rsidRPr="00547970">
        <w:rPr>
          <w:rFonts w:ascii="Titillium" w:hAnsi="Titillium" w:cs="Calibri"/>
          <w:i/>
          <w:iCs/>
          <w:sz w:val="18"/>
          <w:szCs w:val="18"/>
          <w:lang w:eastAsia="it-IT"/>
        </w:rPr>
        <w:t xml:space="preserve">- </w:t>
      </w:r>
      <w:r w:rsidR="004E254C" w:rsidRPr="00547970">
        <w:rPr>
          <w:rFonts w:ascii="Titillium" w:hAnsi="Titillium" w:cs="Calibri"/>
          <w:i/>
          <w:iCs/>
          <w:sz w:val="18"/>
          <w:szCs w:val="18"/>
          <w:lang w:eastAsia="it-IT"/>
        </w:rPr>
        <w:tab/>
      </w:r>
      <w:r w:rsidRPr="00547970">
        <w:rPr>
          <w:rFonts w:ascii="Titillium" w:hAnsi="Titillium" w:cs="Calibri"/>
          <w:i/>
          <w:iCs/>
          <w:sz w:val="18"/>
          <w:szCs w:val="18"/>
          <w:lang w:eastAsia="it-IT"/>
        </w:rPr>
        <w:t>tiene conto dei criteri premia</w:t>
      </w:r>
      <w:r w:rsidR="0062377D" w:rsidRPr="00547970">
        <w:rPr>
          <w:rFonts w:ascii="Titillium" w:hAnsi="Titillium" w:cs="Calibri"/>
          <w:i/>
          <w:iCs/>
          <w:sz w:val="18"/>
          <w:szCs w:val="18"/>
          <w:lang w:eastAsia="it-IT"/>
        </w:rPr>
        <w:t>li</w:t>
      </w:r>
      <w:r w:rsidRPr="00547970">
        <w:rPr>
          <w:rFonts w:ascii="Titillium" w:hAnsi="Titillium" w:cs="Calibri"/>
          <w:i/>
          <w:iCs/>
          <w:sz w:val="18"/>
          <w:szCs w:val="18"/>
          <w:lang w:eastAsia="it-IT"/>
        </w:rPr>
        <w:t xml:space="preserve"> indicati con riferimento all’</w:t>
      </w:r>
      <w:r w:rsidR="00671BB7" w:rsidRPr="00547970">
        <w:rPr>
          <w:rFonts w:ascii="Titillium" w:hAnsi="Titillium" w:cs="Calibri"/>
          <w:i/>
          <w:iCs/>
          <w:sz w:val="18"/>
          <w:szCs w:val="18"/>
          <w:lang w:eastAsia="it-IT"/>
        </w:rPr>
        <w:t xml:space="preserve">adozione </w:t>
      </w:r>
      <w:r w:rsidRPr="00547970">
        <w:rPr>
          <w:rFonts w:ascii="Titillium" w:hAnsi="Titillium" w:cs="Calibri"/>
          <w:i/>
          <w:iCs/>
          <w:sz w:val="18"/>
          <w:szCs w:val="18"/>
          <w:lang w:eastAsia="it-IT"/>
        </w:rPr>
        <w:t>della metodologia BIM;</w:t>
      </w:r>
    </w:p>
    <w:p w14:paraId="5BB49165" w14:textId="0E586899" w:rsidR="006842EE" w:rsidRPr="00547970" w:rsidRDefault="0099491E" w:rsidP="004E254C">
      <w:pPr>
        <w:pBdr>
          <w:top w:val="single" w:sz="4" w:space="1" w:color="000000"/>
          <w:left w:val="single" w:sz="4" w:space="4" w:color="000000"/>
          <w:bottom w:val="single" w:sz="4" w:space="1" w:color="000000"/>
          <w:right w:val="single" w:sz="4" w:space="4" w:color="000000"/>
        </w:pBdr>
        <w:spacing w:before="60" w:after="60"/>
        <w:ind w:left="284" w:hanging="284"/>
        <w:rPr>
          <w:rFonts w:ascii="Titillium" w:hAnsi="Titillium" w:cs="Calibri"/>
          <w:i/>
          <w:iCs/>
          <w:sz w:val="18"/>
          <w:szCs w:val="18"/>
          <w:lang w:eastAsia="it-IT"/>
        </w:rPr>
      </w:pPr>
      <w:r w:rsidRPr="00547970">
        <w:rPr>
          <w:rFonts w:ascii="Titillium" w:hAnsi="Titillium" w:cs="Calibri"/>
          <w:i/>
          <w:iCs/>
          <w:sz w:val="18"/>
          <w:szCs w:val="18"/>
          <w:lang w:eastAsia="it-IT"/>
        </w:rPr>
        <w:t xml:space="preserve">- </w:t>
      </w:r>
      <w:r w:rsidR="004E254C" w:rsidRPr="00547970">
        <w:rPr>
          <w:rFonts w:ascii="Titillium" w:hAnsi="Titillium" w:cs="Calibri"/>
          <w:i/>
          <w:iCs/>
          <w:sz w:val="18"/>
          <w:szCs w:val="18"/>
          <w:lang w:eastAsia="it-IT"/>
        </w:rPr>
        <w:tab/>
      </w:r>
      <w:r w:rsidR="008F2625" w:rsidRPr="00547970">
        <w:rPr>
          <w:rFonts w:ascii="Titillium" w:hAnsi="Titillium" w:cs="Calibri"/>
          <w:i/>
          <w:iCs/>
          <w:sz w:val="18"/>
          <w:szCs w:val="18"/>
          <w:lang w:eastAsia="it-IT"/>
        </w:rPr>
        <w:t>individua il maggior punteggio da attribuire alle imprese che attestano il possesso della certificazione della parità di genere di cui all’articolo 46-bis del decreto legislativo n. 196/2006 (Codice delle pari opportunità). Si richiamano le indicazioni fornite dall’ANAC con il Comunicato del Presidente del 30/11/2022;</w:t>
      </w:r>
    </w:p>
    <w:p w14:paraId="76A6A1FB" w14:textId="35D7B83C" w:rsidR="00EB5449" w:rsidRPr="00547970" w:rsidRDefault="008F2625" w:rsidP="004E254C">
      <w:pPr>
        <w:pBdr>
          <w:top w:val="single" w:sz="4" w:space="1" w:color="000000"/>
          <w:left w:val="single" w:sz="4" w:space="4" w:color="000000"/>
          <w:bottom w:val="single" w:sz="4" w:space="1" w:color="000000"/>
          <w:right w:val="single" w:sz="4" w:space="4" w:color="000000"/>
        </w:pBdr>
        <w:spacing w:before="60" w:after="60"/>
        <w:ind w:left="284" w:hanging="284"/>
        <w:rPr>
          <w:rFonts w:ascii="Titillium" w:hAnsi="Titillium" w:cs="Calibri"/>
          <w:i/>
          <w:iCs/>
          <w:sz w:val="18"/>
          <w:szCs w:val="18"/>
          <w:lang w:eastAsia="it-IT"/>
        </w:rPr>
      </w:pPr>
      <w:r w:rsidRPr="00547970">
        <w:rPr>
          <w:rFonts w:ascii="Titillium" w:hAnsi="Titillium" w:cs="Calibri"/>
          <w:i/>
          <w:iCs/>
          <w:sz w:val="18"/>
          <w:szCs w:val="18"/>
          <w:lang w:eastAsia="it-IT"/>
        </w:rPr>
        <w:t xml:space="preserve">- </w:t>
      </w:r>
      <w:r w:rsidR="004E254C" w:rsidRPr="00547970">
        <w:rPr>
          <w:rFonts w:ascii="Titillium" w:hAnsi="Titillium" w:cs="Calibri"/>
          <w:i/>
          <w:iCs/>
          <w:sz w:val="18"/>
          <w:szCs w:val="18"/>
          <w:lang w:eastAsia="it-IT"/>
        </w:rPr>
        <w:tab/>
      </w:r>
      <w:r w:rsidRPr="00547970">
        <w:rPr>
          <w:rFonts w:ascii="Titillium" w:hAnsi="Titillium" w:cs="Calibri"/>
          <w:i/>
          <w:iCs/>
          <w:sz w:val="18"/>
          <w:szCs w:val="18"/>
          <w:lang w:eastAsia="it-IT"/>
        </w:rPr>
        <w:t>per le procedure PNRR</w:t>
      </w:r>
      <w:r w:rsidR="00EB5449" w:rsidRPr="00547970">
        <w:rPr>
          <w:rFonts w:ascii="Titillium" w:hAnsi="Titillium" w:cs="Calibri"/>
          <w:i/>
          <w:iCs/>
          <w:sz w:val="18"/>
          <w:szCs w:val="18"/>
          <w:lang w:eastAsia="it-IT"/>
        </w:rPr>
        <w:t xml:space="preserve"> e PNC, inserisc</w:t>
      </w:r>
      <w:r w:rsidR="0066513C" w:rsidRPr="00547970">
        <w:rPr>
          <w:rFonts w:ascii="Titillium" w:hAnsi="Titillium" w:cs="Calibri"/>
          <w:i/>
          <w:iCs/>
          <w:sz w:val="18"/>
          <w:szCs w:val="18"/>
          <w:lang w:eastAsia="it-IT"/>
        </w:rPr>
        <w:t>e</w:t>
      </w:r>
      <w:r w:rsidR="00EB5449" w:rsidRPr="00547970">
        <w:rPr>
          <w:rFonts w:ascii="Titillium" w:hAnsi="Titillium" w:cs="Calibri"/>
          <w:i/>
          <w:iCs/>
          <w:sz w:val="18"/>
          <w:szCs w:val="18"/>
          <w:lang w:eastAsia="it-IT"/>
        </w:rPr>
        <w:t xml:space="preserve"> </w:t>
      </w:r>
      <w:r w:rsidR="0066513C" w:rsidRPr="00547970">
        <w:rPr>
          <w:rFonts w:ascii="Titillium" w:hAnsi="Titillium" w:cs="Calibri"/>
          <w:i/>
          <w:iCs/>
          <w:sz w:val="18"/>
          <w:szCs w:val="18"/>
          <w:lang w:eastAsia="it-IT"/>
        </w:rPr>
        <w:t xml:space="preserve">come </w:t>
      </w:r>
      <w:r w:rsidR="00EB5449" w:rsidRPr="00547970">
        <w:rPr>
          <w:rFonts w:ascii="Titillium" w:hAnsi="Titillium" w:cs="Calibri"/>
          <w:i/>
          <w:iCs/>
          <w:sz w:val="18"/>
          <w:szCs w:val="18"/>
          <w:lang w:eastAsia="it-IT"/>
        </w:rPr>
        <w:t xml:space="preserve">requisiti premiali dell’offerta (di cui all’articolo 47, commi 4 e 5, </w:t>
      </w:r>
      <w:r w:rsidR="00286FF4" w:rsidRPr="00547970">
        <w:rPr>
          <w:rFonts w:ascii="Titillium" w:hAnsi="Titillium" w:cs="Calibri"/>
          <w:i/>
          <w:iCs/>
          <w:sz w:val="18"/>
          <w:szCs w:val="18"/>
          <w:lang w:eastAsia="it-IT"/>
        </w:rPr>
        <w:t>decreto-legge</w:t>
      </w:r>
      <w:r w:rsidR="00EB5449" w:rsidRPr="00547970">
        <w:rPr>
          <w:rFonts w:ascii="Titillium" w:hAnsi="Titillium" w:cs="Calibri"/>
          <w:i/>
          <w:iCs/>
          <w:sz w:val="18"/>
          <w:szCs w:val="18"/>
          <w:lang w:eastAsia="it-IT"/>
        </w:rPr>
        <w:t xml:space="preserve"> 77/2021) criteri orientati a promuovere l'imprenditoria giovanile, l’inclusione lavorativa delle persone disabili, la parità di genere e l'assunzione di giovani, con età inferiore a trentasei anni, e di donne. A tal fine, le stazioni appaltanti prevedono l’attribuzione di punteggi aggiuntivi in favore del concorrente che si trovi in una o più delle situazioni di cui alle linee guida adottate dal Dipartimento per le pari opportunità ai sensi dell’articolo 47, comma 5, </w:t>
      </w:r>
      <w:r w:rsidR="00286FF4" w:rsidRPr="00547970">
        <w:rPr>
          <w:rFonts w:ascii="Titillium" w:hAnsi="Titillium" w:cs="Calibri"/>
          <w:i/>
          <w:iCs/>
          <w:sz w:val="18"/>
          <w:szCs w:val="18"/>
          <w:lang w:eastAsia="it-IT"/>
        </w:rPr>
        <w:t>decreto-legge</w:t>
      </w:r>
      <w:r w:rsidR="00EB5449" w:rsidRPr="00547970">
        <w:rPr>
          <w:rFonts w:ascii="Titillium" w:hAnsi="Titillium" w:cs="Calibri"/>
          <w:i/>
          <w:iCs/>
          <w:sz w:val="18"/>
          <w:szCs w:val="18"/>
          <w:lang w:eastAsia="it-IT"/>
        </w:rPr>
        <w:t xml:space="preserve"> 77/21, per i contratti PNRR e dell’allegato II.3 per le procedure riservate ex articolo 61 del codice.</w:t>
      </w:r>
    </w:p>
    <w:p w14:paraId="145735CC" w14:textId="77777777" w:rsidR="006842EE" w:rsidRDefault="006842EE">
      <w:pPr>
        <w:spacing w:before="120" w:after="60"/>
        <w:rPr>
          <w:rFonts w:ascii="Titillium" w:hAnsi="Titillium"/>
          <w:sz w:val="18"/>
          <w:szCs w:val="18"/>
          <w:lang w:eastAsia="it-IT"/>
        </w:rPr>
      </w:pPr>
    </w:p>
    <w:p w14:paraId="57BD32F2" w14:textId="2ADB5429" w:rsidR="006842EE" w:rsidRPr="00B511CF" w:rsidRDefault="008F2625" w:rsidP="00D26F03">
      <w:pPr>
        <w:pStyle w:val="Titolo3"/>
        <w:numPr>
          <w:ilvl w:val="1"/>
          <w:numId w:val="55"/>
        </w:numPr>
        <w:spacing w:before="120"/>
        <w:ind w:left="426" w:hanging="426"/>
        <w:rPr>
          <w:rFonts w:ascii="Titillium" w:hAnsi="Titillium"/>
          <w:caps w:val="0"/>
          <w:sz w:val="18"/>
          <w:szCs w:val="18"/>
          <w:lang w:val="it-IT"/>
        </w:rPr>
      </w:pPr>
      <w:bookmarkStart w:id="1820" w:name="_Toc227921649"/>
      <w:r w:rsidRPr="00B511CF">
        <w:rPr>
          <w:rFonts w:ascii="Titillium" w:hAnsi="Titillium"/>
          <w:caps w:val="0"/>
          <w:sz w:val="18"/>
          <w:szCs w:val="18"/>
          <w:lang w:val="it-IT"/>
        </w:rPr>
        <w:t>METODO DI ATTRIBUZIONE DEL COEFFICIENTE PER IL CALCOLO DEL PUNTEGGIO DELL’OFFERTA TECNICA</w:t>
      </w:r>
      <w:bookmarkEnd w:id="1820"/>
    </w:p>
    <w:p w14:paraId="10584150" w14:textId="77777777" w:rsidR="006842EE" w:rsidRDefault="008F2625">
      <w:pPr>
        <w:spacing w:before="60" w:after="60"/>
        <w:rPr>
          <w:rFonts w:ascii="Titillium" w:hAnsi="Titillium"/>
          <w:i/>
          <w:sz w:val="18"/>
          <w:szCs w:val="18"/>
        </w:rPr>
      </w:pPr>
      <w:r>
        <w:rPr>
          <w:rFonts w:ascii="Titillium" w:hAnsi="Titillium"/>
          <w:b/>
          <w:i/>
          <w:sz w:val="18"/>
          <w:szCs w:val="18"/>
        </w:rPr>
        <w:t>[In caso di criteri qualitativi]</w:t>
      </w:r>
      <w:r>
        <w:rPr>
          <w:rFonts w:ascii="Titillium" w:hAnsi="Titillium"/>
          <w:sz w:val="18"/>
          <w:szCs w:val="18"/>
        </w:rPr>
        <w:t xml:space="preserve"> A ciascuno degli elementi qualitativi cui è assegnato un punteggio discrezionale nella colonna “D” della tabella, è attribuito un coefficiente sulla base del metodo … </w:t>
      </w:r>
      <w:r>
        <w:rPr>
          <w:rFonts w:ascii="Titillium" w:hAnsi="Titillium"/>
          <w:i/>
          <w:sz w:val="18"/>
          <w:szCs w:val="18"/>
        </w:rPr>
        <w:t>[indicare il metodo ad esempio: attribuzione discrezionale di un coefficiente variabile da zero ad uno da parte di ciascun commissario oppure confronto a coppie, etc.].</w:t>
      </w:r>
    </w:p>
    <w:p w14:paraId="24CE53E9" w14:textId="77777777" w:rsidR="006842EE" w:rsidRDefault="006842EE">
      <w:pPr>
        <w:spacing w:before="60" w:after="60"/>
        <w:rPr>
          <w:rFonts w:ascii="Titillium" w:hAnsi="Titillium"/>
          <w:i/>
          <w:sz w:val="18"/>
          <w:szCs w:val="18"/>
        </w:rPr>
      </w:pPr>
    </w:p>
    <w:p w14:paraId="1A75CDD1" w14:textId="77777777" w:rsidR="006842EE" w:rsidRDefault="008F2625">
      <w:pPr>
        <w:pBdr>
          <w:top w:val="single" w:sz="4" w:space="1" w:color="000000"/>
          <w:left w:val="single" w:sz="4" w:space="4" w:color="000000"/>
          <w:bottom w:val="single" w:sz="4" w:space="1" w:color="000000"/>
          <w:right w:val="single" w:sz="4" w:space="4" w:color="000000"/>
        </w:pBdr>
        <w:spacing w:before="60" w:after="60"/>
        <w:rPr>
          <w:rFonts w:ascii="Titillium" w:hAnsi="Titillium"/>
          <w:i/>
          <w:sz w:val="18"/>
          <w:szCs w:val="18"/>
        </w:rPr>
      </w:pPr>
      <w:r>
        <w:rPr>
          <w:rFonts w:ascii="Titillium" w:hAnsi="Titillium"/>
          <w:i/>
          <w:sz w:val="18"/>
          <w:szCs w:val="18"/>
        </w:rPr>
        <w:t>N.B. Ove la stazione appaltante ricorra al metodo di attribuzione discrezionale del coefficiente variabile da zero ad uno, deve specificare nel bando il valore del coefficiente relativo ai diversi livelli di valutazione ( per esempio: Ottimo = 1; buono = 0,8; adeguato = 0,6 etc.) precisando, inoltre, il metodo di calcolo del coefficiente unico da attribuire all’offerta in relazione al sub-criterio esaminato (per esempio: “la commissione calcola la media aritmetica dei coefficienti attribuiti dai singoli commissari all’offerta in relazione al sub-criterio in esame, al fine di ottenere il coefficiente medio da applicare al medesimo”).</w:t>
      </w:r>
    </w:p>
    <w:p w14:paraId="346578EF" w14:textId="77777777" w:rsidR="006842EE" w:rsidRDefault="006842EE">
      <w:pPr>
        <w:spacing w:before="60" w:after="60"/>
        <w:rPr>
          <w:rFonts w:ascii="Titillium" w:hAnsi="Titillium"/>
          <w:i/>
          <w:sz w:val="18"/>
          <w:szCs w:val="18"/>
        </w:rPr>
      </w:pPr>
    </w:p>
    <w:p w14:paraId="479BA4BA" w14:textId="77777777" w:rsidR="006842EE" w:rsidRDefault="008F2625">
      <w:pPr>
        <w:spacing w:before="60" w:after="60"/>
        <w:rPr>
          <w:rFonts w:ascii="Titillium" w:hAnsi="Titillium"/>
          <w:sz w:val="18"/>
          <w:szCs w:val="18"/>
        </w:rPr>
      </w:pPr>
      <w:r>
        <w:rPr>
          <w:rFonts w:ascii="Titillium" w:hAnsi="Titillium"/>
          <w:b/>
          <w:i/>
          <w:sz w:val="18"/>
          <w:szCs w:val="18"/>
        </w:rPr>
        <w:t xml:space="preserve">[In caso di criteri tabellari] </w:t>
      </w:r>
      <w:r>
        <w:rPr>
          <w:rFonts w:ascii="Titillium" w:hAnsi="Titillium"/>
          <w:sz w:val="18"/>
          <w:szCs w:val="18"/>
        </w:rPr>
        <w:t xml:space="preserve">Quanto agli elementi cui è assegnato un punteggio tabellare identificato dalla colonna “T” della tabella, il relativo punteggio è assegnato, automaticamente e in valore assoluto, sulla base della presenza o assenza nell’offerta, dell’elemento richiesto. </w:t>
      </w:r>
    </w:p>
    <w:p w14:paraId="730D536D" w14:textId="77777777" w:rsidR="004E254C" w:rsidRDefault="004E254C">
      <w:pPr>
        <w:spacing w:before="60" w:after="60"/>
      </w:pPr>
    </w:p>
    <w:p w14:paraId="390B4CD0" w14:textId="5D5CC0D4" w:rsidR="006842EE" w:rsidRPr="00B511CF" w:rsidRDefault="008F2625" w:rsidP="00D26F03">
      <w:pPr>
        <w:pStyle w:val="Titolo3"/>
        <w:numPr>
          <w:ilvl w:val="1"/>
          <w:numId w:val="55"/>
        </w:numPr>
        <w:spacing w:before="120"/>
        <w:ind w:left="426" w:hanging="426"/>
        <w:rPr>
          <w:rFonts w:ascii="Titillium" w:hAnsi="Titillium"/>
          <w:caps w:val="0"/>
          <w:sz w:val="18"/>
          <w:szCs w:val="18"/>
          <w:lang w:val="it-IT"/>
        </w:rPr>
      </w:pPr>
      <w:bookmarkStart w:id="1821" w:name="_Ref498421792"/>
      <w:bookmarkStart w:id="1822" w:name="_Toc227921650"/>
      <w:r w:rsidRPr="00B511CF">
        <w:rPr>
          <w:rFonts w:ascii="Titillium" w:hAnsi="Titillium"/>
          <w:caps w:val="0"/>
          <w:sz w:val="18"/>
          <w:szCs w:val="18"/>
          <w:lang w:val="it-IT"/>
        </w:rPr>
        <w:t>METODO DI ATTRIBUZIONE DEL COEFFICIENTE PER IL CALCOLO DEL PUNTEGGIO DELL’OFFERTA ECONOMICA</w:t>
      </w:r>
      <w:bookmarkEnd w:id="1821"/>
      <w:bookmarkEnd w:id="1822"/>
      <w:r w:rsidRPr="00B511CF">
        <w:rPr>
          <w:rFonts w:ascii="Titillium" w:hAnsi="Titillium"/>
          <w:caps w:val="0"/>
          <w:sz w:val="18"/>
          <w:szCs w:val="18"/>
          <w:lang w:val="it-IT"/>
        </w:rPr>
        <w:t xml:space="preserve"> </w:t>
      </w:r>
    </w:p>
    <w:p w14:paraId="25A4E4E8" w14:textId="3D4232BA" w:rsidR="00EB5449" w:rsidRPr="000B0E59" w:rsidRDefault="00EB5449" w:rsidP="00EB5449">
      <w:pPr>
        <w:spacing w:before="60" w:after="60"/>
        <w:rPr>
          <w:rFonts w:ascii="Titillium" w:hAnsi="Titillium"/>
          <w:strike/>
          <w:sz w:val="18"/>
          <w:szCs w:val="18"/>
        </w:rPr>
      </w:pPr>
      <w:r w:rsidRPr="000B0E59">
        <w:rPr>
          <w:rFonts w:ascii="Titillium" w:hAnsi="Titillium"/>
          <w:sz w:val="18"/>
          <w:szCs w:val="18"/>
        </w:rPr>
        <w:t xml:space="preserve">Quanto all’offerta economica, è attribuito all’elemento economico un coefficiente, variabile da zero ad </w:t>
      </w:r>
      <w:r w:rsidR="008B3E3E" w:rsidRPr="000B0E59">
        <w:rPr>
          <w:rFonts w:ascii="Titillium" w:hAnsi="Titillium"/>
          <w:sz w:val="18"/>
          <w:szCs w:val="18"/>
        </w:rPr>
        <w:t>uno, calcolato</w:t>
      </w:r>
      <w:r w:rsidRPr="000B0E59">
        <w:rPr>
          <w:rFonts w:ascii="Titillium" w:hAnsi="Titillium"/>
          <w:sz w:val="18"/>
          <w:szCs w:val="18"/>
        </w:rPr>
        <w:t xml:space="preserve"> tramite la seguente formula non lineare:</w:t>
      </w:r>
    </w:p>
    <w:p w14:paraId="41EE4F81" w14:textId="77777777" w:rsidR="00EB5449" w:rsidRPr="000B0E59" w:rsidRDefault="00EB5449" w:rsidP="00EB5449">
      <w:pPr>
        <w:spacing w:before="60" w:after="60"/>
        <w:rPr>
          <w:rFonts w:ascii="Titillium" w:hAnsi="Titillium"/>
          <w:sz w:val="18"/>
          <w:szCs w:val="18"/>
        </w:rPr>
      </w:pPr>
      <w:r w:rsidRPr="000B0E59">
        <w:rPr>
          <w:rFonts w:ascii="Titillium" w:hAnsi="Titillium"/>
          <w:sz w:val="18"/>
          <w:szCs w:val="18"/>
        </w:rPr>
        <w:t>Se Ri&lt; Rmed</w:t>
      </w:r>
    </w:p>
    <w:p w14:paraId="6E6CDCAE" w14:textId="5ABF9127" w:rsidR="00EB5449" w:rsidRPr="000B0E59" w:rsidRDefault="00EB5449" w:rsidP="00EB5449">
      <w:pPr>
        <w:spacing w:before="60" w:after="60"/>
        <w:rPr>
          <w:rFonts w:ascii="Titillium" w:hAnsi="Titillium"/>
          <w:sz w:val="18"/>
          <w:szCs w:val="18"/>
        </w:rPr>
      </w:pPr>
      <w:r w:rsidRPr="000B0E59">
        <w:rPr>
          <w:rFonts w:ascii="Cambria Math" w:hAnsi="Cambria Math" w:cs="Cambria Math"/>
          <w:sz w:val="18"/>
          <w:szCs w:val="18"/>
        </w:rPr>
        <w:t>𝑃𝐸𝑖</w:t>
      </w:r>
      <w:r w:rsidRPr="000B0E59">
        <w:rPr>
          <w:rFonts w:ascii="Titillium" w:hAnsi="Titillium"/>
          <w:sz w:val="18"/>
          <w:szCs w:val="18"/>
        </w:rPr>
        <w:t xml:space="preserve"> = (</w:t>
      </w:r>
      <w:r w:rsidRPr="000B0E59">
        <w:rPr>
          <w:rFonts w:ascii="Cambria Math" w:hAnsi="Cambria Math" w:cs="Cambria Math"/>
          <w:sz w:val="18"/>
          <w:szCs w:val="18"/>
        </w:rPr>
        <w:t>𝑅𝑖</w:t>
      </w:r>
      <w:r w:rsidRPr="000B0E59">
        <w:rPr>
          <w:rFonts w:ascii="Titillium" w:hAnsi="Titillium"/>
          <w:sz w:val="18"/>
          <w:szCs w:val="18"/>
        </w:rPr>
        <w:t>/</w:t>
      </w:r>
      <w:r w:rsidRPr="000B0E59">
        <w:rPr>
          <w:rFonts w:ascii="Cambria Math" w:hAnsi="Cambria Math" w:cs="Cambria Math"/>
          <w:sz w:val="18"/>
          <w:szCs w:val="18"/>
        </w:rPr>
        <w:t>𝑅</w:t>
      </w:r>
      <w:r w:rsidRPr="000B0E59">
        <w:rPr>
          <w:rFonts w:ascii="Titillium" w:hAnsi="Titillium"/>
          <w:sz w:val="18"/>
          <w:szCs w:val="18"/>
        </w:rPr>
        <w:t>med) ^</w:t>
      </w:r>
      <w:r w:rsidRPr="000B0E59">
        <w:rPr>
          <w:rFonts w:ascii="Courier New" w:hAnsi="Courier New" w:cs="Courier New"/>
          <w:sz w:val="18"/>
          <w:szCs w:val="18"/>
        </w:rPr>
        <w:t>α</w:t>
      </w:r>
      <w:r w:rsidRPr="000B0E59">
        <w:rPr>
          <w:rFonts w:ascii="Titillium" w:hAnsi="Titillium"/>
          <w:sz w:val="18"/>
          <w:szCs w:val="18"/>
        </w:rPr>
        <w:t xml:space="preserve"> </w:t>
      </w:r>
    </w:p>
    <w:p w14:paraId="615AF0BA" w14:textId="77777777" w:rsidR="00EB5449" w:rsidRPr="000B0E59" w:rsidRDefault="00EB5449" w:rsidP="00EB5449">
      <w:pPr>
        <w:spacing w:before="60" w:after="60"/>
        <w:rPr>
          <w:rFonts w:ascii="Titillium" w:hAnsi="Titillium"/>
          <w:sz w:val="18"/>
          <w:szCs w:val="18"/>
        </w:rPr>
      </w:pPr>
      <w:r w:rsidRPr="000B0E59">
        <w:rPr>
          <w:rFonts w:ascii="Titillium" w:hAnsi="Titillium"/>
          <w:sz w:val="18"/>
          <w:szCs w:val="18"/>
        </w:rPr>
        <w:t>Se Ri&gt; Rmed</w:t>
      </w:r>
    </w:p>
    <w:p w14:paraId="78D1F099" w14:textId="61D795EE" w:rsidR="00EB5449" w:rsidRPr="008562AB" w:rsidRDefault="00EB5449" w:rsidP="00EB5449">
      <w:pPr>
        <w:spacing w:before="60" w:after="60"/>
        <w:rPr>
          <w:rFonts w:ascii="Titillium" w:hAnsi="Titillium"/>
          <w:sz w:val="18"/>
          <w:szCs w:val="18"/>
        </w:rPr>
      </w:pPr>
      <w:r w:rsidRPr="000B0E59">
        <w:rPr>
          <w:rFonts w:ascii="Cambria Math" w:hAnsi="Cambria Math" w:cs="Cambria Math"/>
          <w:sz w:val="18"/>
          <w:szCs w:val="18"/>
        </w:rPr>
        <w:t>𝑃𝐸𝑖</w:t>
      </w:r>
      <w:r w:rsidRPr="000B0E59">
        <w:rPr>
          <w:rFonts w:ascii="Titillium" w:hAnsi="Titillium"/>
          <w:sz w:val="18"/>
          <w:szCs w:val="18"/>
        </w:rPr>
        <w:t xml:space="preserve"> = </w:t>
      </w:r>
      <w:r w:rsidR="002126A9" w:rsidRPr="000B0E59">
        <w:rPr>
          <w:rFonts w:ascii="Titillium" w:hAnsi="Titillium"/>
          <w:sz w:val="18"/>
          <w:szCs w:val="18"/>
        </w:rPr>
        <w:t>1</w:t>
      </w:r>
    </w:p>
    <w:p w14:paraId="29082667" w14:textId="77777777" w:rsidR="00EB5449" w:rsidRPr="008562AB" w:rsidRDefault="00EB5449" w:rsidP="00EB5449">
      <w:pPr>
        <w:spacing w:before="60" w:after="60"/>
        <w:rPr>
          <w:rFonts w:ascii="Titillium" w:hAnsi="Titillium"/>
          <w:sz w:val="18"/>
          <w:szCs w:val="18"/>
        </w:rPr>
      </w:pPr>
      <w:r w:rsidRPr="008562AB">
        <w:rPr>
          <w:rFonts w:ascii="Titillium" w:hAnsi="Titillium"/>
          <w:sz w:val="18"/>
          <w:szCs w:val="18"/>
        </w:rPr>
        <w:t>ove:</w:t>
      </w:r>
    </w:p>
    <w:p w14:paraId="38B60AF8" w14:textId="77777777" w:rsidR="00EB5449" w:rsidRPr="008562AB" w:rsidRDefault="00EB5449" w:rsidP="00EB5449">
      <w:pPr>
        <w:spacing w:before="60" w:after="60"/>
        <w:rPr>
          <w:rFonts w:ascii="Titillium" w:hAnsi="Titillium"/>
          <w:sz w:val="18"/>
          <w:szCs w:val="18"/>
        </w:rPr>
      </w:pPr>
      <w:r w:rsidRPr="008562AB">
        <w:rPr>
          <w:rFonts w:ascii="Titillium" w:hAnsi="Titillium"/>
          <w:sz w:val="18"/>
          <w:szCs w:val="18"/>
        </w:rPr>
        <w:t xml:space="preserve">• </w:t>
      </w:r>
      <w:r w:rsidRPr="008562AB">
        <w:rPr>
          <w:rFonts w:ascii="Cambria Math" w:hAnsi="Cambria Math" w:cs="Cambria Math"/>
          <w:sz w:val="18"/>
          <w:szCs w:val="18"/>
        </w:rPr>
        <w:t>𝑃𝐸𝑖</w:t>
      </w:r>
      <w:r w:rsidRPr="008562AB">
        <w:rPr>
          <w:rFonts w:ascii="Titillium" w:hAnsi="Titillium"/>
          <w:sz w:val="18"/>
          <w:szCs w:val="18"/>
        </w:rPr>
        <w:t>= punteggio economico provvisorio dell’operatore economico i-esimo;</w:t>
      </w:r>
    </w:p>
    <w:p w14:paraId="77FC06E2" w14:textId="13F513B0" w:rsidR="00EB5449" w:rsidRPr="008562AB" w:rsidRDefault="00EB5449">
      <w:pPr>
        <w:spacing w:before="60" w:after="60"/>
        <w:rPr>
          <w:rFonts w:ascii="Titillium" w:hAnsi="Titillium"/>
          <w:sz w:val="18"/>
          <w:szCs w:val="18"/>
        </w:rPr>
      </w:pPr>
      <w:r w:rsidRPr="008562AB">
        <w:rPr>
          <w:rFonts w:ascii="Titillium" w:hAnsi="Titillium"/>
          <w:sz w:val="18"/>
          <w:szCs w:val="18"/>
        </w:rPr>
        <w:t xml:space="preserve">• </w:t>
      </w:r>
      <w:r w:rsidRPr="008562AB">
        <w:rPr>
          <w:rFonts w:ascii="Cambria Math" w:hAnsi="Cambria Math" w:cs="Cambria Math"/>
          <w:sz w:val="18"/>
          <w:szCs w:val="18"/>
        </w:rPr>
        <w:t>𝑅𝑖</w:t>
      </w:r>
      <w:r w:rsidRPr="008562AB">
        <w:rPr>
          <w:rFonts w:ascii="Titillium" w:hAnsi="Titillium"/>
          <w:sz w:val="18"/>
          <w:szCs w:val="18"/>
        </w:rPr>
        <w:t>= ribasso offerto dall’operatore economico i-esimo</w:t>
      </w:r>
    </w:p>
    <w:p w14:paraId="61363D32" w14:textId="77777777" w:rsidR="00EB5449" w:rsidRPr="00FB1CBF" w:rsidRDefault="00EB5449" w:rsidP="00EB5449">
      <w:pPr>
        <w:spacing w:before="60" w:after="60"/>
        <w:rPr>
          <w:rFonts w:ascii="Titillium" w:hAnsi="Titillium"/>
          <w:sz w:val="18"/>
          <w:szCs w:val="18"/>
        </w:rPr>
      </w:pPr>
      <w:r w:rsidRPr="00FB1CBF">
        <w:rPr>
          <w:rFonts w:ascii="Titillium" w:hAnsi="Titillium"/>
          <w:sz w:val="18"/>
          <w:szCs w:val="18"/>
        </w:rPr>
        <w:t xml:space="preserve">• </w:t>
      </w:r>
      <w:r w:rsidRPr="00FB1CBF">
        <w:rPr>
          <w:rFonts w:ascii="Cambria Math" w:hAnsi="Cambria Math" w:cs="Cambria Math"/>
          <w:sz w:val="18"/>
          <w:szCs w:val="18"/>
        </w:rPr>
        <w:t>𝑅𝑚</w:t>
      </w:r>
      <w:r w:rsidRPr="00FB1CBF">
        <w:rPr>
          <w:rFonts w:ascii="Titillium" w:hAnsi="Titillium"/>
          <w:sz w:val="18"/>
          <w:szCs w:val="18"/>
        </w:rPr>
        <w:t>ed= media ribassi offerti;</w:t>
      </w:r>
    </w:p>
    <w:p w14:paraId="78D69408" w14:textId="77777777" w:rsidR="00EB5449" w:rsidRPr="00FB1CBF" w:rsidRDefault="00EB5449" w:rsidP="00EB5449">
      <w:pPr>
        <w:spacing w:before="60" w:after="60"/>
        <w:rPr>
          <w:rFonts w:ascii="Titillium" w:hAnsi="Titillium"/>
          <w:sz w:val="18"/>
          <w:szCs w:val="18"/>
        </w:rPr>
      </w:pPr>
      <w:r w:rsidRPr="00FB1CBF">
        <w:rPr>
          <w:rFonts w:ascii="Titillium" w:hAnsi="Titillium"/>
          <w:sz w:val="18"/>
          <w:szCs w:val="18"/>
        </w:rPr>
        <w:t xml:space="preserve">• </w:t>
      </w:r>
      <w:r w:rsidRPr="00FB1CBF">
        <w:rPr>
          <w:rFonts w:ascii="Courier New" w:hAnsi="Courier New" w:cs="Courier New"/>
          <w:sz w:val="18"/>
          <w:szCs w:val="18"/>
        </w:rPr>
        <w:t>α</w:t>
      </w:r>
      <w:r w:rsidRPr="00FB1CBF">
        <w:rPr>
          <w:rFonts w:ascii="Titillium" w:hAnsi="Titillium"/>
          <w:sz w:val="18"/>
          <w:szCs w:val="18"/>
        </w:rPr>
        <w:t xml:space="preserve"> = coefficiente variabile da 0,1 a 0,3;</w:t>
      </w:r>
    </w:p>
    <w:p w14:paraId="5AF9F42F" w14:textId="57F899E7" w:rsidR="00EB5449" w:rsidRPr="000B0E59" w:rsidRDefault="008B3E3E" w:rsidP="00EB5449">
      <w:pPr>
        <w:spacing w:before="60" w:after="60"/>
        <w:rPr>
          <w:rFonts w:ascii="Titillium" w:hAnsi="Titillium"/>
          <w:sz w:val="18"/>
          <w:szCs w:val="18"/>
        </w:rPr>
      </w:pPr>
      <w:r w:rsidRPr="000B0E59">
        <w:rPr>
          <w:rFonts w:ascii="Titillium" w:hAnsi="Titillium"/>
          <w:sz w:val="18"/>
          <w:szCs w:val="18"/>
        </w:rPr>
        <w:t xml:space="preserve">Il </w:t>
      </w:r>
      <w:r w:rsidR="00EB5449" w:rsidRPr="000B0E59">
        <w:rPr>
          <w:rFonts w:ascii="Titillium" w:hAnsi="Titillium"/>
          <w:sz w:val="18"/>
          <w:szCs w:val="18"/>
        </w:rPr>
        <w:t>punteggio offerta economica</w:t>
      </w:r>
      <w:r w:rsidRPr="000B0E59">
        <w:rPr>
          <w:rFonts w:ascii="Titillium" w:hAnsi="Titillium"/>
          <w:sz w:val="18"/>
          <w:szCs w:val="18"/>
        </w:rPr>
        <w:t xml:space="preserve"> assume un</w:t>
      </w:r>
      <w:r w:rsidR="00EB5449" w:rsidRPr="000B0E59">
        <w:rPr>
          <w:rFonts w:ascii="Titillium" w:hAnsi="Titillium"/>
          <w:sz w:val="18"/>
          <w:szCs w:val="18"/>
        </w:rPr>
        <w:t xml:space="preserve"> valore massimo pari a 30.</w:t>
      </w:r>
      <w:r w:rsidRPr="000B0E59">
        <w:rPr>
          <w:rFonts w:ascii="Titillium" w:hAnsi="Titillium"/>
          <w:sz w:val="18"/>
          <w:szCs w:val="18"/>
        </w:rPr>
        <w:t xml:space="preserve"> </w:t>
      </w:r>
    </w:p>
    <w:p w14:paraId="30360FE3" w14:textId="77777777" w:rsidR="008A1C88" w:rsidRPr="000B0E59" w:rsidRDefault="008A1C88" w:rsidP="008A1C88">
      <w:pPr>
        <w:rPr>
          <w:rFonts w:ascii="Titillium" w:hAnsi="Titillium"/>
          <w:sz w:val="18"/>
          <w:szCs w:val="18"/>
        </w:rPr>
      </w:pPr>
    </w:p>
    <w:p w14:paraId="6053D887" w14:textId="465CEA2C" w:rsidR="008A1C88" w:rsidRPr="000B0E59" w:rsidRDefault="00DF5BE5" w:rsidP="0012671C">
      <w:pPr>
        <w:rPr>
          <w:rFonts w:ascii="Titillium" w:eastAsiaTheme="minorEastAsia" w:hAnsi="Titillium"/>
          <w:strike/>
          <w:sz w:val="18"/>
          <w:szCs w:val="18"/>
        </w:rPr>
      </w:pPr>
      <w:bookmarkStart w:id="1823" w:name="_Hlk209102518"/>
      <w:r w:rsidRPr="000B0E59">
        <w:rPr>
          <w:rFonts w:ascii="Titillium" w:hAnsi="Titillium"/>
          <w:sz w:val="18"/>
          <w:szCs w:val="18"/>
        </w:rPr>
        <w:t>[</w:t>
      </w:r>
      <w:r w:rsidRPr="000B0E59">
        <w:rPr>
          <w:rFonts w:ascii="Titillium" w:hAnsi="Titillium"/>
          <w:b/>
          <w:bCs/>
          <w:i/>
          <w:iCs/>
          <w:sz w:val="18"/>
          <w:szCs w:val="18"/>
        </w:rPr>
        <w:t xml:space="preserve">Eventuale se l’affidamento comprende anche ulteriori prestazioni non riconducibili ai servizi di ingegneria ed </w:t>
      </w:r>
      <w:r w:rsidR="004E254C" w:rsidRPr="000B0E59">
        <w:rPr>
          <w:rFonts w:ascii="Titillium" w:hAnsi="Titillium"/>
          <w:b/>
          <w:bCs/>
          <w:i/>
          <w:iCs/>
          <w:sz w:val="18"/>
          <w:szCs w:val="18"/>
        </w:rPr>
        <w:t>architettura]</w:t>
      </w:r>
      <w:r w:rsidR="004E254C" w:rsidRPr="000B0E59">
        <w:rPr>
          <w:rFonts w:ascii="Titillium" w:hAnsi="Titillium"/>
          <w:sz w:val="18"/>
          <w:szCs w:val="18"/>
        </w:rPr>
        <w:t xml:space="preserve"> </w:t>
      </w:r>
      <w:bookmarkEnd w:id="1823"/>
    </w:p>
    <w:p w14:paraId="64CEEE96" w14:textId="77777777" w:rsidR="004C4885" w:rsidRPr="000B0E59" w:rsidRDefault="004C4885" w:rsidP="008A1C88">
      <w:pPr>
        <w:rPr>
          <w:rFonts w:ascii="Titillium" w:hAnsi="Titillium"/>
          <w:strike/>
          <w:sz w:val="18"/>
          <w:szCs w:val="18"/>
        </w:rPr>
      </w:pPr>
    </w:p>
    <w:p w14:paraId="34A96C91" w14:textId="3F9EAF82" w:rsidR="004C4885" w:rsidRPr="000B0E59" w:rsidRDefault="004C4885" w:rsidP="008A1C88">
      <w:pPr>
        <w:rPr>
          <w:rFonts w:ascii="Titillium" w:eastAsiaTheme="minorEastAsia" w:hAnsi="Titillium"/>
          <w:i/>
          <w:iCs/>
          <w:strike/>
          <w:sz w:val="18"/>
          <w:szCs w:val="18"/>
        </w:rPr>
      </w:pPr>
      <w:r w:rsidRPr="000B0E59">
        <w:rPr>
          <w:rFonts w:ascii="Titillium" w:hAnsi="Titillium"/>
          <w:b/>
          <w:bCs/>
          <w:sz w:val="18"/>
          <w:szCs w:val="18"/>
        </w:rPr>
        <w:t>……….</w:t>
      </w:r>
      <w:r w:rsidRPr="000B0E59">
        <w:rPr>
          <w:rFonts w:ascii="Titillium" w:hAnsi="Titillium"/>
          <w:sz w:val="18"/>
          <w:szCs w:val="18"/>
        </w:rPr>
        <w:t xml:space="preserve"> </w:t>
      </w:r>
      <w:r w:rsidR="007A5021" w:rsidRPr="000B0E59">
        <w:rPr>
          <w:rFonts w:ascii="Titillium" w:hAnsi="Titillium"/>
          <w:sz w:val="18"/>
          <w:szCs w:val="18"/>
        </w:rPr>
        <w:t>[</w:t>
      </w:r>
      <w:r w:rsidRPr="000B0E59">
        <w:rPr>
          <w:rFonts w:ascii="Titillium" w:hAnsi="Titillium"/>
          <w:i/>
          <w:iCs/>
          <w:sz w:val="18"/>
          <w:szCs w:val="18"/>
        </w:rPr>
        <w:t xml:space="preserve">la stazione appaltante </w:t>
      </w:r>
      <w:r w:rsidR="007A5021" w:rsidRPr="000B0E59">
        <w:rPr>
          <w:rFonts w:ascii="Titillium" w:hAnsi="Titillium"/>
          <w:i/>
          <w:iCs/>
          <w:sz w:val="18"/>
          <w:szCs w:val="18"/>
        </w:rPr>
        <w:t>indica i diversi c</w:t>
      </w:r>
      <w:r w:rsidRPr="000B0E59">
        <w:rPr>
          <w:rFonts w:ascii="Titillium" w:hAnsi="Titillium"/>
          <w:i/>
          <w:iCs/>
          <w:sz w:val="18"/>
          <w:szCs w:val="18"/>
        </w:rPr>
        <w:t xml:space="preserve">riteri </w:t>
      </w:r>
      <w:r w:rsidR="007A5021" w:rsidRPr="000B0E59">
        <w:rPr>
          <w:rFonts w:ascii="Titillium" w:hAnsi="Titillium"/>
          <w:i/>
          <w:iCs/>
          <w:sz w:val="18"/>
          <w:szCs w:val="18"/>
        </w:rPr>
        <w:t xml:space="preserve">utilizzati </w:t>
      </w:r>
      <w:r w:rsidRPr="000B0E59">
        <w:rPr>
          <w:rFonts w:ascii="Titillium" w:hAnsi="Titillium"/>
          <w:i/>
          <w:iCs/>
          <w:sz w:val="18"/>
          <w:szCs w:val="18"/>
        </w:rPr>
        <w:t>per attribuire il punteggio economico ai singoli ribassi riferibili</w:t>
      </w:r>
      <w:r w:rsidR="007A5021" w:rsidRPr="000B0E59">
        <w:rPr>
          <w:rFonts w:ascii="Titillium" w:hAnsi="Titillium"/>
          <w:i/>
          <w:iCs/>
          <w:sz w:val="18"/>
          <w:szCs w:val="18"/>
        </w:rPr>
        <w:t xml:space="preserve"> ai servizi di ingegneria ed architettura e alle ulteriori eventuali</w:t>
      </w:r>
      <w:r w:rsidR="00B9062D" w:rsidRPr="000B0E59">
        <w:rPr>
          <w:rFonts w:ascii="Titillium" w:hAnsi="Titillium"/>
          <w:i/>
          <w:iCs/>
          <w:sz w:val="18"/>
          <w:szCs w:val="18"/>
        </w:rPr>
        <w:t xml:space="preserve"> prestazioni</w:t>
      </w:r>
      <w:r w:rsidR="007A5021" w:rsidRPr="000B0E59">
        <w:rPr>
          <w:rFonts w:ascii="Titillium" w:hAnsi="Titillium"/>
          <w:i/>
          <w:iCs/>
          <w:sz w:val="18"/>
          <w:szCs w:val="18"/>
        </w:rPr>
        <w:t xml:space="preserve">, fermo restando il limite massimo dei 30 punti e la ponderazione del prezzo </w:t>
      </w:r>
      <w:r w:rsidR="00BA752A" w:rsidRPr="000B0E59">
        <w:rPr>
          <w:rFonts w:ascii="Titillium" w:hAnsi="Titillium"/>
          <w:i/>
          <w:iCs/>
          <w:sz w:val="18"/>
          <w:szCs w:val="18"/>
        </w:rPr>
        <w:t>delle prestazioni</w:t>
      </w:r>
      <w:r w:rsidR="007A5021" w:rsidRPr="000B0E59">
        <w:rPr>
          <w:rFonts w:ascii="Titillium" w:hAnsi="Titillium"/>
          <w:i/>
          <w:iCs/>
          <w:sz w:val="18"/>
          <w:szCs w:val="18"/>
        </w:rPr>
        <w:t xml:space="preserve"> rispetto all’incidenza sul prezzo complessivo</w:t>
      </w:r>
      <w:r w:rsidR="007A5021" w:rsidRPr="000B0E59">
        <w:rPr>
          <w:rFonts w:ascii="Titillium" w:hAnsi="Titillium"/>
          <w:b/>
          <w:bCs/>
          <w:i/>
          <w:iCs/>
          <w:sz w:val="18"/>
          <w:szCs w:val="18"/>
        </w:rPr>
        <w:t>]</w:t>
      </w:r>
      <w:r w:rsidR="007A5021" w:rsidRPr="000B0E59">
        <w:rPr>
          <w:rFonts w:ascii="Titillium" w:hAnsi="Titillium"/>
          <w:i/>
          <w:iCs/>
          <w:sz w:val="18"/>
          <w:szCs w:val="18"/>
        </w:rPr>
        <w:t xml:space="preserve">   </w:t>
      </w:r>
    </w:p>
    <w:p w14:paraId="58B037AF" w14:textId="77777777" w:rsidR="004C4885" w:rsidRPr="000B0E59" w:rsidRDefault="004C4885" w:rsidP="008A1C88">
      <w:pPr>
        <w:rPr>
          <w:rFonts w:ascii="Titillium" w:eastAsiaTheme="minorEastAsia" w:hAnsi="Titillium"/>
          <w:strike/>
          <w:sz w:val="18"/>
          <w:szCs w:val="18"/>
        </w:rPr>
      </w:pPr>
    </w:p>
    <w:p w14:paraId="544DE653" w14:textId="0C68C5F2" w:rsidR="00323913" w:rsidRPr="000B0E59" w:rsidRDefault="008F2625" w:rsidP="00D26F03">
      <w:pPr>
        <w:pStyle w:val="Titolo3"/>
        <w:numPr>
          <w:ilvl w:val="1"/>
          <w:numId w:val="55"/>
        </w:numPr>
        <w:spacing w:before="120"/>
        <w:ind w:left="426" w:hanging="426"/>
        <w:rPr>
          <w:rFonts w:ascii="Titillium" w:hAnsi="Titillium"/>
          <w:caps w:val="0"/>
          <w:sz w:val="18"/>
          <w:szCs w:val="18"/>
          <w:lang w:val="it-IT"/>
        </w:rPr>
      </w:pPr>
      <w:bookmarkStart w:id="1824" w:name="_Ref497226795"/>
      <w:bookmarkStart w:id="1825" w:name="_Toc227921651"/>
      <w:r w:rsidRPr="000B0E59">
        <w:rPr>
          <w:rFonts w:ascii="Titillium" w:hAnsi="Titillium"/>
          <w:caps w:val="0"/>
          <w:sz w:val="18"/>
          <w:szCs w:val="18"/>
          <w:lang w:val="it-IT"/>
        </w:rPr>
        <w:t>METODO DI CALCOLO DEI PUNTEGGI</w:t>
      </w:r>
      <w:bookmarkStart w:id="1826" w:name="_Toc4034712801"/>
      <w:bookmarkStart w:id="1827" w:name="_Toc3974228731"/>
      <w:bookmarkStart w:id="1828" w:name="_Toc3973468321"/>
      <w:bookmarkStart w:id="1829" w:name="_Toc3937069171"/>
      <w:bookmarkStart w:id="1830" w:name="_Toc3937008441"/>
      <w:bookmarkStart w:id="1831" w:name="_Toc3932831851"/>
      <w:bookmarkStart w:id="1832" w:name="_Toc3932726691"/>
      <w:bookmarkStart w:id="1833" w:name="_Toc3932726111"/>
      <w:bookmarkStart w:id="1834" w:name="_Toc3931878551"/>
      <w:bookmarkStart w:id="1835" w:name="_Toc3931121381"/>
      <w:bookmarkStart w:id="1836" w:name="_Toc3931105741"/>
      <w:bookmarkStart w:id="1837" w:name="_Toc3925775071"/>
      <w:bookmarkStart w:id="1838" w:name="_Toc3910360661"/>
      <w:bookmarkStart w:id="1839" w:name="_Toc3910359931"/>
      <w:bookmarkStart w:id="1840" w:name="_Toc3805018801"/>
      <w:bookmarkStart w:id="1841" w:name="_Toc485218331"/>
      <w:bookmarkStart w:id="1842" w:name="_Toc484688895"/>
      <w:bookmarkStart w:id="1843" w:name="_Toc484688340"/>
      <w:bookmarkStart w:id="1844" w:name="_Toc484605471"/>
      <w:bookmarkStart w:id="1845" w:name="_Toc484605347"/>
      <w:bookmarkStart w:id="1846" w:name="_Toc484526628"/>
      <w:bookmarkStart w:id="1847" w:name="_Toc484449133"/>
      <w:bookmarkStart w:id="1848" w:name="_Toc484449009"/>
      <w:bookmarkStart w:id="1849" w:name="_Toc484448885"/>
      <w:bookmarkStart w:id="1850" w:name="_Toc484448762"/>
      <w:bookmarkStart w:id="1851" w:name="_Toc484448638"/>
      <w:bookmarkStart w:id="1852" w:name="_Toc484448514"/>
      <w:bookmarkStart w:id="1853" w:name="_Toc484448390"/>
      <w:bookmarkStart w:id="1854" w:name="_Toc484448266"/>
      <w:bookmarkStart w:id="1855" w:name="_Toc484448142"/>
      <w:bookmarkStart w:id="1856" w:name="_Toc484440482"/>
      <w:bookmarkStart w:id="1857" w:name="_Toc484440122"/>
      <w:bookmarkStart w:id="1858" w:name="_Toc484439998"/>
      <w:bookmarkStart w:id="1859" w:name="_Toc484439875"/>
      <w:bookmarkStart w:id="1860" w:name="_Toc484438955"/>
      <w:bookmarkStart w:id="1861" w:name="_Toc484438831"/>
      <w:bookmarkStart w:id="1862" w:name="_Toc484438707"/>
      <w:bookmarkStart w:id="1863" w:name="_Toc484429132"/>
      <w:bookmarkStart w:id="1864" w:name="_Toc484428962"/>
      <w:bookmarkStart w:id="1865" w:name="_Toc484097788"/>
      <w:bookmarkStart w:id="1866" w:name="_Toc484011714"/>
      <w:bookmarkStart w:id="1867" w:name="_Toc484011239"/>
      <w:bookmarkStart w:id="1868" w:name="_Toc484011117"/>
      <w:bookmarkStart w:id="1869" w:name="_Toc484010995"/>
      <w:bookmarkStart w:id="1870" w:name="_Toc484010871"/>
      <w:bookmarkStart w:id="1871" w:name="_Toc484010749"/>
      <w:bookmarkStart w:id="1872" w:name="_Toc483906999"/>
      <w:bookmarkStart w:id="1873" w:name="_Toc483571622"/>
      <w:bookmarkStart w:id="1874" w:name="_Toc483571501"/>
      <w:bookmarkStart w:id="1875" w:name="_Toc483474071"/>
      <w:bookmarkStart w:id="1876" w:name="_Toc483401275"/>
      <w:bookmarkStart w:id="1877" w:name="_Toc483325797"/>
      <w:bookmarkStart w:id="1878" w:name="_Toc483316494"/>
      <w:bookmarkStart w:id="1879" w:name="_Toc483316363"/>
      <w:bookmarkStart w:id="1880" w:name="_Toc483316231"/>
      <w:bookmarkStart w:id="1881" w:name="_Toc483316026"/>
      <w:bookmarkStart w:id="1882" w:name="_Toc483302405"/>
      <w:bookmarkStart w:id="1883" w:name="_Toc483233688"/>
      <w:bookmarkStart w:id="1884" w:name="_Toc482979728"/>
      <w:bookmarkStart w:id="1885" w:name="_Toc482979630"/>
      <w:bookmarkStart w:id="1886" w:name="_Toc482979532"/>
      <w:bookmarkStart w:id="1887" w:name="_Toc482979424"/>
      <w:bookmarkStart w:id="1888" w:name="_Toc482979315"/>
      <w:bookmarkStart w:id="1889" w:name="_Toc482979206"/>
      <w:bookmarkStart w:id="1890" w:name="_Toc482979095"/>
      <w:bookmarkStart w:id="1891" w:name="_Toc482978987"/>
      <w:bookmarkStart w:id="1892" w:name="_Toc482978878"/>
      <w:bookmarkStart w:id="1893" w:name="_Toc482959759"/>
      <w:bookmarkStart w:id="1894" w:name="_Toc482959649"/>
      <w:bookmarkStart w:id="1895" w:name="_Toc482959539"/>
      <w:bookmarkStart w:id="1896" w:name="_Toc482712751"/>
      <w:bookmarkStart w:id="1897" w:name="_Toc482641305"/>
      <w:bookmarkStart w:id="1898" w:name="_Toc482633128"/>
      <w:bookmarkStart w:id="1899" w:name="_Toc482352287"/>
      <w:bookmarkStart w:id="1900" w:name="_Toc482352197"/>
      <w:bookmarkStart w:id="1901" w:name="_Toc482352107"/>
      <w:bookmarkStart w:id="1902" w:name="_Toc482352017"/>
      <w:bookmarkStart w:id="1903" w:name="_Toc482102153"/>
      <w:bookmarkStart w:id="1904" w:name="_Toc482102059"/>
      <w:bookmarkStart w:id="1905" w:name="_Toc482101964"/>
      <w:bookmarkStart w:id="1906" w:name="_Toc482101869"/>
      <w:bookmarkStart w:id="1907" w:name="_Toc482101776"/>
      <w:bookmarkStart w:id="1908" w:name="_Toc482101601"/>
      <w:bookmarkStart w:id="1909" w:name="_Toc482101486"/>
      <w:bookmarkStart w:id="1910" w:name="_Toc482101349"/>
      <w:bookmarkStart w:id="1911" w:name="_Toc482100923"/>
      <w:bookmarkStart w:id="1912" w:name="_Toc482100766"/>
      <w:bookmarkStart w:id="1913" w:name="_Toc482099049"/>
      <w:bookmarkStart w:id="1914" w:name="_Toc482097947"/>
      <w:bookmarkStart w:id="1915" w:name="_Toc482097755"/>
      <w:bookmarkStart w:id="1916" w:name="_Toc482097666"/>
      <w:bookmarkStart w:id="1917" w:name="_Toc482097577"/>
      <w:bookmarkStart w:id="1918" w:name="_Toc482025753"/>
      <w:bookmarkStart w:id="1919" w:name="_Toc481772380"/>
      <w:bookmarkStart w:id="1920" w:name="_Toc481772316"/>
      <w:bookmarkStart w:id="1921" w:name="_Toc481511317"/>
      <w:bookmarkStart w:id="1922" w:name="_Toc481511273"/>
      <w:bookmarkStart w:id="1923" w:name="_Toc481511213"/>
      <w:bookmarkStart w:id="1924" w:name="_Toc481511168"/>
      <w:bookmarkStart w:id="1925" w:name="_Toc481511110"/>
      <w:bookmarkStart w:id="1926" w:name="_Toc481165531"/>
      <w:bookmarkStart w:id="1927" w:name="_Toc481165222"/>
      <w:bookmarkStart w:id="1928" w:name="_Toc481160021"/>
      <w:bookmarkStart w:id="1929" w:name="_Toc481159876"/>
      <w:bookmarkStart w:id="1930" w:name="_Toc481159824"/>
      <w:bookmarkStart w:id="1931" w:name="_Toc481159767"/>
      <w:bookmarkStart w:id="1932" w:name="_Toc481159721"/>
      <w:bookmarkStart w:id="1933" w:name="_Toc481159382"/>
      <w:bookmarkStart w:id="1934" w:name="_Toc481158988"/>
      <w:bookmarkStart w:id="1935" w:name="_Toc4164233721"/>
      <w:bookmarkStart w:id="1936" w:name="_Toc4067541891"/>
      <w:bookmarkStart w:id="1937" w:name="_Toc4060583881"/>
      <w:bookmarkEnd w:id="1824"/>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r w:rsidR="002126A9" w:rsidRPr="000B0E59">
        <w:rPr>
          <w:rFonts w:ascii="Titillium" w:hAnsi="Titillium"/>
          <w:caps w:val="0"/>
          <w:sz w:val="18"/>
          <w:szCs w:val="18"/>
          <w:lang w:val="it-IT"/>
        </w:rPr>
        <w:t xml:space="preserve"> COMPLESSIVI</w:t>
      </w:r>
      <w:bookmarkEnd w:id="1825"/>
    </w:p>
    <w:p w14:paraId="39EFEE8F" w14:textId="3ED6DFA1" w:rsidR="006842EE" w:rsidRPr="000B0E59" w:rsidRDefault="008F2625">
      <w:pPr>
        <w:rPr>
          <w:rFonts w:ascii="Titillium" w:hAnsi="Titillium" w:cstheme="minorHAnsi"/>
          <w:sz w:val="18"/>
          <w:szCs w:val="18"/>
        </w:rPr>
      </w:pPr>
      <w:r w:rsidRPr="000B0E59">
        <w:rPr>
          <w:rFonts w:ascii="Titillium" w:hAnsi="Titillium" w:cstheme="minorHAnsi"/>
          <w:sz w:val="18"/>
          <w:szCs w:val="18"/>
        </w:rPr>
        <w:t>La commissione, terminata l’attribuzione dei coefficienti agli elementi qualitativi e quantitativi, procede, in relazione a ciascuna offerta, all’attribuzione dei punteggi per ogni singolo criterio secondo il seguente metodo: ... [</w:t>
      </w:r>
      <w:r w:rsidRPr="000B0E59">
        <w:rPr>
          <w:rFonts w:ascii="Titillium" w:hAnsi="Titillium" w:cstheme="minorHAnsi"/>
          <w:i/>
          <w:sz w:val="18"/>
          <w:szCs w:val="18"/>
        </w:rPr>
        <w:t xml:space="preserve">indicare, motivando la scelta, uno dei metodi </w:t>
      </w:r>
      <w:r w:rsidRPr="000B0E59">
        <w:rPr>
          <w:rFonts w:ascii="Cambria Math" w:hAnsi="Cambria Math" w:cs="Cambria Math"/>
          <w:i/>
          <w:sz w:val="18"/>
          <w:szCs w:val="18"/>
        </w:rPr>
        <w:t>‐</w:t>
      </w:r>
      <w:r w:rsidRPr="000B0E59">
        <w:rPr>
          <w:rFonts w:ascii="Titillium" w:hAnsi="Titillium" w:cstheme="minorHAnsi"/>
          <w:i/>
          <w:sz w:val="18"/>
          <w:szCs w:val="18"/>
        </w:rPr>
        <w:t xml:space="preserve"> aggregativo compensatore, Electre, metodo AHP, Topsis o altri</w:t>
      </w:r>
      <w:r w:rsidRPr="000B0E59">
        <w:rPr>
          <w:rFonts w:ascii="Titillium" w:hAnsi="Titillium" w:cstheme="minorHAnsi"/>
          <w:sz w:val="18"/>
          <w:szCs w:val="18"/>
        </w:rPr>
        <w:t>].</w:t>
      </w:r>
    </w:p>
    <w:p w14:paraId="449FAD3B" w14:textId="77777777" w:rsidR="006842EE" w:rsidRPr="000B0E59" w:rsidRDefault="008F2625">
      <w:pPr>
        <w:rPr>
          <w:rFonts w:ascii="Titillium" w:hAnsi="Titillium" w:cstheme="minorHAnsi"/>
          <w:sz w:val="18"/>
          <w:szCs w:val="18"/>
        </w:rPr>
      </w:pPr>
      <w:r w:rsidRPr="000B0E59">
        <w:rPr>
          <w:rFonts w:ascii="Titillium" w:hAnsi="Titillium" w:cstheme="minorHAnsi"/>
          <w:sz w:val="18"/>
          <w:szCs w:val="18"/>
        </w:rPr>
        <w:t>[</w:t>
      </w:r>
      <w:r w:rsidRPr="000B0E59">
        <w:rPr>
          <w:rFonts w:ascii="Titillium" w:hAnsi="Titillium" w:cstheme="minorHAnsi"/>
          <w:i/>
          <w:sz w:val="18"/>
          <w:szCs w:val="18"/>
        </w:rPr>
        <w:t>In caso di scelta del metodo aggregativo</w:t>
      </w:r>
      <w:r w:rsidRPr="000B0E59">
        <w:rPr>
          <w:rFonts w:ascii="Cambria Math" w:hAnsi="Cambria Math" w:cs="Cambria Math"/>
          <w:i/>
          <w:sz w:val="18"/>
          <w:szCs w:val="18"/>
        </w:rPr>
        <w:t>‐</w:t>
      </w:r>
      <w:r w:rsidRPr="000B0E59">
        <w:rPr>
          <w:rFonts w:ascii="Titillium" w:hAnsi="Titillium" w:cstheme="minorHAnsi"/>
          <w:sz w:val="18"/>
          <w:szCs w:val="18"/>
        </w:rPr>
        <w:t>compensatore] Il punteggio per il concorrente i-esimo è dato dalla seguente formula:</w:t>
      </w:r>
    </w:p>
    <w:p w14:paraId="3CC57CA3" w14:textId="77777777" w:rsidR="006842EE" w:rsidRPr="000B0E59" w:rsidRDefault="006842EE">
      <w:pPr>
        <w:rPr>
          <w:rFonts w:ascii="Titillium" w:hAnsi="Titillium" w:cstheme="minorHAnsi"/>
          <w:sz w:val="18"/>
          <w:szCs w:val="18"/>
        </w:rPr>
      </w:pPr>
    </w:p>
    <w:p w14:paraId="71E85382" w14:textId="1B15EFE8" w:rsidR="004E254C" w:rsidRPr="000B0E59" w:rsidRDefault="00D26F03">
      <w:pPr>
        <w:rPr>
          <w:rFonts w:ascii="Titillium" w:hAnsi="Titillium" w:cstheme="minorHAnsi"/>
          <w:sz w:val="18"/>
          <w:szCs w:val="18"/>
        </w:rPr>
      </w:pPr>
      <m:oMathPara>
        <m:oMath>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nary>
            <m:naryPr>
              <m:chr m:val="∑"/>
              <m:ctrlPr>
                <w:rPr>
                  <w:rFonts w:ascii="Cambria Math" w:hAnsi="Cambria Math"/>
                </w:rPr>
              </m:ctrlPr>
            </m:naryPr>
            <m:sub>
              <m:r>
                <w:rPr>
                  <w:rFonts w:ascii="Cambria Math" w:hAnsi="Cambria Math"/>
                </w:rPr>
                <m:t>x</m:t>
              </m:r>
              <m: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C</m:t>
                  </m:r>
                </m:e>
                <m:sub>
                  <m:r>
                    <w:rPr>
                      <w:rFonts w:ascii="Cambria Math" w:hAnsi="Cambria Math"/>
                    </w:rPr>
                    <m:t>xi</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x</m:t>
                  </m:r>
                </m:sub>
              </m:sSub>
            </m:e>
          </m:nary>
        </m:oMath>
      </m:oMathPara>
    </w:p>
    <w:p w14:paraId="5AEC22E4" w14:textId="77777777" w:rsidR="004E254C" w:rsidRPr="000B0E59" w:rsidRDefault="004E254C" w:rsidP="004E254C">
      <w:pPr>
        <w:rPr>
          <w:rFonts w:ascii="Titillium" w:hAnsi="Titillium" w:cstheme="minorHAnsi"/>
          <w:sz w:val="18"/>
          <w:szCs w:val="18"/>
        </w:rPr>
      </w:pPr>
    </w:p>
    <w:p w14:paraId="2C2AB6EF" w14:textId="6A33A920" w:rsidR="004E254C" w:rsidRPr="000B0E59" w:rsidRDefault="004E254C" w:rsidP="004E254C">
      <w:pPr>
        <w:rPr>
          <w:rFonts w:ascii="Titillium" w:hAnsi="Titillium" w:cstheme="minorHAnsi"/>
          <w:sz w:val="18"/>
          <w:szCs w:val="18"/>
        </w:rPr>
      </w:pPr>
      <w:r w:rsidRPr="000B0E59">
        <w:rPr>
          <w:rFonts w:ascii="Titillium" w:hAnsi="Titillium" w:cstheme="minorHAnsi"/>
          <w:sz w:val="18"/>
          <w:szCs w:val="18"/>
        </w:rPr>
        <w:t>dove:</w:t>
      </w:r>
    </w:p>
    <w:p w14:paraId="770F2919" w14:textId="77777777" w:rsidR="004E254C" w:rsidRPr="000B0E59" w:rsidRDefault="00D26F03" w:rsidP="004E254C">
      <w:pPr>
        <w:spacing w:before="60" w:after="60"/>
      </w:pPr>
      <m:oMath>
        <m:sSub>
          <m:sSubPr>
            <m:ctrlPr>
              <w:rPr>
                <w:rFonts w:ascii="Cambria Math" w:hAnsi="Cambria Math"/>
              </w:rPr>
            </m:ctrlPr>
          </m:sSubPr>
          <m:e>
            <m:r>
              <w:rPr>
                <w:rFonts w:ascii="Cambria Math" w:hAnsi="Cambria Math"/>
              </w:rPr>
              <m:t>P</m:t>
            </m:r>
          </m:e>
          <m:sub>
            <m:r>
              <w:rPr>
                <w:rFonts w:ascii="Cambria Math" w:hAnsi="Cambria Math"/>
              </w:rPr>
              <m:t>i</m:t>
            </m:r>
          </m:sub>
        </m:sSub>
      </m:oMath>
      <w:r w:rsidR="004E254C" w:rsidRPr="000B0E59">
        <w:rPr>
          <w:rFonts w:ascii="Titillium" w:hAnsi="Titillium"/>
          <w:sz w:val="18"/>
          <w:szCs w:val="18"/>
        </w:rPr>
        <w:t xml:space="preserve">= punteggio del concorrente </w:t>
      </w:r>
      <w:r w:rsidR="004E254C" w:rsidRPr="000B0E59">
        <w:rPr>
          <w:rFonts w:ascii="Titillium" w:hAnsi="Titillium"/>
          <w:i/>
          <w:sz w:val="18"/>
          <w:szCs w:val="18"/>
        </w:rPr>
        <w:t>i-esimo</w:t>
      </w:r>
    </w:p>
    <w:p w14:paraId="1BA8A6D6" w14:textId="77777777" w:rsidR="004E254C" w:rsidRDefault="00D26F03" w:rsidP="004E254C">
      <w:pPr>
        <w:spacing w:before="60" w:after="60"/>
      </w:pPr>
      <m:oMath>
        <m:sSub>
          <m:sSubPr>
            <m:ctrlPr>
              <w:rPr>
                <w:rFonts w:ascii="Cambria Math" w:hAnsi="Cambria Math"/>
              </w:rPr>
            </m:ctrlPr>
          </m:sSubPr>
          <m:e>
            <m:r>
              <w:rPr>
                <w:rFonts w:ascii="Cambria Math" w:hAnsi="Cambria Math"/>
              </w:rPr>
              <m:t>C</m:t>
            </m:r>
          </m:e>
          <m:sub>
            <m:r>
              <w:rPr>
                <w:rFonts w:ascii="Cambria Math" w:hAnsi="Cambria Math"/>
              </w:rPr>
              <m:t>xi</m:t>
            </m:r>
          </m:sub>
        </m:sSub>
      </m:oMath>
      <w:r w:rsidR="004E254C" w:rsidRPr="000B0E59">
        <w:rPr>
          <w:rFonts w:ascii="Titillium" w:hAnsi="Titillium"/>
          <w:sz w:val="18"/>
          <w:szCs w:val="18"/>
        </w:rPr>
        <w:t xml:space="preserve"> = coefficiente criterio di valutazione X per il concorrente </w:t>
      </w:r>
      <w:r w:rsidR="004E254C" w:rsidRPr="000B0E59">
        <w:rPr>
          <w:rFonts w:ascii="Titillium" w:hAnsi="Titillium"/>
          <w:i/>
          <w:sz w:val="18"/>
          <w:szCs w:val="18"/>
        </w:rPr>
        <w:t>i-esimo</w:t>
      </w:r>
    </w:p>
    <w:p w14:paraId="301511DF" w14:textId="77777777" w:rsidR="004E254C" w:rsidRDefault="00D26F03" w:rsidP="004E254C">
      <w:pPr>
        <w:spacing w:before="60" w:after="60"/>
      </w:pPr>
      <m:oMath>
        <m:sSub>
          <m:sSubPr>
            <m:ctrlPr>
              <w:rPr>
                <w:rFonts w:ascii="Cambria Math" w:hAnsi="Cambria Math"/>
              </w:rPr>
            </m:ctrlPr>
          </m:sSubPr>
          <m:e>
            <m:r>
              <w:rPr>
                <w:rFonts w:ascii="Cambria Math" w:hAnsi="Cambria Math"/>
              </w:rPr>
              <m:t>P</m:t>
            </m:r>
          </m:e>
          <m:sub>
            <m:r>
              <w:rPr>
                <w:rFonts w:ascii="Cambria Math" w:hAnsi="Cambria Math"/>
              </w:rPr>
              <m:t>x</m:t>
            </m:r>
          </m:sub>
        </m:sSub>
        <m:r>
          <w:rPr>
            <w:rFonts w:ascii="Cambria Math" w:hAnsi="Cambria Math"/>
          </w:rPr>
          <m:t>=</m:t>
        </m:r>
      </m:oMath>
      <w:r w:rsidR="004E254C">
        <w:rPr>
          <w:rFonts w:ascii="Titillium" w:hAnsi="Titillium"/>
          <w:sz w:val="18"/>
          <w:szCs w:val="18"/>
        </w:rPr>
        <w:t xml:space="preserve"> punteggio criterio X</w:t>
      </w:r>
    </w:p>
    <w:p w14:paraId="335B5F58" w14:textId="77777777" w:rsidR="004E254C" w:rsidRDefault="004E254C" w:rsidP="004E254C">
      <w:pPr>
        <w:spacing w:before="60" w:after="60"/>
      </w:pPr>
      <w:r>
        <w:rPr>
          <w:rFonts w:ascii="Titillium" w:hAnsi="Titillium"/>
          <w:sz w:val="18"/>
          <w:szCs w:val="18"/>
        </w:rPr>
        <w:t>X = 1, 2, …, n [</w:t>
      </w:r>
      <w:r>
        <w:rPr>
          <w:rFonts w:ascii="Titillium" w:hAnsi="Titillium"/>
          <w:i/>
          <w:sz w:val="18"/>
          <w:szCs w:val="18"/>
        </w:rPr>
        <w:t>indicare il valore di n, ovvero il numero di criteri di valutazione</w:t>
      </w:r>
      <w:r>
        <w:rPr>
          <w:rFonts w:ascii="Titillium" w:hAnsi="Titillium"/>
          <w:sz w:val="18"/>
          <w:szCs w:val="18"/>
        </w:rPr>
        <w:t>]</w:t>
      </w:r>
    </w:p>
    <w:p w14:paraId="728EC9F3" w14:textId="77777777" w:rsidR="006842EE" w:rsidRDefault="008F2625">
      <w:pPr>
        <w:tabs>
          <w:tab w:val="left" w:pos="1425"/>
        </w:tabs>
        <w:spacing w:before="115"/>
        <w:rPr>
          <w:rFonts w:ascii="Titillium" w:hAnsi="Titillium" w:cstheme="minorHAnsi"/>
          <w:b/>
          <w:i/>
          <w:sz w:val="18"/>
          <w:szCs w:val="18"/>
        </w:rPr>
      </w:pPr>
      <w:bookmarkStart w:id="1938" w:name="_heading=h.3z7bk57"/>
      <w:bookmarkEnd w:id="1938"/>
      <w:r>
        <w:rPr>
          <w:rFonts w:ascii="Titillium" w:hAnsi="Titillium" w:cstheme="minorHAnsi"/>
          <w:b/>
          <w:i/>
          <w:sz w:val="18"/>
          <w:szCs w:val="18"/>
        </w:rPr>
        <w:t>[In caso di scelta di un metodo diverso dall’aggregativo compensatore]</w:t>
      </w:r>
    </w:p>
    <w:p w14:paraId="6AE65913" w14:textId="77777777" w:rsidR="006842EE" w:rsidRDefault="008F2625">
      <w:pPr>
        <w:rPr>
          <w:rFonts w:ascii="Titillium" w:hAnsi="Titillium" w:cstheme="minorHAnsi"/>
          <w:sz w:val="18"/>
          <w:szCs w:val="18"/>
        </w:rPr>
      </w:pPr>
      <w:r>
        <w:rPr>
          <w:rFonts w:ascii="Titillium" w:hAnsi="Titillium" w:cstheme="minorHAnsi"/>
          <w:sz w:val="18"/>
          <w:szCs w:val="18"/>
        </w:rPr>
        <w:t>Il punteggio è dato ... [</w:t>
      </w:r>
      <w:r>
        <w:rPr>
          <w:rFonts w:ascii="Titillium" w:hAnsi="Titillium" w:cstheme="minorHAnsi"/>
          <w:i/>
          <w:sz w:val="18"/>
          <w:szCs w:val="18"/>
        </w:rPr>
        <w:t>indicare il metodo di calcolo prescelto e le relative modalità di applicazione</w:t>
      </w:r>
      <w:r>
        <w:rPr>
          <w:rFonts w:ascii="Titillium" w:hAnsi="Titillium" w:cstheme="minorHAnsi"/>
          <w:sz w:val="18"/>
          <w:szCs w:val="18"/>
        </w:rPr>
        <w:t>].</w:t>
      </w:r>
    </w:p>
    <w:p w14:paraId="21F41A07" w14:textId="77777777" w:rsidR="006842EE" w:rsidRDefault="006842EE">
      <w:pPr>
        <w:rPr>
          <w:rFonts w:ascii="Titillium" w:hAnsi="Titillium" w:cstheme="minorHAnsi"/>
          <w:sz w:val="18"/>
          <w:szCs w:val="18"/>
        </w:rPr>
      </w:pPr>
    </w:p>
    <w:p w14:paraId="2C973637" w14:textId="1F3C9345" w:rsidR="006842EE" w:rsidRPr="00EE01A0" w:rsidRDefault="008F2625">
      <w:pPr>
        <w:rPr>
          <w:rFonts w:ascii="Titillium" w:hAnsi="Titillium" w:cstheme="minorHAnsi"/>
          <w:sz w:val="18"/>
          <w:szCs w:val="18"/>
        </w:rPr>
      </w:pPr>
      <w:r w:rsidRPr="00EE01A0">
        <w:rPr>
          <w:rFonts w:ascii="Titillium" w:hAnsi="Titillium" w:cstheme="minorHAnsi"/>
          <w:sz w:val="18"/>
          <w:szCs w:val="18"/>
        </w:rPr>
        <w:t>[</w:t>
      </w:r>
      <w:r w:rsidRPr="00EE01A0">
        <w:rPr>
          <w:rFonts w:ascii="Titillium" w:hAnsi="Titillium" w:cstheme="minorHAnsi"/>
          <w:b/>
          <w:i/>
          <w:sz w:val="18"/>
          <w:szCs w:val="18"/>
        </w:rPr>
        <w:t>Facoltativo: I riparametrazione</w:t>
      </w:r>
      <w:r w:rsidRPr="00EE01A0">
        <w:rPr>
          <w:rFonts w:ascii="Titillium" w:hAnsi="Titillium" w:cstheme="minorHAnsi"/>
          <w:sz w:val="18"/>
          <w:szCs w:val="18"/>
        </w:rPr>
        <w:t>] Al fine di non alterare i pesi stabiliti tra i vari criteri, se nel singolo criterio nessun concorrente ottiene il punteggio massimo, tale punteggio viene riparametrato attribuendo all’offerta del concorrente che ha ottenuto il punteggio più alto per il criterio</w:t>
      </w:r>
      <w:r w:rsidR="00425675" w:rsidRPr="00EE01A0">
        <w:rPr>
          <w:rFonts w:ascii="Titillium" w:hAnsi="Titillium" w:cstheme="minorHAnsi"/>
          <w:sz w:val="18"/>
          <w:szCs w:val="18"/>
        </w:rPr>
        <w:t xml:space="preserve"> </w:t>
      </w:r>
      <w:r w:rsidRPr="00EE01A0">
        <w:rPr>
          <w:rFonts w:ascii="Titillium" w:hAnsi="Titillium" w:cstheme="minorHAnsi"/>
          <w:sz w:val="18"/>
          <w:szCs w:val="18"/>
        </w:rPr>
        <w:t>il punteggio massimo previsto e alle offerte degli altri concorrenti un punteggio proporzionale decrescente.</w:t>
      </w:r>
    </w:p>
    <w:p w14:paraId="32F2AD0D" w14:textId="70922442" w:rsidR="00425675" w:rsidRPr="00EE01A0" w:rsidRDefault="00425675">
      <w:pPr>
        <w:rPr>
          <w:rFonts w:ascii="Titillium" w:hAnsi="Titillium" w:cstheme="minorHAnsi"/>
          <w:b/>
          <w:bCs/>
          <w:sz w:val="18"/>
          <w:szCs w:val="18"/>
        </w:rPr>
      </w:pPr>
      <w:r w:rsidRPr="00EE01A0">
        <w:rPr>
          <w:rFonts w:ascii="Titillium" w:hAnsi="Titillium" w:cstheme="minorHAnsi"/>
          <w:b/>
          <w:bCs/>
          <w:sz w:val="18"/>
          <w:szCs w:val="18"/>
        </w:rPr>
        <w:t>In alternativa laddove siano previsti sub-criteri</w:t>
      </w:r>
    </w:p>
    <w:p w14:paraId="3D619208" w14:textId="3750D236" w:rsidR="00425675" w:rsidRDefault="00425675">
      <w:pPr>
        <w:rPr>
          <w:rFonts w:ascii="Titillium" w:hAnsi="Titillium" w:cstheme="minorHAnsi"/>
          <w:sz w:val="18"/>
          <w:szCs w:val="18"/>
        </w:rPr>
      </w:pPr>
      <w:r w:rsidRPr="00EE01A0">
        <w:rPr>
          <w:rFonts w:ascii="Titillium" w:hAnsi="Titillium" w:cstheme="minorHAnsi"/>
          <w:b/>
          <w:bCs/>
          <w:sz w:val="18"/>
          <w:szCs w:val="18"/>
        </w:rPr>
        <w:t>[</w:t>
      </w:r>
      <w:r w:rsidRPr="00910FAF">
        <w:rPr>
          <w:rFonts w:ascii="Titillium" w:hAnsi="Titillium" w:cstheme="minorHAnsi"/>
          <w:b/>
          <w:bCs/>
          <w:i/>
          <w:iCs/>
          <w:sz w:val="18"/>
          <w:szCs w:val="18"/>
        </w:rPr>
        <w:t>Facoltativo:</w:t>
      </w:r>
      <w:r w:rsidR="00BA752A">
        <w:rPr>
          <w:rFonts w:ascii="Titillium" w:hAnsi="Titillium" w:cstheme="minorHAnsi"/>
          <w:b/>
          <w:bCs/>
          <w:sz w:val="18"/>
          <w:szCs w:val="18"/>
        </w:rPr>
        <w:t xml:space="preserve"> </w:t>
      </w:r>
      <w:r w:rsidRPr="00BA752A">
        <w:rPr>
          <w:rFonts w:ascii="Titillium" w:hAnsi="Titillium" w:cstheme="minorHAnsi"/>
          <w:b/>
          <w:bCs/>
          <w:i/>
          <w:iCs/>
          <w:sz w:val="18"/>
          <w:szCs w:val="18"/>
        </w:rPr>
        <w:t>I riparametrazione</w:t>
      </w:r>
      <w:r w:rsidRPr="00EE01A0">
        <w:rPr>
          <w:rFonts w:ascii="Titillium" w:hAnsi="Titillium" w:cstheme="minorHAnsi"/>
          <w:b/>
          <w:bCs/>
          <w:sz w:val="18"/>
          <w:szCs w:val="18"/>
        </w:rPr>
        <w:t>]</w:t>
      </w:r>
      <w:r w:rsidRPr="00EE01A0">
        <w:rPr>
          <w:rFonts w:ascii="Titillium" w:hAnsi="Titillium" w:cstheme="minorHAnsi"/>
          <w:sz w:val="18"/>
          <w:szCs w:val="18"/>
        </w:rPr>
        <w:t xml:space="preserve"> Al fine di non alterare i pesi stabiliti tra i vari criteri, se nel singolo sub-criterio nessun concorrente ottiene il punteggio massimo, tale punteggio viene riparametrato attribuendo all’offerta del concorrente che ha ottenuto il punteggio più alto per il sub-</w:t>
      </w:r>
      <w:r w:rsidR="004E254C">
        <w:rPr>
          <w:rFonts w:ascii="Titillium" w:hAnsi="Titillium" w:cstheme="minorHAnsi"/>
          <w:sz w:val="18"/>
          <w:szCs w:val="18"/>
        </w:rPr>
        <w:t>criterio</w:t>
      </w:r>
      <w:r w:rsidRPr="00EE01A0">
        <w:rPr>
          <w:rFonts w:ascii="Titillium" w:hAnsi="Titillium" w:cstheme="minorHAnsi"/>
          <w:sz w:val="18"/>
          <w:szCs w:val="18"/>
        </w:rPr>
        <w:t xml:space="preserve"> il punteggio massimo previsto e alle offerte degli altri concorrenti un punteggio proporzionale decrescente.</w:t>
      </w:r>
    </w:p>
    <w:p w14:paraId="0E7C424C" w14:textId="77777777" w:rsidR="008F7D2C" w:rsidRDefault="008F7D2C">
      <w:pPr>
        <w:rPr>
          <w:rFonts w:ascii="Titillium" w:hAnsi="Titillium" w:cstheme="minorHAnsi"/>
          <w:sz w:val="18"/>
          <w:szCs w:val="18"/>
        </w:rPr>
      </w:pPr>
    </w:p>
    <w:p w14:paraId="7C83EFC8" w14:textId="51DFB6FF" w:rsidR="0099491E" w:rsidRDefault="008F2625">
      <w:pPr>
        <w:rPr>
          <w:rFonts w:ascii="Titillium" w:hAnsi="Titillium" w:cstheme="minorHAnsi"/>
          <w:sz w:val="18"/>
          <w:szCs w:val="18"/>
        </w:rPr>
      </w:pPr>
      <w:r w:rsidRPr="00EE01A0">
        <w:rPr>
          <w:rFonts w:ascii="Titillium" w:hAnsi="Titillium" w:cstheme="minorHAnsi"/>
          <w:sz w:val="18"/>
          <w:szCs w:val="18"/>
        </w:rPr>
        <w:t>[</w:t>
      </w:r>
      <w:r w:rsidRPr="00EE01A0">
        <w:rPr>
          <w:rFonts w:ascii="Titillium" w:hAnsi="Titillium" w:cstheme="minorHAnsi"/>
          <w:b/>
          <w:i/>
          <w:sz w:val="18"/>
          <w:szCs w:val="18"/>
        </w:rPr>
        <w:t>Facoltativo: II riparametrazione</w:t>
      </w:r>
      <w:r w:rsidRPr="00EE01A0">
        <w:rPr>
          <w:rFonts w:ascii="Titillium" w:hAnsi="Titillium" w:cstheme="minorHAnsi"/>
          <w:sz w:val="18"/>
          <w:szCs w:val="18"/>
        </w:rPr>
        <w:t>] Al fine di non alterare i pesi stabiliti tra i vari criteri, se nel punteggio per l’offerta tecnica complessiva nessun concorrente ottiene il punteggio massimo, tale punteggio viene nuovamente riparametrato attribuendo all’offerta del concorrente che ha ottenuto il punteggio complessivo più alto per l’offerta tecnica il punteggio massimo previsto e alle offerte degli altri concorrenti un punteggio proporzionale decrescente.</w:t>
      </w:r>
    </w:p>
    <w:p w14:paraId="0305A90F" w14:textId="255651C4" w:rsidR="006842EE" w:rsidRPr="00A36142" w:rsidRDefault="008F2625" w:rsidP="00D26F03">
      <w:pPr>
        <w:pStyle w:val="Titolo2"/>
        <w:numPr>
          <w:ilvl w:val="0"/>
          <w:numId w:val="55"/>
        </w:numPr>
        <w:ind w:left="357" w:hanging="357"/>
        <w:rPr>
          <w:rFonts w:ascii="Titillium" w:hAnsi="Titillium"/>
          <w:caps w:val="0"/>
          <w:sz w:val="18"/>
          <w:szCs w:val="18"/>
        </w:rPr>
      </w:pPr>
      <w:bookmarkStart w:id="1939" w:name="_Ref129797347"/>
      <w:bookmarkStart w:id="1940" w:name="_Toc227921652"/>
      <w:r w:rsidRPr="00A36142">
        <w:rPr>
          <w:rFonts w:ascii="Titillium" w:hAnsi="Titillium"/>
          <w:caps w:val="0"/>
          <w:sz w:val="18"/>
          <w:szCs w:val="18"/>
        </w:rPr>
        <w:t>COMMISSIONE GIUDICATRICE</w:t>
      </w:r>
      <w:bookmarkEnd w:id="1939"/>
      <w:bookmarkEnd w:id="1940"/>
    </w:p>
    <w:p w14:paraId="0B334473" w14:textId="77777777" w:rsidR="006842EE" w:rsidRDefault="008F2625">
      <w:pPr>
        <w:tabs>
          <w:tab w:val="left" w:pos="6521"/>
        </w:tabs>
        <w:spacing w:before="120" w:after="60"/>
        <w:rPr>
          <w:rFonts w:ascii="Titillium" w:hAnsi="Titillium"/>
          <w:sz w:val="18"/>
          <w:szCs w:val="18"/>
        </w:rPr>
      </w:pPr>
      <w:r>
        <w:rPr>
          <w:rFonts w:ascii="Titillium" w:hAnsi="Titillium" w:cs="Calibri"/>
          <w:sz w:val="18"/>
          <w:szCs w:val="18"/>
        </w:rPr>
        <w:t>La commissione giudicatrice è nominata dopo la scadenza del termine per la presentazione delle offerte ed è composta da un numero dispari pari a n. ... [</w:t>
      </w:r>
      <w:r>
        <w:rPr>
          <w:rFonts w:ascii="Titillium" w:hAnsi="Titillium" w:cs="Calibri"/>
          <w:i/>
          <w:sz w:val="18"/>
          <w:szCs w:val="18"/>
        </w:rPr>
        <w:t>min. 3 max 5</w:t>
      </w:r>
      <w:r>
        <w:rPr>
          <w:rFonts w:ascii="Titillium" w:hAnsi="Titillium" w:cs="Calibri"/>
          <w:sz w:val="18"/>
          <w:szCs w:val="18"/>
        </w:rPr>
        <w:t xml:space="preserve">] membri, esperti nello specifico settore cui si riferisce l’oggetto del contratto. In capo ai commissari non devono sussistere cause ostative alla nomina ai sensi dell’articolo 93 comma 5 del Codice. A tal fine viene richiesta, prima del conferimento dell’incarico, apposita dichiarazione. </w:t>
      </w:r>
    </w:p>
    <w:p w14:paraId="48D5A964" w14:textId="77777777" w:rsidR="006842EE" w:rsidRDefault="008F2625">
      <w:pPr>
        <w:pStyle w:val="Default"/>
        <w:spacing w:before="60" w:after="60"/>
        <w:rPr>
          <w:rFonts w:ascii="Titillium" w:hAnsi="Titillium"/>
          <w:sz w:val="18"/>
          <w:szCs w:val="18"/>
        </w:rPr>
      </w:pPr>
      <w:r>
        <w:rPr>
          <w:rFonts w:ascii="Titillium" w:hAnsi="Titillium" w:cs="Garamond"/>
          <w:sz w:val="18"/>
          <w:szCs w:val="18"/>
        </w:rPr>
        <w:t>La composizione della commissione giudicatrice e i curricula dei componenti sono pubblicati sul sito istituzionale nella sezione “Amministrazione trasparente”.</w:t>
      </w:r>
    </w:p>
    <w:p w14:paraId="47D04DB1" w14:textId="77777777" w:rsidR="006842EE" w:rsidRDefault="008F2625">
      <w:pPr>
        <w:spacing w:before="60" w:after="60"/>
        <w:rPr>
          <w:rFonts w:ascii="Titillium" w:hAnsi="Titillium" w:cs="Calibri"/>
          <w:sz w:val="18"/>
          <w:szCs w:val="18"/>
        </w:rPr>
      </w:pPr>
      <w:r>
        <w:rPr>
          <w:rFonts w:ascii="Titillium" w:hAnsi="Titillium" w:cs="Calibri"/>
          <w:sz w:val="18"/>
          <w:szCs w:val="18"/>
        </w:rPr>
        <w:t xml:space="preserve">La commissione giudicatrice è responsabile della valutazione delle offerte tecniche ed economiche dei concorrenti, può riunirsi con modalità telematiche che salvaguardino la riservatezza delle comunicazioni ed opera attraverso la piattaforma di approvvigionamento digitale. </w:t>
      </w:r>
    </w:p>
    <w:p w14:paraId="7197CE22" w14:textId="57DDE238" w:rsidR="006842EE" w:rsidRDefault="008F2625" w:rsidP="00B544E7">
      <w:pPr>
        <w:spacing w:before="60" w:after="60"/>
        <w:rPr>
          <w:rFonts w:ascii="Titillium" w:hAnsi="Titillium" w:cs="Calibri"/>
          <w:sz w:val="18"/>
          <w:szCs w:val="18"/>
        </w:rPr>
      </w:pPr>
      <w:r>
        <w:rPr>
          <w:rFonts w:ascii="Titillium" w:hAnsi="Titillium" w:cs="Calibri"/>
          <w:b/>
          <w:i/>
          <w:sz w:val="18"/>
          <w:szCs w:val="18"/>
        </w:rPr>
        <w:t>[Facoltativo]</w:t>
      </w:r>
      <w:r>
        <w:rPr>
          <w:rFonts w:ascii="Titillium" w:hAnsi="Titillium" w:cs="Calibri"/>
          <w:sz w:val="18"/>
          <w:szCs w:val="18"/>
        </w:rPr>
        <w:t xml:space="preserve"> Il RUP si avvale dell’ausilio della commissione giudicatrice ai fini della verifica </w:t>
      </w:r>
      <w:r w:rsidRPr="00D14C42">
        <w:rPr>
          <w:rFonts w:ascii="Titillium" w:hAnsi="Titillium" w:cs="Calibri"/>
          <w:sz w:val="18"/>
          <w:szCs w:val="18"/>
        </w:rPr>
        <w:t>e</w:t>
      </w:r>
      <w:r w:rsidRPr="00A9579A">
        <w:rPr>
          <w:rFonts w:ascii="Titillium" w:hAnsi="Titillium" w:cs="Calibri"/>
          <w:sz w:val="18"/>
          <w:szCs w:val="18"/>
        </w:rPr>
        <w:t xml:space="preserve"> </w:t>
      </w:r>
      <w:r>
        <w:rPr>
          <w:rFonts w:ascii="Titillium" w:hAnsi="Titillium" w:cs="Calibri"/>
          <w:sz w:val="18"/>
          <w:szCs w:val="18"/>
        </w:rPr>
        <w:t>dell’anomalia delle offerte.</w:t>
      </w:r>
    </w:p>
    <w:p w14:paraId="67CBD719" w14:textId="1795F006" w:rsidR="006842EE" w:rsidRPr="00A36142" w:rsidRDefault="008F2625" w:rsidP="00D26F03">
      <w:pPr>
        <w:pStyle w:val="Titolo2"/>
        <w:numPr>
          <w:ilvl w:val="0"/>
          <w:numId w:val="55"/>
        </w:numPr>
        <w:ind w:left="357" w:hanging="357"/>
        <w:rPr>
          <w:rFonts w:ascii="Titillium" w:hAnsi="Titillium"/>
          <w:caps w:val="0"/>
          <w:sz w:val="18"/>
          <w:szCs w:val="18"/>
        </w:rPr>
      </w:pPr>
      <w:bookmarkStart w:id="1941" w:name="_Ref130243943"/>
      <w:bookmarkStart w:id="1942" w:name="_Toc227921653"/>
      <w:r w:rsidRPr="00A36142">
        <w:rPr>
          <w:rFonts w:ascii="Titillium" w:hAnsi="Titillium"/>
          <w:caps w:val="0"/>
          <w:sz w:val="18"/>
          <w:szCs w:val="18"/>
        </w:rPr>
        <w:t>SVOLGIMENTO DELLE OPERAZIONI DI GARA</w:t>
      </w:r>
      <w:bookmarkEnd w:id="1941"/>
      <w:bookmarkEnd w:id="1942"/>
      <w:r w:rsidRPr="00A36142">
        <w:rPr>
          <w:rFonts w:ascii="Titillium" w:hAnsi="Titillium"/>
          <w:caps w:val="0"/>
          <w:sz w:val="18"/>
          <w:szCs w:val="18"/>
        </w:rPr>
        <w:t xml:space="preserve"> </w:t>
      </w:r>
    </w:p>
    <w:p w14:paraId="79808419" w14:textId="77777777" w:rsidR="00690A3A" w:rsidRDefault="008F2625">
      <w:pPr>
        <w:spacing w:before="60" w:after="60"/>
        <w:rPr>
          <w:rFonts w:ascii="Titillium" w:hAnsi="Titillium" w:cs="Calibri"/>
          <w:sz w:val="18"/>
          <w:szCs w:val="18"/>
        </w:rPr>
      </w:pPr>
      <w:r w:rsidRPr="00EE01A0">
        <w:rPr>
          <w:rFonts w:ascii="Titillium" w:hAnsi="Titillium" w:cs="Calibri"/>
          <w:sz w:val="18"/>
          <w:szCs w:val="18"/>
        </w:rPr>
        <w:t xml:space="preserve">La prima </w:t>
      </w:r>
      <w:r w:rsidR="004D3D67" w:rsidRPr="00EE01A0">
        <w:rPr>
          <w:rFonts w:ascii="Titillium" w:hAnsi="Titillium" w:cs="Calibri"/>
          <w:sz w:val="18"/>
          <w:szCs w:val="18"/>
        </w:rPr>
        <w:t xml:space="preserve">seduta </w:t>
      </w:r>
      <w:r w:rsidR="00B544E7" w:rsidRPr="00EE01A0">
        <w:rPr>
          <w:rFonts w:ascii="Titillium" w:hAnsi="Titillium" w:cs="Calibri"/>
          <w:sz w:val="18"/>
          <w:szCs w:val="18"/>
        </w:rPr>
        <w:t>telematica ha</w:t>
      </w:r>
      <w:r w:rsidRPr="00EE01A0">
        <w:rPr>
          <w:rFonts w:ascii="Titillium" w:hAnsi="Titillium" w:cs="Calibri"/>
          <w:sz w:val="18"/>
          <w:szCs w:val="18"/>
        </w:rPr>
        <w:t xml:space="preserve"> luogo il giorno … </w:t>
      </w:r>
      <w:r w:rsidRPr="00EE01A0">
        <w:rPr>
          <w:rFonts w:ascii="Titillium" w:hAnsi="Titillium" w:cs="Calibri"/>
          <w:i/>
          <w:sz w:val="18"/>
          <w:szCs w:val="18"/>
        </w:rPr>
        <w:t>[indicare il giorno]</w:t>
      </w:r>
      <w:r w:rsidRPr="00EE01A0">
        <w:rPr>
          <w:rFonts w:ascii="Titillium" w:hAnsi="Titillium" w:cs="Calibri"/>
          <w:sz w:val="18"/>
          <w:szCs w:val="18"/>
        </w:rPr>
        <w:t xml:space="preserve">, alle ore … </w:t>
      </w:r>
      <w:r w:rsidRPr="00EE01A0">
        <w:rPr>
          <w:rFonts w:ascii="Titillium" w:hAnsi="Titillium" w:cs="Calibri"/>
          <w:i/>
          <w:sz w:val="18"/>
          <w:szCs w:val="18"/>
        </w:rPr>
        <w:t>[indicare l’ora]</w:t>
      </w:r>
      <w:r w:rsidRPr="00EE01A0">
        <w:rPr>
          <w:rFonts w:ascii="Titillium" w:hAnsi="Titillium" w:cs="Calibri"/>
          <w:sz w:val="18"/>
          <w:szCs w:val="18"/>
        </w:rPr>
        <w:t>.</w:t>
      </w:r>
    </w:p>
    <w:p w14:paraId="1207D7E4" w14:textId="00BC430A" w:rsidR="006842EE" w:rsidRDefault="00690A3A">
      <w:pPr>
        <w:spacing w:before="60" w:after="60"/>
        <w:rPr>
          <w:rFonts w:ascii="Titillium" w:hAnsi="Titillium" w:cs="Calibri"/>
          <w:sz w:val="18"/>
          <w:szCs w:val="18"/>
        </w:rPr>
      </w:pPr>
      <w:r>
        <w:rPr>
          <w:rFonts w:ascii="Titillium" w:hAnsi="Titillium" w:cs="Calibri"/>
          <w:sz w:val="18"/>
          <w:szCs w:val="18"/>
        </w:rPr>
        <w:t>[</w:t>
      </w:r>
      <w:r w:rsidR="004D3D67" w:rsidRPr="00910FAF">
        <w:rPr>
          <w:rFonts w:ascii="Titillium" w:hAnsi="Titillium" w:cs="Calibri"/>
          <w:b/>
          <w:bCs/>
          <w:i/>
          <w:iCs/>
          <w:color w:val="000000" w:themeColor="text1"/>
          <w:sz w:val="18"/>
          <w:szCs w:val="18"/>
        </w:rPr>
        <w:t>F</w:t>
      </w:r>
      <w:r w:rsidR="00910FAF" w:rsidRPr="00910FAF">
        <w:rPr>
          <w:rFonts w:ascii="Titillium" w:hAnsi="Titillium" w:cs="Calibri"/>
          <w:b/>
          <w:bCs/>
          <w:i/>
          <w:iCs/>
          <w:color w:val="000000" w:themeColor="text1"/>
          <w:sz w:val="18"/>
          <w:szCs w:val="18"/>
        </w:rPr>
        <w:t>acoltativo</w:t>
      </w:r>
      <w:r w:rsidRPr="00910FAF">
        <w:rPr>
          <w:rFonts w:ascii="Titillium" w:hAnsi="Titillium" w:cs="Calibri"/>
          <w:color w:val="000000" w:themeColor="text1"/>
          <w:sz w:val="18"/>
          <w:szCs w:val="18"/>
        </w:rPr>
        <w:t>]</w:t>
      </w:r>
      <w:r w:rsidR="004D3D67" w:rsidRPr="00EE01A0">
        <w:rPr>
          <w:rFonts w:ascii="Titillium" w:hAnsi="Titillium" w:cs="Calibri"/>
          <w:sz w:val="18"/>
          <w:szCs w:val="18"/>
        </w:rPr>
        <w:t>:</w:t>
      </w:r>
      <w:r w:rsidRPr="00690A3A">
        <w:t xml:space="preserve"> </w:t>
      </w:r>
      <w:r w:rsidRPr="00690A3A">
        <w:rPr>
          <w:rFonts w:ascii="Titillium" w:hAnsi="Titillium" w:cs="Calibri"/>
          <w:sz w:val="18"/>
          <w:szCs w:val="18"/>
        </w:rPr>
        <w:t>Il link per la partecipazione virtuale alla se</w:t>
      </w:r>
      <w:r w:rsidR="009174A1">
        <w:rPr>
          <w:rFonts w:ascii="Titillium" w:hAnsi="Titillium" w:cs="Calibri"/>
          <w:sz w:val="18"/>
          <w:szCs w:val="18"/>
        </w:rPr>
        <w:t xml:space="preserve">duta </w:t>
      </w:r>
      <w:r w:rsidRPr="00690A3A">
        <w:rPr>
          <w:rFonts w:ascii="Titillium" w:hAnsi="Titillium" w:cs="Calibri"/>
          <w:sz w:val="18"/>
          <w:szCs w:val="18"/>
        </w:rPr>
        <w:t>è il seguente …… [</w:t>
      </w:r>
      <w:r w:rsidRPr="00690A3A">
        <w:rPr>
          <w:rFonts w:ascii="Titillium" w:hAnsi="Titillium" w:cs="Calibri"/>
          <w:i/>
          <w:iCs/>
          <w:sz w:val="18"/>
          <w:szCs w:val="18"/>
        </w:rPr>
        <w:t>indicare il link]</w:t>
      </w:r>
      <w:r w:rsidR="004D3D67" w:rsidRPr="00EE01A0">
        <w:rPr>
          <w:rFonts w:ascii="Titillium" w:hAnsi="Titillium" w:cs="Calibri"/>
          <w:sz w:val="18"/>
          <w:szCs w:val="18"/>
        </w:rPr>
        <w:t xml:space="preserve"> </w:t>
      </w:r>
    </w:p>
    <w:p w14:paraId="51F1F854" w14:textId="787A145D" w:rsidR="006842EE" w:rsidRDefault="008F2625">
      <w:pPr>
        <w:spacing w:before="60" w:after="60"/>
        <w:rPr>
          <w:rFonts w:ascii="Titillium" w:hAnsi="Titillium" w:cs="Calibri"/>
          <w:sz w:val="18"/>
          <w:szCs w:val="18"/>
        </w:rPr>
      </w:pPr>
      <w:r>
        <w:rPr>
          <w:rFonts w:ascii="Titillium" w:hAnsi="Titillium" w:cs="Calibri"/>
          <w:sz w:val="18"/>
          <w:szCs w:val="18"/>
        </w:rPr>
        <w:t xml:space="preserve">La </w:t>
      </w:r>
      <w:r w:rsidR="001C0F41" w:rsidRPr="00B162EB">
        <w:rPr>
          <w:rFonts w:ascii="Titillium" w:hAnsi="Titillium" w:cs="Calibri"/>
          <w:sz w:val="18"/>
          <w:szCs w:val="18"/>
        </w:rPr>
        <w:t>PAD</w:t>
      </w:r>
      <w:r w:rsidR="001C0F41" w:rsidRPr="001C0F41">
        <w:rPr>
          <w:rFonts w:ascii="Titillium" w:hAnsi="Titillium" w:cs="Calibri"/>
          <w:color w:val="5B9BD5" w:themeColor="accent1"/>
          <w:sz w:val="18"/>
          <w:szCs w:val="18"/>
        </w:rPr>
        <w:t xml:space="preserve"> </w:t>
      </w:r>
      <w:r>
        <w:rPr>
          <w:rFonts w:ascii="Titillium" w:hAnsi="Titillium" w:cs="Calibri"/>
          <w:sz w:val="18"/>
          <w:szCs w:val="18"/>
        </w:rPr>
        <w:t>consente lo svolgimento delle s</w:t>
      </w:r>
      <w:r w:rsidR="00E64565">
        <w:rPr>
          <w:rFonts w:ascii="Titillium" w:hAnsi="Titillium" w:cs="Calibri"/>
          <w:sz w:val="18"/>
          <w:szCs w:val="18"/>
        </w:rPr>
        <w:t xml:space="preserve">edute </w:t>
      </w:r>
      <w:r>
        <w:rPr>
          <w:rFonts w:ascii="Titillium" w:hAnsi="Titillium" w:cs="Calibri"/>
          <w:sz w:val="18"/>
          <w:szCs w:val="18"/>
        </w:rPr>
        <w:t>di gara preordinate all’esame:</w:t>
      </w:r>
    </w:p>
    <w:p w14:paraId="4AD098B0" w14:textId="77777777" w:rsidR="006842EE" w:rsidRDefault="008F2625">
      <w:pPr>
        <w:spacing w:before="60" w:after="60"/>
        <w:rPr>
          <w:rFonts w:ascii="Titillium" w:hAnsi="Titillium" w:cs="Calibri"/>
          <w:sz w:val="18"/>
          <w:szCs w:val="18"/>
        </w:rPr>
      </w:pPr>
      <w:r>
        <w:rPr>
          <w:rFonts w:ascii="Titillium" w:hAnsi="Titillium" w:cs="Calibri"/>
          <w:sz w:val="18"/>
          <w:szCs w:val="18"/>
        </w:rPr>
        <w:t>•</w:t>
      </w:r>
      <w:r>
        <w:rPr>
          <w:rFonts w:ascii="Titillium" w:hAnsi="Titillium" w:cs="Calibri"/>
          <w:sz w:val="18"/>
          <w:szCs w:val="18"/>
        </w:rPr>
        <w:tab/>
        <w:t>della documentazione amministrativa;</w:t>
      </w:r>
    </w:p>
    <w:p w14:paraId="3F7E808A" w14:textId="77777777" w:rsidR="006842EE" w:rsidRDefault="008F2625">
      <w:pPr>
        <w:spacing w:before="60" w:after="60"/>
        <w:rPr>
          <w:rFonts w:ascii="Titillium" w:hAnsi="Titillium" w:cs="Calibri"/>
          <w:sz w:val="18"/>
          <w:szCs w:val="18"/>
        </w:rPr>
      </w:pPr>
      <w:r>
        <w:rPr>
          <w:rFonts w:ascii="Titillium" w:hAnsi="Titillium" w:cs="Calibri"/>
          <w:sz w:val="18"/>
          <w:szCs w:val="18"/>
        </w:rPr>
        <w:t>•</w:t>
      </w:r>
      <w:r>
        <w:rPr>
          <w:rFonts w:ascii="Titillium" w:hAnsi="Titillium" w:cs="Calibri"/>
          <w:sz w:val="18"/>
          <w:szCs w:val="18"/>
        </w:rPr>
        <w:tab/>
        <w:t>delle offerte tecniche;</w:t>
      </w:r>
    </w:p>
    <w:p w14:paraId="7315F77C" w14:textId="514905C8" w:rsidR="006842EE" w:rsidRPr="008562AB" w:rsidRDefault="008F2625">
      <w:pPr>
        <w:spacing w:before="60" w:after="60"/>
        <w:rPr>
          <w:rFonts w:ascii="Titillium" w:hAnsi="Titillium" w:cs="Calibri"/>
          <w:b/>
          <w:bCs/>
          <w:sz w:val="18"/>
          <w:szCs w:val="18"/>
        </w:rPr>
      </w:pPr>
      <w:r>
        <w:rPr>
          <w:rFonts w:ascii="Titillium" w:hAnsi="Titillium" w:cs="Calibri"/>
          <w:sz w:val="18"/>
          <w:szCs w:val="18"/>
        </w:rPr>
        <w:t>•</w:t>
      </w:r>
      <w:r>
        <w:rPr>
          <w:rFonts w:ascii="Titillium" w:hAnsi="Titillium" w:cs="Calibri"/>
          <w:sz w:val="18"/>
          <w:szCs w:val="18"/>
        </w:rPr>
        <w:tab/>
        <w:t>delle offerte economiche</w:t>
      </w:r>
    </w:p>
    <w:p w14:paraId="2CC44995" w14:textId="34FC4DC2" w:rsidR="006842EE" w:rsidRDefault="008F2625">
      <w:pPr>
        <w:spacing w:before="60" w:after="60"/>
        <w:rPr>
          <w:rFonts w:ascii="Titillium" w:hAnsi="Titillium" w:cs="Calibri"/>
          <w:sz w:val="18"/>
          <w:szCs w:val="18"/>
        </w:rPr>
      </w:pPr>
      <w:r>
        <w:rPr>
          <w:rFonts w:ascii="Titillium" w:hAnsi="Titillium" w:cs="Calibri"/>
          <w:sz w:val="18"/>
          <w:szCs w:val="18"/>
        </w:rPr>
        <w:t xml:space="preserve">La </w:t>
      </w:r>
      <w:r w:rsidR="001C0F41" w:rsidRPr="00B162EB">
        <w:rPr>
          <w:rFonts w:ascii="Titillium" w:hAnsi="Titillium" w:cs="Calibri"/>
          <w:sz w:val="18"/>
          <w:szCs w:val="18"/>
        </w:rPr>
        <w:t xml:space="preserve">PAD </w:t>
      </w:r>
      <w:r>
        <w:rPr>
          <w:rFonts w:ascii="Titillium" w:hAnsi="Titillium" w:cs="Calibri"/>
          <w:sz w:val="18"/>
          <w:szCs w:val="18"/>
        </w:rPr>
        <w:t>garantisce il rispetto delle disposizioni del codice in materia di riservatezza delle operazioni e delle informazioni relative alla procedura di gara, nonché il rispetto dei principi di trasparenza.</w:t>
      </w:r>
    </w:p>
    <w:p w14:paraId="0147A496" w14:textId="2FC3B6C2" w:rsidR="006842EE" w:rsidRDefault="00910FAF">
      <w:pPr>
        <w:spacing w:before="60" w:after="60"/>
        <w:rPr>
          <w:rFonts w:ascii="Titillium" w:eastAsia="SimSun" w:hAnsi="Titillium" w:cs="Calibri"/>
          <w:i/>
          <w:iCs/>
          <w:sz w:val="18"/>
          <w:szCs w:val="18"/>
        </w:rPr>
      </w:pPr>
      <w:r>
        <w:rPr>
          <w:rFonts w:ascii="Titillium" w:eastAsia="SimSun" w:hAnsi="Titillium" w:cs="Calibri"/>
          <w:b/>
          <w:i/>
          <w:sz w:val="18"/>
          <w:szCs w:val="18"/>
        </w:rPr>
        <w:t>[</w:t>
      </w:r>
      <w:r w:rsidR="008F2625" w:rsidRPr="00D471C9">
        <w:rPr>
          <w:rFonts w:ascii="Titillium" w:eastAsia="SimSun" w:hAnsi="Titillium" w:cs="Calibri"/>
          <w:b/>
          <w:i/>
          <w:sz w:val="18"/>
          <w:szCs w:val="18"/>
        </w:rPr>
        <w:t xml:space="preserve">Facoltativo] </w:t>
      </w:r>
      <w:r w:rsidR="008F2625" w:rsidRPr="00D471C9">
        <w:rPr>
          <w:rFonts w:ascii="Titillium" w:eastAsia="SimSun" w:hAnsi="Titillium" w:cs="Calibri"/>
          <w:b/>
          <w:iCs/>
          <w:sz w:val="18"/>
          <w:szCs w:val="18"/>
        </w:rPr>
        <w:t>Inversione procedimentale:</w:t>
      </w:r>
      <w:r w:rsidR="008F2625" w:rsidRPr="00D471C9">
        <w:rPr>
          <w:rFonts w:ascii="Titillium" w:eastAsia="SimSun" w:hAnsi="Titillium" w:cs="Calibri"/>
          <w:sz w:val="18"/>
          <w:szCs w:val="18"/>
        </w:rPr>
        <w:t xml:space="preserve"> la stazione appaltante ha stabilito di ricorrere all’inversione procedimentale </w:t>
      </w:r>
      <w:r w:rsidR="008F2625" w:rsidRPr="00D471C9">
        <w:rPr>
          <w:rFonts w:ascii="Titillium" w:eastAsia="SimSun" w:hAnsi="Titillium" w:cs="Calibri"/>
          <w:b/>
          <w:i/>
          <w:iCs/>
          <w:sz w:val="18"/>
          <w:szCs w:val="18"/>
        </w:rPr>
        <w:t>[o, in alternativa]</w:t>
      </w:r>
      <w:r w:rsidR="008F2625" w:rsidRPr="00D471C9">
        <w:rPr>
          <w:rFonts w:ascii="Titillium" w:eastAsia="SimSun" w:hAnsi="Titillium" w:cs="Calibri"/>
          <w:i/>
          <w:iCs/>
          <w:sz w:val="18"/>
          <w:szCs w:val="18"/>
        </w:rPr>
        <w:t xml:space="preserve"> </w:t>
      </w:r>
      <w:r w:rsidR="008F2625" w:rsidRPr="00D471C9">
        <w:rPr>
          <w:rFonts w:ascii="Titillium" w:eastAsia="SimSun" w:hAnsi="Titillium" w:cs="Calibri"/>
          <w:sz w:val="18"/>
          <w:szCs w:val="18"/>
        </w:rPr>
        <w:t>la stazione appaltante si riserva la facoltà di ricorrere all’inversione procedimentale e di esercitare tale facoltà dopo la scadenza del termine per la presentazione delle offerte [</w:t>
      </w:r>
      <w:r w:rsidR="008F2625" w:rsidRPr="00D471C9">
        <w:rPr>
          <w:rFonts w:ascii="Titillium" w:eastAsia="SimSun" w:hAnsi="Titillium" w:cs="Calibri"/>
          <w:i/>
          <w:sz w:val="18"/>
          <w:szCs w:val="18"/>
        </w:rPr>
        <w:t>indicare i casi in cui si eserciterà tale facoltà, ad esempio, “nel caso in cui le offerte pervenute siano superiori a ………” indicare il numero</w:t>
      </w:r>
      <w:r w:rsidR="008F2625" w:rsidRPr="00D471C9">
        <w:rPr>
          <w:rFonts w:ascii="Titillium" w:eastAsia="SimSun" w:hAnsi="Titillium" w:cs="Calibri"/>
          <w:i/>
          <w:iCs/>
          <w:sz w:val="18"/>
          <w:szCs w:val="18"/>
        </w:rPr>
        <w:t>]</w:t>
      </w:r>
      <w:r w:rsidR="00286FF4">
        <w:rPr>
          <w:rFonts w:ascii="Titillium" w:eastAsia="SimSun" w:hAnsi="Titillium" w:cs="Calibri"/>
          <w:i/>
          <w:iCs/>
          <w:sz w:val="18"/>
          <w:szCs w:val="18"/>
        </w:rPr>
        <w:t>.</w:t>
      </w:r>
    </w:p>
    <w:p w14:paraId="5FD5406D" w14:textId="769AE2AD" w:rsidR="00A6099C" w:rsidRPr="00EE01A0" w:rsidRDefault="00D471C9" w:rsidP="00D471C9">
      <w:pPr>
        <w:spacing w:before="60" w:after="60"/>
        <w:rPr>
          <w:rFonts w:ascii="Titillium" w:hAnsi="Titillium"/>
          <w:sz w:val="18"/>
          <w:szCs w:val="18"/>
        </w:rPr>
      </w:pPr>
      <w:r w:rsidRPr="008562AB">
        <w:rPr>
          <w:rFonts w:ascii="Titillium" w:hAnsi="Titillium"/>
          <w:sz w:val="18"/>
          <w:szCs w:val="18"/>
        </w:rPr>
        <w:t xml:space="preserve">Si procede </w:t>
      </w:r>
      <w:r w:rsidRPr="00EE01A0">
        <w:rPr>
          <w:rFonts w:ascii="Titillium" w:hAnsi="Titillium"/>
          <w:sz w:val="18"/>
          <w:szCs w:val="18"/>
        </w:rPr>
        <w:t>preliminarmente</w:t>
      </w:r>
      <w:r w:rsidR="005E5817" w:rsidRPr="00EE01A0">
        <w:rPr>
          <w:rFonts w:ascii="Titillium" w:hAnsi="Titillium"/>
          <w:sz w:val="18"/>
          <w:szCs w:val="18"/>
        </w:rPr>
        <w:t xml:space="preserve"> nei confronti di tutti i concorrenti</w:t>
      </w:r>
      <w:r w:rsidRPr="00EE01A0">
        <w:rPr>
          <w:rFonts w:ascii="Titillium" w:hAnsi="Titillium"/>
          <w:sz w:val="18"/>
          <w:szCs w:val="18"/>
        </w:rPr>
        <w:t>, alla verifica</w:t>
      </w:r>
      <w:r w:rsidR="003B3B31" w:rsidRPr="00EE01A0">
        <w:rPr>
          <w:rFonts w:ascii="Titillium" w:hAnsi="Titillium"/>
          <w:sz w:val="18"/>
          <w:szCs w:val="18"/>
        </w:rPr>
        <w:t xml:space="preserve"> del </w:t>
      </w:r>
      <w:r w:rsidR="005E5817" w:rsidRPr="00EE01A0">
        <w:rPr>
          <w:rFonts w:ascii="Titillium" w:hAnsi="Titillium"/>
          <w:sz w:val="18"/>
          <w:szCs w:val="18"/>
        </w:rPr>
        <w:t xml:space="preserve">pagamento del </w:t>
      </w:r>
      <w:r w:rsidR="003B3B31" w:rsidRPr="00EE01A0">
        <w:rPr>
          <w:rFonts w:ascii="Titillium" w:hAnsi="Titillium"/>
          <w:sz w:val="18"/>
          <w:szCs w:val="18"/>
        </w:rPr>
        <w:t>contributo ANAC</w:t>
      </w:r>
      <w:r w:rsidR="00910E18" w:rsidRPr="00EE01A0">
        <w:rPr>
          <w:rFonts w:ascii="Titillium" w:hAnsi="Titillium"/>
          <w:sz w:val="18"/>
          <w:szCs w:val="18"/>
        </w:rPr>
        <w:t xml:space="preserve"> [</w:t>
      </w:r>
      <w:r w:rsidR="007137FA" w:rsidRPr="00910FAF">
        <w:rPr>
          <w:rFonts w:ascii="Titillium" w:hAnsi="Titillium"/>
          <w:b/>
          <w:bCs/>
          <w:i/>
          <w:iCs/>
          <w:sz w:val="18"/>
          <w:szCs w:val="18"/>
        </w:rPr>
        <w:t>F</w:t>
      </w:r>
      <w:r w:rsidR="005E5817" w:rsidRPr="00910FAF">
        <w:rPr>
          <w:rFonts w:ascii="Titillium" w:hAnsi="Titillium"/>
          <w:b/>
          <w:bCs/>
          <w:i/>
          <w:iCs/>
          <w:sz w:val="18"/>
          <w:szCs w:val="18"/>
        </w:rPr>
        <w:t>acoltativo</w:t>
      </w:r>
      <w:r w:rsidR="005E5817" w:rsidRPr="00910FAF">
        <w:rPr>
          <w:rFonts w:ascii="Titillium" w:hAnsi="Titillium"/>
          <w:sz w:val="18"/>
          <w:szCs w:val="18"/>
        </w:rPr>
        <w:t>]</w:t>
      </w:r>
      <w:r w:rsidR="003B3B31" w:rsidRPr="00EE01A0">
        <w:rPr>
          <w:rFonts w:ascii="Titillium" w:hAnsi="Titillium"/>
          <w:sz w:val="18"/>
          <w:szCs w:val="18"/>
        </w:rPr>
        <w:t xml:space="preserve"> </w:t>
      </w:r>
      <w:r w:rsidR="00FB1CBF" w:rsidRPr="00EE01A0">
        <w:rPr>
          <w:rFonts w:ascii="Titillium" w:hAnsi="Titillium"/>
          <w:sz w:val="18"/>
          <w:szCs w:val="18"/>
        </w:rPr>
        <w:t xml:space="preserve">e </w:t>
      </w:r>
      <w:r w:rsidRPr="00EE01A0">
        <w:rPr>
          <w:rFonts w:ascii="Titillium" w:hAnsi="Titillium"/>
          <w:sz w:val="18"/>
          <w:szCs w:val="18"/>
        </w:rPr>
        <w:t>della</w:t>
      </w:r>
      <w:r w:rsidR="00502E2D" w:rsidRPr="00EE01A0">
        <w:rPr>
          <w:rFonts w:ascii="Titillium" w:hAnsi="Titillium"/>
          <w:sz w:val="18"/>
          <w:szCs w:val="18"/>
        </w:rPr>
        <w:t xml:space="preserve"> seguente documentazione amministrativa [</w:t>
      </w:r>
      <w:r w:rsidR="00502E2D" w:rsidRPr="00EE01A0">
        <w:rPr>
          <w:rFonts w:ascii="Titillium" w:hAnsi="Titillium"/>
          <w:i/>
          <w:iCs/>
          <w:sz w:val="18"/>
          <w:szCs w:val="18"/>
        </w:rPr>
        <w:t>indicare la restante d</w:t>
      </w:r>
      <w:r w:rsidRPr="00EE01A0">
        <w:rPr>
          <w:rFonts w:ascii="Titillium" w:hAnsi="Titillium"/>
          <w:i/>
          <w:iCs/>
          <w:sz w:val="18"/>
          <w:szCs w:val="18"/>
        </w:rPr>
        <w:t xml:space="preserve">ocumentazione amministrativa </w:t>
      </w:r>
      <w:r w:rsidR="00502E2D" w:rsidRPr="00EE01A0">
        <w:rPr>
          <w:rFonts w:ascii="Titillium" w:hAnsi="Titillium"/>
          <w:i/>
          <w:iCs/>
          <w:sz w:val="18"/>
          <w:szCs w:val="18"/>
        </w:rPr>
        <w:t>che</w:t>
      </w:r>
      <w:r w:rsidR="00502E2D" w:rsidRPr="00EE01A0">
        <w:rPr>
          <w:i/>
          <w:iCs/>
        </w:rPr>
        <w:t xml:space="preserve"> </w:t>
      </w:r>
      <w:r w:rsidR="00502E2D" w:rsidRPr="00EE01A0">
        <w:rPr>
          <w:rFonts w:ascii="Titillium" w:hAnsi="Titillium"/>
          <w:i/>
          <w:iCs/>
          <w:sz w:val="18"/>
          <w:szCs w:val="18"/>
        </w:rPr>
        <w:t>la stazione appaltante si riserva di verificare preliminarmente</w:t>
      </w:r>
      <w:r w:rsidR="00502E2D" w:rsidRPr="00EE01A0">
        <w:rPr>
          <w:rFonts w:ascii="Titillium" w:hAnsi="Titillium"/>
          <w:sz w:val="18"/>
          <w:szCs w:val="18"/>
        </w:rPr>
        <w:t>]</w:t>
      </w:r>
      <w:r w:rsidRPr="00EE01A0">
        <w:rPr>
          <w:rFonts w:ascii="Titillium" w:hAnsi="Titillium"/>
          <w:sz w:val="18"/>
          <w:szCs w:val="18"/>
        </w:rPr>
        <w:t>.</w:t>
      </w:r>
      <w:r w:rsidRPr="008562AB">
        <w:rPr>
          <w:rFonts w:ascii="Titillium" w:hAnsi="Titillium"/>
          <w:sz w:val="18"/>
          <w:szCs w:val="18"/>
        </w:rPr>
        <w:t xml:space="preserve"> Successivamente, si procede alla valutazione dell’offerta tecnica, poi alla valutazione dell’offerta economica, ed infine alla verifica della documentazione amministrativa inerente </w:t>
      </w:r>
      <w:r w:rsidR="00286FF4">
        <w:rPr>
          <w:rFonts w:ascii="Titillium" w:hAnsi="Titillium"/>
          <w:sz w:val="18"/>
          <w:szCs w:val="18"/>
        </w:rPr>
        <w:t>a</w:t>
      </w:r>
      <w:r w:rsidRPr="008562AB">
        <w:rPr>
          <w:rFonts w:ascii="Titillium" w:hAnsi="Titillium"/>
          <w:sz w:val="18"/>
          <w:szCs w:val="18"/>
        </w:rPr>
        <w:t>l possesso dei requisiti di ordine generale e speciale dei concorrenti indicati nel successivo p</w:t>
      </w:r>
      <w:r w:rsidR="00743BE0">
        <w:rPr>
          <w:rFonts w:ascii="Titillium" w:hAnsi="Titillium"/>
          <w:sz w:val="18"/>
          <w:szCs w:val="18"/>
        </w:rPr>
        <w:t>aragrafo</w:t>
      </w:r>
      <w:r w:rsidRPr="008562AB">
        <w:rPr>
          <w:rFonts w:ascii="Titillium" w:hAnsi="Titillium"/>
          <w:sz w:val="18"/>
          <w:szCs w:val="18"/>
        </w:rPr>
        <w:t xml:space="preserve"> </w:t>
      </w:r>
      <w:r w:rsidRPr="00EE01A0">
        <w:rPr>
          <w:rFonts w:ascii="Titillium" w:hAnsi="Titillium"/>
          <w:sz w:val="18"/>
          <w:szCs w:val="18"/>
        </w:rPr>
        <w:t>2</w:t>
      </w:r>
      <w:r w:rsidR="00A543AF">
        <w:rPr>
          <w:rFonts w:ascii="Titillium" w:hAnsi="Titillium"/>
          <w:sz w:val="18"/>
          <w:szCs w:val="18"/>
        </w:rPr>
        <w:t>4</w:t>
      </w:r>
      <w:r w:rsidRPr="00EE01A0">
        <w:rPr>
          <w:rFonts w:ascii="Titillium" w:hAnsi="Titillium"/>
          <w:sz w:val="18"/>
          <w:szCs w:val="18"/>
        </w:rPr>
        <w:t xml:space="preserve">. La verifica dell’anomalia avviene dopo le operazioni della commissione di gara. </w:t>
      </w:r>
    </w:p>
    <w:p w14:paraId="3AA5933C" w14:textId="64163F07" w:rsidR="00A6099C" w:rsidRPr="00EE01A0" w:rsidRDefault="00D471C9" w:rsidP="00D471C9">
      <w:pPr>
        <w:spacing w:before="60" w:after="60"/>
        <w:rPr>
          <w:rFonts w:ascii="Titillium" w:hAnsi="Titillium"/>
          <w:sz w:val="18"/>
          <w:szCs w:val="18"/>
        </w:rPr>
      </w:pPr>
      <w:r w:rsidRPr="00EE01A0">
        <w:rPr>
          <w:rFonts w:ascii="Titillium" w:hAnsi="Titillium"/>
          <w:sz w:val="18"/>
          <w:szCs w:val="18"/>
        </w:rPr>
        <w:t>[</w:t>
      </w:r>
      <w:r w:rsidRPr="00910FAF">
        <w:rPr>
          <w:rFonts w:ascii="Titillium" w:hAnsi="Titillium"/>
          <w:b/>
          <w:bCs/>
          <w:i/>
          <w:iCs/>
          <w:sz w:val="18"/>
          <w:szCs w:val="18"/>
        </w:rPr>
        <w:t>in alternativa</w:t>
      </w:r>
      <w:r w:rsidRPr="00EE01A0">
        <w:rPr>
          <w:rFonts w:ascii="Titillium" w:hAnsi="Titillium"/>
          <w:sz w:val="18"/>
          <w:szCs w:val="18"/>
        </w:rPr>
        <w:t xml:space="preserve">] </w:t>
      </w:r>
      <w:r w:rsidR="00FB1CBF" w:rsidRPr="00EE01A0">
        <w:rPr>
          <w:rFonts w:ascii="Titillium" w:hAnsi="Titillium"/>
          <w:sz w:val="18"/>
          <w:szCs w:val="18"/>
        </w:rPr>
        <w:t>S</w:t>
      </w:r>
      <w:r w:rsidRPr="00EE01A0">
        <w:rPr>
          <w:rFonts w:ascii="Titillium" w:hAnsi="Titillium"/>
          <w:sz w:val="18"/>
          <w:szCs w:val="18"/>
        </w:rPr>
        <w:t xml:space="preserve">i procede preliminarmente, nei confronti di tutti i concorrenti, </w:t>
      </w:r>
      <w:r w:rsidR="00B544E7" w:rsidRPr="00EE01A0">
        <w:rPr>
          <w:rFonts w:ascii="Titillium" w:hAnsi="Titillium"/>
          <w:sz w:val="18"/>
          <w:szCs w:val="18"/>
        </w:rPr>
        <w:t>alla verifica</w:t>
      </w:r>
      <w:r w:rsidR="005E5817" w:rsidRPr="00EE01A0">
        <w:rPr>
          <w:rFonts w:ascii="Titillium" w:hAnsi="Titillium"/>
          <w:sz w:val="18"/>
          <w:szCs w:val="18"/>
        </w:rPr>
        <w:t xml:space="preserve"> del pagamento del contributo ANAC </w:t>
      </w:r>
      <w:r w:rsidR="005E5817" w:rsidRPr="00910FAF">
        <w:rPr>
          <w:rFonts w:ascii="Titillium" w:hAnsi="Titillium"/>
          <w:sz w:val="18"/>
          <w:szCs w:val="18"/>
        </w:rPr>
        <w:t>[</w:t>
      </w:r>
      <w:r w:rsidR="007137FA" w:rsidRPr="00910FAF">
        <w:rPr>
          <w:rFonts w:ascii="Titillium" w:hAnsi="Titillium"/>
          <w:b/>
          <w:bCs/>
          <w:i/>
          <w:iCs/>
          <w:sz w:val="18"/>
          <w:szCs w:val="18"/>
        </w:rPr>
        <w:t>F</w:t>
      </w:r>
      <w:r w:rsidR="005E5817" w:rsidRPr="00910FAF">
        <w:rPr>
          <w:rFonts w:ascii="Titillium" w:hAnsi="Titillium"/>
          <w:b/>
          <w:bCs/>
          <w:i/>
          <w:iCs/>
          <w:sz w:val="18"/>
          <w:szCs w:val="18"/>
        </w:rPr>
        <w:t>acoltativo</w:t>
      </w:r>
      <w:r w:rsidR="005E5817" w:rsidRPr="00EE01A0">
        <w:rPr>
          <w:rFonts w:ascii="Titillium" w:hAnsi="Titillium"/>
          <w:sz w:val="18"/>
          <w:szCs w:val="18"/>
        </w:rPr>
        <w:t>]</w:t>
      </w:r>
      <w:r w:rsidR="00FB1CBF" w:rsidRPr="00EE01A0">
        <w:rPr>
          <w:rFonts w:ascii="Titillium" w:hAnsi="Titillium"/>
          <w:sz w:val="18"/>
          <w:szCs w:val="18"/>
        </w:rPr>
        <w:t xml:space="preserve"> e</w:t>
      </w:r>
      <w:r w:rsidR="005E5817" w:rsidRPr="00EE01A0">
        <w:rPr>
          <w:rFonts w:ascii="Titillium" w:hAnsi="Titillium"/>
          <w:sz w:val="18"/>
          <w:szCs w:val="18"/>
        </w:rPr>
        <w:t xml:space="preserve"> della seguente documentazione amministrativa [</w:t>
      </w:r>
      <w:r w:rsidR="005E5817" w:rsidRPr="00EE01A0">
        <w:rPr>
          <w:rFonts w:ascii="Titillium" w:hAnsi="Titillium"/>
          <w:i/>
          <w:iCs/>
          <w:sz w:val="18"/>
          <w:szCs w:val="18"/>
        </w:rPr>
        <w:t>indicare la restante documentazione amministrativa che la stazione appaltante si riserva di verificare preliminarmente</w:t>
      </w:r>
      <w:r w:rsidR="00A6099C" w:rsidRPr="00EE01A0">
        <w:rPr>
          <w:rFonts w:ascii="Titillium" w:hAnsi="Titillium"/>
          <w:sz w:val="18"/>
          <w:szCs w:val="18"/>
        </w:rPr>
        <w:t>]</w:t>
      </w:r>
      <w:r w:rsidRPr="00EE01A0">
        <w:rPr>
          <w:rFonts w:ascii="Titillium" w:hAnsi="Titillium"/>
          <w:sz w:val="18"/>
          <w:szCs w:val="18"/>
        </w:rPr>
        <w:t>.</w:t>
      </w:r>
      <w:r w:rsidRPr="008562AB">
        <w:rPr>
          <w:rFonts w:ascii="Titillium" w:hAnsi="Titillium"/>
          <w:sz w:val="18"/>
          <w:szCs w:val="18"/>
        </w:rPr>
        <w:t xml:space="preserve"> Successivamente si procede alla valutazione dell’offerta tecnica, poi alla valutazione dell’offerta economica, poi, alla verifica dell’anomalia e, infine, alla verifica della documentazione amministrativa inerente </w:t>
      </w:r>
      <w:r w:rsidR="00910FAF">
        <w:rPr>
          <w:rFonts w:ascii="Titillium" w:hAnsi="Titillium"/>
          <w:sz w:val="18"/>
          <w:szCs w:val="18"/>
        </w:rPr>
        <w:t>a</w:t>
      </w:r>
      <w:r w:rsidRPr="008562AB">
        <w:rPr>
          <w:rFonts w:ascii="Titillium" w:hAnsi="Titillium"/>
          <w:sz w:val="18"/>
          <w:szCs w:val="18"/>
        </w:rPr>
        <w:t xml:space="preserve">l possesso dei requisiti di ordine generale e speciale dei concorrenti indicati nel successivo </w:t>
      </w:r>
      <w:r w:rsidR="00743BE0">
        <w:rPr>
          <w:rFonts w:ascii="Titillium" w:hAnsi="Titillium"/>
          <w:sz w:val="18"/>
          <w:szCs w:val="18"/>
        </w:rPr>
        <w:t>paragrafo</w:t>
      </w:r>
      <w:r w:rsidRPr="008562AB">
        <w:rPr>
          <w:rFonts w:ascii="Titillium" w:hAnsi="Titillium"/>
          <w:sz w:val="18"/>
          <w:szCs w:val="18"/>
        </w:rPr>
        <w:t xml:space="preserve"> </w:t>
      </w:r>
      <w:r w:rsidRPr="00EE01A0">
        <w:rPr>
          <w:rFonts w:ascii="Titillium" w:hAnsi="Titillium"/>
          <w:sz w:val="18"/>
          <w:szCs w:val="18"/>
        </w:rPr>
        <w:t>2</w:t>
      </w:r>
      <w:r w:rsidR="00A543AF">
        <w:rPr>
          <w:rFonts w:ascii="Titillium" w:hAnsi="Titillium"/>
          <w:sz w:val="18"/>
          <w:szCs w:val="18"/>
        </w:rPr>
        <w:t>4</w:t>
      </w:r>
      <w:r w:rsidRPr="00EE01A0">
        <w:rPr>
          <w:rFonts w:ascii="Titillium" w:hAnsi="Titillium"/>
          <w:sz w:val="18"/>
          <w:szCs w:val="18"/>
        </w:rPr>
        <w:t xml:space="preserve">. </w:t>
      </w:r>
    </w:p>
    <w:p w14:paraId="7079BE95" w14:textId="5FD1D3C0" w:rsidR="006842EE" w:rsidRPr="008562AB" w:rsidRDefault="00D471C9" w:rsidP="00D471C9">
      <w:pPr>
        <w:spacing w:before="60" w:after="60"/>
      </w:pPr>
      <w:r w:rsidRPr="00EE01A0">
        <w:rPr>
          <w:rFonts w:ascii="Titillium" w:hAnsi="Titillium"/>
          <w:sz w:val="18"/>
          <w:szCs w:val="18"/>
        </w:rPr>
        <w:t>[</w:t>
      </w:r>
      <w:r w:rsidRPr="00F95D8F">
        <w:rPr>
          <w:rFonts w:ascii="Titillium" w:hAnsi="Titillium"/>
          <w:b/>
          <w:bCs/>
          <w:i/>
          <w:iCs/>
          <w:sz w:val="18"/>
          <w:szCs w:val="18"/>
        </w:rPr>
        <w:t>in alternativa</w:t>
      </w:r>
      <w:r w:rsidRPr="00EE01A0">
        <w:rPr>
          <w:rFonts w:ascii="Titillium" w:hAnsi="Titillium"/>
          <w:sz w:val="18"/>
          <w:szCs w:val="18"/>
        </w:rPr>
        <w:t xml:space="preserve">] Con l’inversione procedimentale si procede preliminarmente, nei confronti di tutti i concorrenti, </w:t>
      </w:r>
      <w:r w:rsidR="005E5817" w:rsidRPr="00EE01A0">
        <w:rPr>
          <w:rFonts w:ascii="Titillium" w:hAnsi="Titillium"/>
          <w:sz w:val="18"/>
          <w:szCs w:val="18"/>
        </w:rPr>
        <w:t>alla verifica del pagamento del contributo ANAC  e [</w:t>
      </w:r>
      <w:r w:rsidR="005E5817" w:rsidRPr="00F95D8F">
        <w:rPr>
          <w:rFonts w:ascii="Titillium" w:hAnsi="Titillium"/>
          <w:i/>
          <w:iCs/>
          <w:sz w:val="18"/>
          <w:szCs w:val="18"/>
        </w:rPr>
        <w:t>facoltativo</w:t>
      </w:r>
      <w:r w:rsidR="005E5817" w:rsidRPr="00EE01A0">
        <w:rPr>
          <w:rFonts w:ascii="Titillium" w:hAnsi="Titillium"/>
          <w:sz w:val="18"/>
          <w:szCs w:val="18"/>
        </w:rPr>
        <w:t xml:space="preserve">] della seguente documentazione amministrativa </w:t>
      </w:r>
      <w:r w:rsidR="005E5817" w:rsidRPr="00EE01A0">
        <w:rPr>
          <w:rFonts w:ascii="Titillium" w:hAnsi="Titillium"/>
          <w:i/>
          <w:iCs/>
          <w:sz w:val="18"/>
          <w:szCs w:val="18"/>
        </w:rPr>
        <w:t>[indicare la restante documentazione amministrativa che la stazione appaltante si riserva di verificare preliminarment</w:t>
      </w:r>
      <w:r w:rsidR="005E5817" w:rsidRPr="00EE01A0">
        <w:rPr>
          <w:rFonts w:ascii="Titillium" w:hAnsi="Titillium"/>
          <w:sz w:val="18"/>
          <w:szCs w:val="18"/>
        </w:rPr>
        <w:t>e</w:t>
      </w:r>
      <w:r w:rsidR="00A6099C" w:rsidRPr="00EE01A0">
        <w:rPr>
          <w:rFonts w:ascii="Titillium" w:hAnsi="Titillium"/>
          <w:sz w:val="18"/>
          <w:szCs w:val="18"/>
        </w:rPr>
        <w:t>]</w:t>
      </w:r>
      <w:r w:rsidRPr="008562AB">
        <w:rPr>
          <w:rFonts w:ascii="Titillium" w:hAnsi="Titillium"/>
          <w:sz w:val="18"/>
          <w:szCs w:val="18"/>
        </w:rPr>
        <w:t xml:space="preserve"> Successivamente si procede alla valutazione dell’offerta tecnica, poi alla valutazione dell’offerta economica, poi, alla verifica dell’anomalia e, in parallelo, alla verifica della documentazione amministrativa inerente il possesso dei requisiti di ordine generale e speciale dei concorrenti indicati nel successivo p</w:t>
      </w:r>
      <w:r w:rsidR="007858F5">
        <w:rPr>
          <w:rFonts w:ascii="Titillium" w:hAnsi="Titillium"/>
          <w:sz w:val="18"/>
          <w:szCs w:val="18"/>
        </w:rPr>
        <w:t>aragrafo</w:t>
      </w:r>
      <w:r w:rsidRPr="008562AB">
        <w:rPr>
          <w:rFonts w:ascii="Titillium" w:hAnsi="Titillium"/>
          <w:sz w:val="18"/>
          <w:szCs w:val="18"/>
        </w:rPr>
        <w:t xml:space="preserve"> </w:t>
      </w:r>
      <w:r w:rsidRPr="00EE01A0">
        <w:rPr>
          <w:rFonts w:ascii="Titillium" w:hAnsi="Titillium"/>
          <w:sz w:val="18"/>
          <w:szCs w:val="18"/>
        </w:rPr>
        <w:t>2</w:t>
      </w:r>
      <w:r w:rsidR="00F76673">
        <w:rPr>
          <w:rFonts w:ascii="Titillium" w:hAnsi="Titillium"/>
          <w:sz w:val="18"/>
          <w:szCs w:val="18"/>
        </w:rPr>
        <w:t>4</w:t>
      </w:r>
      <w:r w:rsidRPr="00EE01A0">
        <w:rPr>
          <w:rFonts w:ascii="Titillium" w:hAnsi="Titillium"/>
          <w:sz w:val="18"/>
          <w:szCs w:val="18"/>
        </w:rPr>
        <w:t>.</w:t>
      </w:r>
      <w:r w:rsidRPr="008562AB">
        <w:rPr>
          <w:rFonts w:ascii="Titillium" w:hAnsi="Titillium"/>
          <w:sz w:val="18"/>
          <w:szCs w:val="18"/>
        </w:rPr>
        <w:t xml:space="preserve">  </w:t>
      </w:r>
    </w:p>
    <w:p w14:paraId="09915F05" w14:textId="33DB7B44" w:rsidR="006842EE" w:rsidRPr="00A36142" w:rsidRDefault="008F2625" w:rsidP="00D26F03">
      <w:pPr>
        <w:pStyle w:val="Titolo2"/>
        <w:numPr>
          <w:ilvl w:val="0"/>
          <w:numId w:val="55"/>
        </w:numPr>
        <w:ind w:left="357" w:hanging="357"/>
        <w:rPr>
          <w:rFonts w:ascii="Titillium" w:hAnsi="Titillium"/>
          <w:caps w:val="0"/>
          <w:sz w:val="18"/>
          <w:szCs w:val="18"/>
        </w:rPr>
      </w:pPr>
      <w:bookmarkStart w:id="1943" w:name="_Ref132303128"/>
      <w:bookmarkStart w:id="1944" w:name="_Toc227921654"/>
      <w:r w:rsidRPr="00A36142">
        <w:rPr>
          <w:rFonts w:ascii="Titillium" w:hAnsi="Titillium"/>
          <w:caps w:val="0"/>
          <w:sz w:val="18"/>
          <w:szCs w:val="18"/>
        </w:rPr>
        <w:t>VERIFICA DOCUMENTAZIONE AMMINISTRATIVA</w:t>
      </w:r>
      <w:bookmarkEnd w:id="1943"/>
      <w:bookmarkEnd w:id="1944"/>
    </w:p>
    <w:p w14:paraId="28F6E882" w14:textId="1531323D" w:rsidR="006842EE" w:rsidRPr="008562AB" w:rsidRDefault="008F2625">
      <w:pPr>
        <w:spacing w:before="60" w:after="60"/>
        <w:rPr>
          <w:i/>
          <w:strike/>
        </w:rPr>
      </w:pPr>
      <w:r>
        <w:rPr>
          <w:rFonts w:ascii="Titillium" w:eastAsia="SimSun" w:hAnsi="Titillium" w:cs="Calibri"/>
          <w:b/>
          <w:i/>
          <w:sz w:val="18"/>
          <w:szCs w:val="18"/>
        </w:rPr>
        <w:t>[</w:t>
      </w:r>
      <w:r w:rsidR="00764906" w:rsidRPr="008562AB">
        <w:rPr>
          <w:rFonts w:ascii="Titillium" w:eastAsia="SimSun" w:hAnsi="Titillium" w:cs="Calibri"/>
          <w:b/>
          <w:i/>
          <w:sz w:val="18"/>
          <w:szCs w:val="18"/>
        </w:rPr>
        <w:t>S</w:t>
      </w:r>
      <w:r w:rsidRPr="008562AB">
        <w:rPr>
          <w:rFonts w:ascii="Titillium" w:eastAsia="SimSun" w:hAnsi="Titillium" w:cs="Calibri"/>
          <w:b/>
          <w:i/>
          <w:sz w:val="18"/>
          <w:szCs w:val="18"/>
        </w:rPr>
        <w:t xml:space="preserve">e </w:t>
      </w:r>
      <w:r w:rsidR="00764906" w:rsidRPr="008562AB">
        <w:rPr>
          <w:rFonts w:ascii="Titillium" w:eastAsia="SimSun" w:hAnsi="Titillium" w:cs="Calibri"/>
          <w:b/>
          <w:i/>
          <w:sz w:val="18"/>
          <w:szCs w:val="18"/>
        </w:rPr>
        <w:t xml:space="preserve">non si </w:t>
      </w:r>
      <w:r w:rsidRPr="008562AB">
        <w:rPr>
          <w:rFonts w:ascii="Titillium" w:eastAsia="SimSun" w:hAnsi="Titillium" w:cs="Calibri"/>
          <w:b/>
          <w:i/>
          <w:sz w:val="18"/>
          <w:szCs w:val="18"/>
        </w:rPr>
        <w:t>ricorre all’inversione procedimentale</w:t>
      </w:r>
      <w:r w:rsidRPr="008562AB">
        <w:rPr>
          <w:rFonts w:ascii="Titillium" w:eastAsia="SimSun" w:hAnsi="Titillium"/>
          <w:b/>
          <w:bCs/>
          <w:i/>
          <w:sz w:val="18"/>
          <w:szCs w:val="18"/>
        </w:rPr>
        <w:t>]</w:t>
      </w:r>
    </w:p>
    <w:p w14:paraId="234284B7" w14:textId="2D5970C2" w:rsidR="006842EE" w:rsidRDefault="008F2625">
      <w:pPr>
        <w:spacing w:before="60" w:after="60"/>
      </w:pPr>
      <w:r>
        <w:rPr>
          <w:rFonts w:ascii="Titillium" w:hAnsi="Titillium" w:cs="Calibri"/>
          <w:sz w:val="18"/>
          <w:szCs w:val="18"/>
        </w:rPr>
        <w:t xml:space="preserve">Il … </w:t>
      </w:r>
      <w:r>
        <w:rPr>
          <w:rFonts w:ascii="Titillium" w:hAnsi="Titillium" w:cs="Calibri"/>
          <w:i/>
          <w:sz w:val="18"/>
          <w:szCs w:val="18"/>
        </w:rPr>
        <w:t>[scegliere tra RUP</w:t>
      </w:r>
      <w:r w:rsidR="001760EC">
        <w:rPr>
          <w:rFonts w:ascii="Titillium" w:hAnsi="Titillium" w:cs="Calibri"/>
          <w:i/>
          <w:sz w:val="18"/>
          <w:szCs w:val="18"/>
        </w:rPr>
        <w:t>,</w:t>
      </w:r>
      <w:r>
        <w:t xml:space="preserve"> </w:t>
      </w:r>
      <w:r w:rsidR="00025D70" w:rsidRPr="00025D70">
        <w:rPr>
          <w:rFonts w:ascii="Titillium" w:hAnsi="Titillium"/>
          <w:i/>
          <w:iCs/>
          <w:sz w:val="18"/>
          <w:szCs w:val="18"/>
        </w:rPr>
        <w:t>R</w:t>
      </w:r>
      <w:r w:rsidRPr="00025D70">
        <w:rPr>
          <w:rFonts w:ascii="Titillium" w:hAnsi="Titillium" w:cs="Garamond"/>
          <w:i/>
          <w:iCs/>
          <w:sz w:val="18"/>
          <w:szCs w:val="18"/>
        </w:rPr>
        <w:t>e</w:t>
      </w:r>
      <w:r w:rsidRPr="00025D70">
        <w:rPr>
          <w:rFonts w:ascii="Titillium" w:hAnsi="Titillium" w:cs="Garamond"/>
          <w:i/>
          <w:sz w:val="18"/>
          <w:szCs w:val="18"/>
        </w:rPr>
        <w:t>s</w:t>
      </w:r>
      <w:r>
        <w:rPr>
          <w:rFonts w:ascii="Titillium" w:hAnsi="Titillium" w:cs="Garamond"/>
          <w:i/>
          <w:sz w:val="18"/>
          <w:szCs w:val="18"/>
        </w:rPr>
        <w:t>ponsabile di fase, apposito ufficio o servizio a ciò deputato, sulla base delle disposizioni organizzative proprie della stazione appaltante</w:t>
      </w:r>
      <w:r>
        <w:rPr>
          <w:rFonts w:ascii="Titillium" w:hAnsi="Titillium" w:cs="Garamond"/>
          <w:sz w:val="18"/>
          <w:szCs w:val="18"/>
        </w:rPr>
        <w:t>]</w:t>
      </w:r>
      <w:r>
        <w:rPr>
          <w:rFonts w:ascii="Titillium" w:hAnsi="Titillium" w:cs="Calibri"/>
          <w:sz w:val="18"/>
          <w:szCs w:val="18"/>
        </w:rPr>
        <w:t xml:space="preserve"> accede alla documentazione amministrativa di ciascun concorrente, mentre l’offerta tecnica e l’offerta economica restano, chiuse, segrete e bloccate dal sistema, e procede a: </w:t>
      </w:r>
    </w:p>
    <w:p w14:paraId="74D91DD8" w14:textId="77777777" w:rsidR="00A36142" w:rsidRDefault="008F2625" w:rsidP="00A36142">
      <w:pPr>
        <w:numPr>
          <w:ilvl w:val="0"/>
          <w:numId w:val="4"/>
        </w:numPr>
        <w:tabs>
          <w:tab w:val="left" w:pos="851"/>
        </w:tabs>
        <w:spacing w:before="60" w:after="60"/>
        <w:ind w:left="426" w:hanging="284"/>
        <w:rPr>
          <w:rFonts w:ascii="Titillium" w:hAnsi="Titillium" w:cs="Calibri"/>
          <w:sz w:val="18"/>
          <w:szCs w:val="18"/>
        </w:rPr>
      </w:pPr>
      <w:r>
        <w:rPr>
          <w:rFonts w:ascii="Titillium" w:hAnsi="Titillium" w:cs="Calibri"/>
          <w:sz w:val="18"/>
          <w:szCs w:val="18"/>
        </w:rPr>
        <w:t>controllare la completezza della documentazione amministrativa presentata;</w:t>
      </w:r>
    </w:p>
    <w:p w14:paraId="274D1125" w14:textId="77777777" w:rsidR="00A36142" w:rsidRDefault="008F2625" w:rsidP="00A36142">
      <w:pPr>
        <w:numPr>
          <w:ilvl w:val="0"/>
          <w:numId w:val="4"/>
        </w:numPr>
        <w:tabs>
          <w:tab w:val="left" w:pos="851"/>
        </w:tabs>
        <w:spacing w:before="60" w:after="60"/>
        <w:ind w:left="426" w:hanging="284"/>
        <w:rPr>
          <w:rFonts w:ascii="Titillium" w:hAnsi="Titillium" w:cs="Calibri"/>
          <w:sz w:val="18"/>
          <w:szCs w:val="18"/>
        </w:rPr>
      </w:pPr>
      <w:r w:rsidRPr="00A36142">
        <w:rPr>
          <w:rFonts w:ascii="Titillium" w:hAnsi="Titillium" w:cs="Calibri"/>
          <w:sz w:val="18"/>
          <w:szCs w:val="18"/>
        </w:rPr>
        <w:t>verificare la conformità della documentazione amministrativa a quanto richiesto nel presente disciplinare;</w:t>
      </w:r>
    </w:p>
    <w:p w14:paraId="2250C309" w14:textId="495D2140" w:rsidR="006842EE" w:rsidRPr="00A36142" w:rsidRDefault="008F2625" w:rsidP="00A36142">
      <w:pPr>
        <w:numPr>
          <w:ilvl w:val="0"/>
          <w:numId w:val="4"/>
        </w:numPr>
        <w:tabs>
          <w:tab w:val="left" w:pos="851"/>
        </w:tabs>
        <w:spacing w:before="60" w:after="60"/>
        <w:ind w:left="426" w:hanging="284"/>
        <w:rPr>
          <w:rFonts w:ascii="Titillium" w:hAnsi="Titillium" w:cs="Calibri"/>
          <w:sz w:val="18"/>
          <w:szCs w:val="18"/>
        </w:rPr>
      </w:pPr>
      <w:r w:rsidRPr="00A36142">
        <w:rPr>
          <w:rFonts w:ascii="Titillium" w:hAnsi="Titillium" w:cs="Calibri"/>
          <w:sz w:val="18"/>
          <w:szCs w:val="18"/>
        </w:rPr>
        <w:t xml:space="preserve">attivare la procedura di soccorso istruttorio di cui al precedente </w:t>
      </w:r>
      <w:r w:rsidR="00743BE0">
        <w:rPr>
          <w:rFonts w:ascii="Titillium" w:hAnsi="Titillium" w:cs="Calibri"/>
          <w:sz w:val="18"/>
          <w:szCs w:val="18"/>
        </w:rPr>
        <w:t>paragrafo</w:t>
      </w:r>
      <w:r w:rsidRPr="00A36142">
        <w:rPr>
          <w:rFonts w:ascii="Titillium" w:hAnsi="Titillium" w:cs="Calibri"/>
          <w:sz w:val="18"/>
          <w:szCs w:val="18"/>
        </w:rPr>
        <w:t xml:space="preserve"> </w:t>
      </w:r>
      <w:r w:rsidR="00A543AF">
        <w:rPr>
          <w:rFonts w:ascii="Titillium" w:hAnsi="Titillium" w:cs="Calibri"/>
          <w:sz w:val="18"/>
          <w:szCs w:val="18"/>
        </w:rPr>
        <w:t>14</w:t>
      </w:r>
      <w:r w:rsidRPr="00A36142">
        <w:rPr>
          <w:rFonts w:ascii="Titillium" w:hAnsi="Titillium" w:cs="Calibri"/>
          <w:sz w:val="18"/>
          <w:szCs w:val="18"/>
        </w:rPr>
        <w:t xml:space="preserve">. </w:t>
      </w:r>
    </w:p>
    <w:p w14:paraId="0F56F5A8" w14:textId="77777777" w:rsidR="006842EE" w:rsidRDefault="008F2625" w:rsidP="00910E18">
      <w:pPr>
        <w:tabs>
          <w:tab w:val="left" w:pos="851"/>
        </w:tabs>
        <w:spacing w:before="60" w:after="60"/>
        <w:rPr>
          <w:rFonts w:ascii="Titillium" w:hAnsi="Titillium" w:cs="Calibri"/>
          <w:sz w:val="18"/>
          <w:szCs w:val="18"/>
        </w:rPr>
      </w:pPr>
      <w:r>
        <w:rPr>
          <w:rFonts w:ascii="Titillium" w:hAnsi="Titillium" w:cs="Calibri"/>
          <w:sz w:val="18"/>
          <w:szCs w:val="18"/>
        </w:rPr>
        <w:t>Gli eventuali provvedimenti di esclusione dalla procedura di gara sono comunicati entro cinque giorni dalla loro adozione.</w:t>
      </w:r>
      <w:r>
        <w:t xml:space="preserve"> </w:t>
      </w:r>
      <w:r>
        <w:rPr>
          <w:rFonts w:ascii="Titillium" w:hAnsi="Titillium" w:cs="Calibri"/>
          <w:sz w:val="18"/>
          <w:szCs w:val="18"/>
        </w:rPr>
        <w:t xml:space="preserve">È fatta salva la possibilità di chiedere agli offerenti, in qualsiasi momento nel corso della procedura, di presentare tutti i documenti complementari o parte di essi, qualora questo sia necessario per assicurare il corretto svolgimento della procedura. </w:t>
      </w:r>
    </w:p>
    <w:p w14:paraId="0FE3D629" w14:textId="77777777" w:rsidR="00F76673" w:rsidRDefault="00F76673" w:rsidP="00764906">
      <w:pPr>
        <w:tabs>
          <w:tab w:val="left" w:pos="851"/>
        </w:tabs>
        <w:spacing w:before="60" w:after="60"/>
        <w:ind w:left="66"/>
        <w:rPr>
          <w:rFonts w:ascii="Titillium" w:hAnsi="Titillium" w:cs="Calibri"/>
          <w:sz w:val="18"/>
          <w:szCs w:val="18"/>
        </w:rPr>
      </w:pPr>
    </w:p>
    <w:p w14:paraId="4A661643" w14:textId="727865BC" w:rsidR="00764906" w:rsidRPr="008562AB" w:rsidRDefault="00764906" w:rsidP="00764906">
      <w:pPr>
        <w:tabs>
          <w:tab w:val="left" w:pos="851"/>
        </w:tabs>
        <w:spacing w:before="60" w:after="60"/>
        <w:ind w:left="66"/>
        <w:rPr>
          <w:rFonts w:ascii="Titillium" w:hAnsi="Titillium" w:cs="Calibri"/>
          <w:b/>
          <w:bCs/>
          <w:sz w:val="18"/>
          <w:szCs w:val="18"/>
        </w:rPr>
      </w:pPr>
      <w:r w:rsidRPr="004D3D67">
        <w:rPr>
          <w:rFonts w:ascii="Titillium" w:hAnsi="Titillium" w:cs="Calibri"/>
          <w:sz w:val="18"/>
          <w:szCs w:val="18"/>
        </w:rPr>
        <w:t>[</w:t>
      </w:r>
      <w:r w:rsidRPr="00F95D8F">
        <w:rPr>
          <w:rFonts w:ascii="Titillium" w:hAnsi="Titillium" w:cs="Calibri"/>
          <w:b/>
          <w:bCs/>
          <w:i/>
          <w:iCs/>
          <w:sz w:val="18"/>
          <w:szCs w:val="18"/>
        </w:rPr>
        <w:t>In alternativa, in caso di inversione procedimentale</w:t>
      </w:r>
      <w:r w:rsidRPr="00F95D8F">
        <w:rPr>
          <w:rFonts w:ascii="Titillium" w:hAnsi="Titillium" w:cs="Calibri"/>
          <w:sz w:val="18"/>
          <w:szCs w:val="18"/>
        </w:rPr>
        <w:t>]</w:t>
      </w:r>
    </w:p>
    <w:p w14:paraId="4970F523" w14:textId="49D47BAF" w:rsidR="00764906" w:rsidRPr="008562AB" w:rsidRDefault="00764906" w:rsidP="00764906">
      <w:pPr>
        <w:tabs>
          <w:tab w:val="left" w:pos="851"/>
        </w:tabs>
        <w:spacing w:before="60" w:after="60"/>
        <w:ind w:left="66"/>
        <w:rPr>
          <w:rFonts w:ascii="Titillium" w:hAnsi="Titillium" w:cs="Calibri"/>
          <w:sz w:val="18"/>
          <w:szCs w:val="18"/>
        </w:rPr>
      </w:pPr>
      <w:r w:rsidRPr="008562AB">
        <w:rPr>
          <w:rFonts w:ascii="Titillium" w:hAnsi="Titillium" w:cs="Calibri"/>
          <w:sz w:val="18"/>
          <w:szCs w:val="18"/>
        </w:rPr>
        <w:t>Il … [</w:t>
      </w:r>
      <w:r w:rsidRPr="00460E19">
        <w:rPr>
          <w:rFonts w:ascii="Titillium" w:hAnsi="Titillium" w:cs="Calibri"/>
          <w:i/>
          <w:iCs/>
          <w:sz w:val="18"/>
          <w:szCs w:val="18"/>
        </w:rPr>
        <w:t xml:space="preserve">scegliere tra RUP, </w:t>
      </w:r>
      <w:bookmarkStart w:id="1945" w:name="_Hlk201663458"/>
      <w:r w:rsidRPr="00460E19">
        <w:rPr>
          <w:rFonts w:ascii="Titillium" w:hAnsi="Titillium" w:cs="Calibri"/>
          <w:i/>
          <w:iCs/>
          <w:sz w:val="18"/>
          <w:szCs w:val="18"/>
        </w:rPr>
        <w:t>responsabile di fase, apposito ufficio o servizio a ciò deputato, sulla base delle disposizioni organizzative proprie della stazione appaltante</w:t>
      </w:r>
      <w:r w:rsidRPr="008562AB">
        <w:rPr>
          <w:rFonts w:ascii="Titillium" w:hAnsi="Titillium" w:cs="Calibri"/>
          <w:sz w:val="18"/>
          <w:szCs w:val="18"/>
        </w:rPr>
        <w:t>]</w:t>
      </w:r>
      <w:bookmarkEnd w:id="1945"/>
      <w:r w:rsidR="00057E93">
        <w:rPr>
          <w:rFonts w:ascii="Titillium" w:hAnsi="Titillium" w:cs="Calibri"/>
          <w:sz w:val="18"/>
          <w:szCs w:val="18"/>
        </w:rPr>
        <w:t xml:space="preserve">, </w:t>
      </w:r>
      <w:r w:rsidRPr="008562AB">
        <w:rPr>
          <w:rFonts w:ascii="Titillium" w:hAnsi="Titillium" w:cs="Calibri"/>
          <w:sz w:val="18"/>
          <w:szCs w:val="18"/>
        </w:rPr>
        <w:t xml:space="preserve">procede a: </w:t>
      </w:r>
    </w:p>
    <w:p w14:paraId="785ABF53" w14:textId="40B2280C" w:rsidR="00764906" w:rsidRPr="007137FA" w:rsidRDefault="00764906" w:rsidP="00D26F03">
      <w:pPr>
        <w:numPr>
          <w:ilvl w:val="0"/>
          <w:numId w:val="38"/>
        </w:numPr>
        <w:tabs>
          <w:tab w:val="left" w:pos="851"/>
        </w:tabs>
        <w:spacing w:before="60" w:after="60"/>
        <w:ind w:left="426" w:hanging="426"/>
        <w:rPr>
          <w:rFonts w:ascii="Titillium" w:hAnsi="Titillium" w:cs="Calibri"/>
          <w:sz w:val="18"/>
          <w:szCs w:val="18"/>
        </w:rPr>
      </w:pPr>
      <w:r w:rsidRPr="007137FA">
        <w:rPr>
          <w:rFonts w:ascii="Titillium" w:hAnsi="Titillium" w:cs="Calibri"/>
          <w:sz w:val="18"/>
          <w:szCs w:val="18"/>
        </w:rPr>
        <w:t xml:space="preserve">verificare </w:t>
      </w:r>
      <w:r w:rsidR="004D3D67" w:rsidRPr="007137FA">
        <w:rPr>
          <w:rFonts w:ascii="Titillium" w:hAnsi="Titillium" w:cs="Calibri"/>
          <w:sz w:val="18"/>
          <w:szCs w:val="18"/>
        </w:rPr>
        <w:t xml:space="preserve">l’avvenuto pagamento del contributo </w:t>
      </w:r>
      <w:r w:rsidR="00A36142" w:rsidRPr="007137FA">
        <w:rPr>
          <w:rFonts w:ascii="Titillium" w:hAnsi="Titillium" w:cs="Calibri"/>
          <w:sz w:val="18"/>
          <w:szCs w:val="18"/>
        </w:rPr>
        <w:t>ANAC [</w:t>
      </w:r>
      <w:r w:rsidR="00F95D8F" w:rsidRPr="00F95D8F">
        <w:rPr>
          <w:rFonts w:ascii="Titillium" w:hAnsi="Titillium" w:cs="Calibri"/>
          <w:i/>
          <w:iCs/>
          <w:sz w:val="18"/>
          <w:szCs w:val="18"/>
        </w:rPr>
        <w:t>facoltativo</w:t>
      </w:r>
      <w:r w:rsidR="004D3D67" w:rsidRPr="007137FA">
        <w:rPr>
          <w:rFonts w:ascii="Titillium" w:hAnsi="Titillium" w:cs="Calibri"/>
          <w:sz w:val="18"/>
          <w:szCs w:val="18"/>
        </w:rPr>
        <w:t xml:space="preserve">] e </w:t>
      </w:r>
      <w:r w:rsidRPr="007137FA">
        <w:rPr>
          <w:rFonts w:ascii="Titillium" w:hAnsi="Titillium" w:cs="Calibri"/>
          <w:sz w:val="18"/>
          <w:szCs w:val="18"/>
        </w:rPr>
        <w:t>la conformità al presente disciplinare dell</w:t>
      </w:r>
      <w:r w:rsidR="00A6099C" w:rsidRPr="007137FA">
        <w:rPr>
          <w:rFonts w:ascii="Titillium" w:hAnsi="Titillium" w:cs="Calibri"/>
          <w:sz w:val="18"/>
          <w:szCs w:val="18"/>
        </w:rPr>
        <w:t xml:space="preserve">a seguente </w:t>
      </w:r>
      <w:r w:rsidRPr="007137FA">
        <w:rPr>
          <w:rFonts w:ascii="Titillium" w:hAnsi="Titillium" w:cs="Calibri"/>
          <w:sz w:val="18"/>
          <w:szCs w:val="18"/>
        </w:rPr>
        <w:t xml:space="preserve">documentazione amministrativa </w:t>
      </w:r>
      <w:r w:rsidR="00BE5C0E">
        <w:rPr>
          <w:rFonts w:ascii="Titillium" w:hAnsi="Titillium" w:cs="Calibri"/>
          <w:sz w:val="18"/>
          <w:szCs w:val="18"/>
        </w:rPr>
        <w:t>….</w:t>
      </w:r>
      <w:r w:rsidR="00BA752A">
        <w:rPr>
          <w:rFonts w:ascii="Titillium" w:hAnsi="Titillium" w:cs="Calibri"/>
          <w:sz w:val="18"/>
          <w:szCs w:val="18"/>
        </w:rPr>
        <w:t xml:space="preserve"> </w:t>
      </w:r>
      <w:r w:rsidR="00A6099C" w:rsidRPr="007137FA">
        <w:rPr>
          <w:rFonts w:ascii="Titillium" w:hAnsi="Titillium" w:cs="Calibri"/>
          <w:sz w:val="18"/>
          <w:szCs w:val="18"/>
        </w:rPr>
        <w:t>[</w:t>
      </w:r>
      <w:r w:rsidR="00A6099C" w:rsidRPr="00690A3A">
        <w:rPr>
          <w:rFonts w:ascii="Titillium" w:hAnsi="Titillium" w:cs="Calibri"/>
          <w:i/>
          <w:iCs/>
          <w:sz w:val="18"/>
          <w:szCs w:val="18"/>
        </w:rPr>
        <w:t>indicare la restante documentazione amministrativa che la stazione appaltante si riserva di verificare preliminarmente]</w:t>
      </w:r>
    </w:p>
    <w:p w14:paraId="2138C138" w14:textId="4180D629" w:rsidR="00764906" w:rsidRDefault="00764906" w:rsidP="00D26F03">
      <w:pPr>
        <w:numPr>
          <w:ilvl w:val="0"/>
          <w:numId w:val="38"/>
        </w:numPr>
        <w:tabs>
          <w:tab w:val="left" w:pos="851"/>
        </w:tabs>
        <w:spacing w:before="60" w:after="60"/>
        <w:ind w:left="426"/>
        <w:rPr>
          <w:rFonts w:ascii="Titillium" w:hAnsi="Titillium" w:cs="Calibri"/>
          <w:sz w:val="18"/>
          <w:szCs w:val="18"/>
        </w:rPr>
      </w:pPr>
      <w:r w:rsidRPr="00A6099C">
        <w:rPr>
          <w:rFonts w:ascii="Titillium" w:hAnsi="Titillium" w:cs="Calibri"/>
          <w:sz w:val="18"/>
          <w:szCs w:val="18"/>
        </w:rPr>
        <w:t>attivare la procedura di soccorso istruttorio di cui al precedente p</w:t>
      </w:r>
      <w:r w:rsidR="007858F5">
        <w:rPr>
          <w:rFonts w:ascii="Titillium" w:hAnsi="Titillium" w:cs="Calibri"/>
          <w:sz w:val="18"/>
          <w:szCs w:val="18"/>
        </w:rPr>
        <w:t xml:space="preserve">aragrafo </w:t>
      </w:r>
      <w:r w:rsidRPr="00A6099C">
        <w:rPr>
          <w:rFonts w:ascii="Titillium" w:hAnsi="Titillium" w:cs="Calibri"/>
          <w:sz w:val="18"/>
          <w:szCs w:val="18"/>
        </w:rPr>
        <w:t>1</w:t>
      </w:r>
      <w:r w:rsidR="00F76673">
        <w:rPr>
          <w:rFonts w:ascii="Titillium" w:hAnsi="Titillium" w:cs="Calibri"/>
          <w:sz w:val="18"/>
          <w:szCs w:val="18"/>
        </w:rPr>
        <w:t>4</w:t>
      </w:r>
      <w:r w:rsidRPr="00A6099C">
        <w:rPr>
          <w:rFonts w:ascii="Titillium" w:hAnsi="Titillium" w:cs="Calibri"/>
          <w:sz w:val="18"/>
          <w:szCs w:val="18"/>
        </w:rPr>
        <w:t>, se necessario</w:t>
      </w:r>
      <w:r w:rsidR="009B5F75" w:rsidRPr="00A6099C">
        <w:rPr>
          <w:rFonts w:ascii="Titillium" w:hAnsi="Titillium" w:cs="Calibri"/>
          <w:sz w:val="18"/>
          <w:szCs w:val="18"/>
        </w:rPr>
        <w:t>.</w:t>
      </w:r>
    </w:p>
    <w:p w14:paraId="161AE927" w14:textId="77777777" w:rsidR="006842EE" w:rsidRPr="00A36142" w:rsidRDefault="008F2625" w:rsidP="00D26F03">
      <w:pPr>
        <w:pStyle w:val="Titolo2"/>
        <w:numPr>
          <w:ilvl w:val="0"/>
          <w:numId w:val="55"/>
        </w:numPr>
        <w:ind w:left="357" w:hanging="357"/>
        <w:rPr>
          <w:rFonts w:ascii="Titillium" w:hAnsi="Titillium"/>
          <w:caps w:val="0"/>
          <w:sz w:val="18"/>
          <w:szCs w:val="18"/>
        </w:rPr>
      </w:pPr>
      <w:bookmarkStart w:id="1946" w:name="_Ref132303065"/>
      <w:bookmarkStart w:id="1947" w:name="_Ref138148356"/>
      <w:bookmarkStart w:id="1948" w:name="_Toc227921655"/>
      <w:r w:rsidRPr="00A36142">
        <w:rPr>
          <w:rFonts w:ascii="Titillium" w:hAnsi="Titillium"/>
          <w:caps w:val="0"/>
          <w:sz w:val="18"/>
          <w:szCs w:val="18"/>
        </w:rPr>
        <w:t>VALUTAZIONE DELLE OFFERTE TECNICHE ED ECONOMICHE</w:t>
      </w:r>
      <w:bookmarkEnd w:id="1946"/>
      <w:bookmarkEnd w:id="1947"/>
      <w:bookmarkEnd w:id="1948"/>
    </w:p>
    <w:p w14:paraId="216F3CB6" w14:textId="17CEE25A" w:rsidR="006842EE" w:rsidRDefault="008F2625">
      <w:pPr>
        <w:spacing w:before="60" w:after="60"/>
        <w:rPr>
          <w:rFonts w:ascii="Titillium" w:hAnsi="Titillium" w:cs="Calibri"/>
          <w:sz w:val="18"/>
          <w:szCs w:val="18"/>
        </w:rPr>
      </w:pPr>
      <w:r>
        <w:rPr>
          <w:rFonts w:ascii="Titillium" w:hAnsi="Titillium" w:cs="Calibri"/>
          <w:sz w:val="18"/>
          <w:szCs w:val="18"/>
        </w:rPr>
        <w:t xml:space="preserve">La data e l’ora in cui si procede all’apertura delle offerte tecniche </w:t>
      </w:r>
      <w:r>
        <w:rPr>
          <w:rFonts w:ascii="Titillium" w:hAnsi="Titillium" w:cs="Calibri"/>
          <w:i/>
          <w:sz w:val="18"/>
          <w:szCs w:val="18"/>
        </w:rPr>
        <w:t xml:space="preserve">[nel caso di gara a più lotti: relativamente a ciascun singolo lotto] </w:t>
      </w:r>
      <w:r>
        <w:rPr>
          <w:rFonts w:ascii="Titillium" w:hAnsi="Titillium" w:cs="Calibri"/>
          <w:sz w:val="18"/>
          <w:szCs w:val="18"/>
        </w:rPr>
        <w:t xml:space="preserve">sono comunicate tramite la </w:t>
      </w:r>
      <w:r w:rsidR="00217536" w:rsidRPr="008562AB">
        <w:rPr>
          <w:rFonts w:ascii="Titillium" w:hAnsi="Titillium" w:cs="Calibri"/>
          <w:sz w:val="18"/>
          <w:szCs w:val="18"/>
        </w:rPr>
        <w:t>PAD</w:t>
      </w:r>
      <w:r w:rsidR="00217536">
        <w:rPr>
          <w:rFonts w:ascii="Titillium" w:hAnsi="Titillium" w:cs="Calibri"/>
          <w:sz w:val="18"/>
          <w:szCs w:val="18"/>
        </w:rPr>
        <w:t xml:space="preserve"> </w:t>
      </w:r>
      <w:r>
        <w:rPr>
          <w:rFonts w:ascii="Titillium" w:hAnsi="Titillium" w:cs="Calibri"/>
          <w:sz w:val="18"/>
          <w:szCs w:val="18"/>
        </w:rPr>
        <w:t>ai concorrenti ammessi alla presente fase di gara.</w:t>
      </w:r>
    </w:p>
    <w:p w14:paraId="0432CE85" w14:textId="02BABA9A" w:rsidR="009F654A" w:rsidRPr="00D14C42" w:rsidRDefault="009F654A">
      <w:pPr>
        <w:spacing w:before="60" w:after="60"/>
        <w:rPr>
          <w:rFonts w:ascii="Titillium" w:hAnsi="Titillium" w:cs="Calibri"/>
          <w:sz w:val="18"/>
          <w:szCs w:val="18"/>
        </w:rPr>
      </w:pPr>
      <w:r w:rsidRPr="00D14C42">
        <w:rPr>
          <w:rFonts w:ascii="Titillium" w:hAnsi="Titillium" w:cs="Calibri"/>
          <w:sz w:val="18"/>
          <w:szCs w:val="18"/>
        </w:rPr>
        <w:t>La/Il</w:t>
      </w:r>
      <w:r w:rsidR="00BA752A">
        <w:rPr>
          <w:rFonts w:ascii="Titillium" w:hAnsi="Titillium" w:cs="Calibri"/>
          <w:sz w:val="18"/>
          <w:szCs w:val="18"/>
        </w:rPr>
        <w:t xml:space="preserve"> </w:t>
      </w:r>
      <w:r w:rsidR="00BA752A" w:rsidRPr="00D14C42">
        <w:rPr>
          <w:rFonts w:ascii="Titillium" w:hAnsi="Titillium" w:cs="Calibri"/>
          <w:sz w:val="18"/>
          <w:szCs w:val="18"/>
        </w:rPr>
        <w:t>… [</w:t>
      </w:r>
      <w:r w:rsidRPr="00D14C42">
        <w:rPr>
          <w:rFonts w:ascii="Titillium" w:hAnsi="Titillium" w:cs="Calibri"/>
          <w:i/>
          <w:iCs/>
          <w:sz w:val="18"/>
          <w:szCs w:val="18"/>
        </w:rPr>
        <w:t>scegliere tra Commissione giudicatrice, RUP, responsabile di fase, apposito ufficio o servizio a ciò deputato, sulla base delle disposizioni organizzative proprie della stazione appaltante</w:t>
      </w:r>
      <w:r w:rsidRPr="00D14C42">
        <w:rPr>
          <w:rFonts w:ascii="Titillium" w:hAnsi="Titillium" w:cs="Calibri"/>
          <w:sz w:val="18"/>
          <w:szCs w:val="18"/>
        </w:rPr>
        <w:t xml:space="preserve">] </w:t>
      </w:r>
      <w:r w:rsidR="00217536" w:rsidRPr="00D14C42">
        <w:rPr>
          <w:rFonts w:ascii="Titillium" w:hAnsi="Titillium" w:cs="Calibri"/>
          <w:sz w:val="18"/>
          <w:szCs w:val="18"/>
        </w:rPr>
        <w:t>procede</w:t>
      </w:r>
      <w:r w:rsidR="008F2625" w:rsidRPr="00D14C42">
        <w:rPr>
          <w:rFonts w:ascii="Titillium" w:hAnsi="Titillium" w:cs="Calibri"/>
          <w:sz w:val="18"/>
          <w:szCs w:val="18"/>
        </w:rPr>
        <w:t xml:space="preserve"> </w:t>
      </w:r>
      <w:r w:rsidR="008F2625" w:rsidRPr="00D14C42">
        <w:rPr>
          <w:rFonts w:ascii="Titillium" w:hAnsi="Titillium" w:cs="Calibri"/>
          <w:i/>
          <w:sz w:val="18"/>
          <w:szCs w:val="18"/>
        </w:rPr>
        <w:t>[nel caso di gara a più lotti: relativamente a ciascun singolo lotto]</w:t>
      </w:r>
      <w:r w:rsidR="008F2625" w:rsidRPr="00D14C42">
        <w:rPr>
          <w:rFonts w:ascii="Titillium" w:hAnsi="Titillium" w:cs="Calibri"/>
          <w:sz w:val="18"/>
          <w:szCs w:val="18"/>
        </w:rPr>
        <w:t xml:space="preserve"> all’apertura delle offerte presentate.  </w:t>
      </w:r>
    </w:p>
    <w:p w14:paraId="4378C6CB" w14:textId="2531B1F9" w:rsidR="006842EE" w:rsidRPr="00D14C42" w:rsidRDefault="008F2625">
      <w:pPr>
        <w:spacing w:before="60" w:after="60"/>
        <w:rPr>
          <w:rFonts w:ascii="Titillium" w:hAnsi="Titillium" w:cs="Calibri"/>
          <w:sz w:val="18"/>
          <w:szCs w:val="18"/>
        </w:rPr>
      </w:pPr>
      <w:r w:rsidRPr="00D14C42">
        <w:rPr>
          <w:rFonts w:ascii="Titillium" w:hAnsi="Titillium" w:cs="Calibri"/>
          <w:sz w:val="18"/>
          <w:szCs w:val="18"/>
        </w:rPr>
        <w:t xml:space="preserve">La </w:t>
      </w:r>
      <w:r w:rsidR="00025D70">
        <w:rPr>
          <w:rFonts w:ascii="Titillium" w:hAnsi="Titillium" w:cs="Calibri"/>
          <w:sz w:val="18"/>
          <w:szCs w:val="18"/>
        </w:rPr>
        <w:t>C</w:t>
      </w:r>
      <w:r w:rsidRPr="00D14C42">
        <w:rPr>
          <w:rFonts w:ascii="Titillium" w:hAnsi="Titillium" w:cs="Calibri"/>
          <w:sz w:val="18"/>
          <w:szCs w:val="18"/>
        </w:rPr>
        <w:t xml:space="preserve">ommissione giudicatrice procede all’esame e valutazione delle offerte presentate dai concorrenti e all’assegnazione dei relativi punteggi applicando i criteri e le formule indicati nel bando e nel presente disciplinare. Gli esiti della valutazione sono registrati dalla </w:t>
      </w:r>
      <w:r w:rsidR="00217536" w:rsidRPr="00D14C42">
        <w:rPr>
          <w:rFonts w:ascii="Titillium" w:hAnsi="Titillium" w:cs="Calibri"/>
          <w:sz w:val="18"/>
          <w:szCs w:val="18"/>
        </w:rPr>
        <w:t>PAD</w:t>
      </w:r>
      <w:r w:rsidRPr="00D14C42">
        <w:rPr>
          <w:rFonts w:ascii="Titillium" w:hAnsi="Titillium" w:cs="Calibri"/>
          <w:sz w:val="18"/>
          <w:szCs w:val="18"/>
        </w:rPr>
        <w:t>.</w:t>
      </w:r>
    </w:p>
    <w:p w14:paraId="767B3DB1" w14:textId="51ED183A" w:rsidR="006842EE" w:rsidRDefault="008F2625">
      <w:pPr>
        <w:spacing w:before="60" w:after="60"/>
        <w:rPr>
          <w:rFonts w:ascii="Titillium" w:hAnsi="Titillium" w:cs="Calibri"/>
          <w:sz w:val="18"/>
          <w:szCs w:val="18"/>
        </w:rPr>
      </w:pPr>
      <w:r>
        <w:rPr>
          <w:rFonts w:ascii="Titillium" w:hAnsi="Titillium" w:cs="Calibri"/>
          <w:b/>
          <w:i/>
          <w:sz w:val="18"/>
          <w:szCs w:val="18"/>
        </w:rPr>
        <w:t>[</w:t>
      </w:r>
      <w:r>
        <w:rPr>
          <w:rFonts w:ascii="Titillium" w:hAnsi="Titillium"/>
          <w:b/>
          <w:i/>
          <w:sz w:val="18"/>
          <w:szCs w:val="18"/>
        </w:rPr>
        <w:t xml:space="preserve">Facoltativo: </w:t>
      </w:r>
      <w:r>
        <w:rPr>
          <w:rFonts w:ascii="Titillium" w:hAnsi="Titillium" w:cs="Calibri"/>
          <w:b/>
          <w:i/>
          <w:sz w:val="18"/>
          <w:szCs w:val="18"/>
        </w:rPr>
        <w:t xml:space="preserve">in caso riparametrazione] </w:t>
      </w:r>
      <w:r>
        <w:rPr>
          <w:rFonts w:ascii="Titillium" w:hAnsi="Titillium" w:cs="Calibri"/>
          <w:sz w:val="18"/>
          <w:szCs w:val="18"/>
        </w:rPr>
        <w:t>La commissione procede alla riparametrazione dei punteggi secondo quanto indicato al p</w:t>
      </w:r>
      <w:r w:rsidR="00743BE0">
        <w:rPr>
          <w:rFonts w:ascii="Titillium" w:hAnsi="Titillium" w:cs="Calibri"/>
          <w:sz w:val="18"/>
          <w:szCs w:val="18"/>
        </w:rPr>
        <w:t>aragrafo</w:t>
      </w:r>
      <w:r>
        <w:rPr>
          <w:rFonts w:ascii="Titillium" w:hAnsi="Titillium" w:cs="Calibri"/>
          <w:sz w:val="18"/>
          <w:szCs w:val="18"/>
        </w:rPr>
        <w:t xml:space="preserve"> </w:t>
      </w:r>
      <w:r>
        <w:rPr>
          <w:rFonts w:ascii="Titillium" w:hAnsi="Titillium" w:cs="Calibri"/>
          <w:sz w:val="18"/>
          <w:szCs w:val="18"/>
        </w:rPr>
        <w:fldChar w:fldCharType="begin"/>
      </w:r>
      <w:r>
        <w:rPr>
          <w:rFonts w:ascii="Titillium" w:hAnsi="Titillium" w:cs="Calibri"/>
          <w:sz w:val="18"/>
          <w:szCs w:val="18"/>
        </w:rPr>
        <w:instrText>REF _Ref497226795 \r \h</w:instrText>
      </w:r>
      <w:r>
        <w:rPr>
          <w:rFonts w:ascii="Titillium" w:hAnsi="Titillium" w:cs="Calibri"/>
          <w:sz w:val="18"/>
          <w:szCs w:val="18"/>
        </w:rPr>
      </w:r>
      <w:r>
        <w:rPr>
          <w:rFonts w:ascii="Titillium" w:hAnsi="Titillium" w:cs="Calibri"/>
          <w:sz w:val="18"/>
          <w:szCs w:val="18"/>
        </w:rPr>
        <w:fldChar w:fldCharType="separate"/>
      </w:r>
      <w:r w:rsidR="00722501">
        <w:rPr>
          <w:rFonts w:ascii="Titillium" w:hAnsi="Titillium" w:cs="Calibri"/>
          <w:sz w:val="18"/>
          <w:szCs w:val="18"/>
        </w:rPr>
        <w:t>18.4</w:t>
      </w:r>
      <w:r>
        <w:rPr>
          <w:rFonts w:ascii="Titillium" w:hAnsi="Titillium" w:cs="Calibri"/>
          <w:sz w:val="18"/>
          <w:szCs w:val="18"/>
        </w:rPr>
        <w:fldChar w:fldCharType="end"/>
      </w:r>
      <w:r>
        <w:rPr>
          <w:rFonts w:ascii="Titillium" w:hAnsi="Titillium" w:cs="Calibri"/>
          <w:sz w:val="18"/>
          <w:szCs w:val="18"/>
        </w:rPr>
        <w:t>.</w:t>
      </w:r>
    </w:p>
    <w:p w14:paraId="70FAB139" w14:textId="4591EFF9" w:rsidR="006842EE" w:rsidRPr="00217536" w:rsidRDefault="008F2625">
      <w:pPr>
        <w:rPr>
          <w:rFonts w:ascii="Titillium" w:hAnsi="Titillium"/>
          <w:strike/>
          <w:color w:val="5B9BD5" w:themeColor="accent1"/>
          <w:sz w:val="20"/>
          <w:szCs w:val="20"/>
        </w:rPr>
      </w:pPr>
      <w:r>
        <w:rPr>
          <w:rFonts w:ascii="Titillium" w:hAnsi="Titillium" w:cs="Calibri"/>
          <w:sz w:val="18"/>
          <w:szCs w:val="18"/>
        </w:rPr>
        <w:t>La commissione giudicatrice rende visibile ai concorrenti</w:t>
      </w:r>
      <w:r w:rsidRPr="00217536">
        <w:rPr>
          <w:rFonts w:ascii="Titillium" w:hAnsi="Titillium" w:cs="Calibri"/>
          <w:strike/>
          <w:color w:val="5B9BD5" w:themeColor="accent1"/>
          <w:sz w:val="18"/>
          <w:szCs w:val="18"/>
        </w:rPr>
        <w:t xml:space="preserve">: </w:t>
      </w:r>
    </w:p>
    <w:p w14:paraId="5C6DD6B6" w14:textId="77777777" w:rsidR="006842EE" w:rsidRDefault="008F2625">
      <w:pPr>
        <w:ind w:left="284"/>
        <w:rPr>
          <w:rFonts w:ascii="Titillium" w:hAnsi="Titillium"/>
          <w:sz w:val="20"/>
          <w:szCs w:val="20"/>
        </w:rPr>
      </w:pPr>
      <w:r>
        <w:rPr>
          <w:rFonts w:ascii="Titillium" w:hAnsi="Titillium" w:cs="Calibri"/>
          <w:sz w:val="18"/>
          <w:szCs w:val="18"/>
        </w:rPr>
        <w:t>a) i punteggi tecnici attribuiti alle singole offerte tecniche;</w:t>
      </w:r>
    </w:p>
    <w:p w14:paraId="7CD2D975" w14:textId="77777777" w:rsidR="006842EE" w:rsidRDefault="008F2625">
      <w:pPr>
        <w:ind w:left="284"/>
        <w:rPr>
          <w:rFonts w:ascii="Titillium" w:hAnsi="Titillium" w:cs="Calibri"/>
          <w:sz w:val="18"/>
          <w:szCs w:val="18"/>
        </w:rPr>
      </w:pPr>
      <w:r>
        <w:rPr>
          <w:rFonts w:ascii="Titillium" w:hAnsi="Titillium" w:cs="Calibri"/>
          <w:sz w:val="18"/>
          <w:szCs w:val="18"/>
        </w:rPr>
        <w:t>b) le eventuali esclusioni dalla gara dei concorrenti.</w:t>
      </w:r>
    </w:p>
    <w:p w14:paraId="3FED5970" w14:textId="1E68D522" w:rsidR="006842EE" w:rsidRDefault="008F2625">
      <w:pPr>
        <w:rPr>
          <w:rFonts w:ascii="Titillium" w:hAnsi="Titillium"/>
          <w:sz w:val="20"/>
          <w:szCs w:val="20"/>
        </w:rPr>
      </w:pPr>
      <w:r>
        <w:rPr>
          <w:rFonts w:ascii="Titillium" w:hAnsi="Titillium" w:cs="Calibri"/>
          <w:sz w:val="18"/>
          <w:szCs w:val="18"/>
        </w:rPr>
        <w:t xml:space="preserve">Al termine delle operazioni di cui sopra la </w:t>
      </w:r>
      <w:r w:rsidRPr="008562AB">
        <w:rPr>
          <w:rFonts w:ascii="Titillium" w:hAnsi="Titillium" w:cs="Calibri"/>
          <w:sz w:val="18"/>
          <w:szCs w:val="18"/>
        </w:rPr>
        <w:t>P</w:t>
      </w:r>
      <w:r w:rsidR="00217536" w:rsidRPr="008562AB">
        <w:rPr>
          <w:rFonts w:ascii="Titillium" w:hAnsi="Titillium" w:cs="Calibri"/>
          <w:sz w:val="18"/>
          <w:szCs w:val="18"/>
        </w:rPr>
        <w:t>AD</w:t>
      </w:r>
      <w:r w:rsidR="00217536" w:rsidRPr="00217536">
        <w:rPr>
          <w:rFonts w:ascii="Titillium" w:hAnsi="Titillium" w:cs="Calibri"/>
          <w:color w:val="5B9BD5" w:themeColor="accent1"/>
          <w:sz w:val="18"/>
          <w:szCs w:val="18"/>
        </w:rPr>
        <w:t xml:space="preserve"> </w:t>
      </w:r>
      <w:r>
        <w:rPr>
          <w:rFonts w:ascii="Titillium" w:hAnsi="Titillium" w:cs="Calibri"/>
          <w:sz w:val="18"/>
          <w:szCs w:val="18"/>
        </w:rPr>
        <w:t xml:space="preserve">consente la prosecuzione della procedura ai soli concorrenti ammessi alla valutazione delle offerte economiche. </w:t>
      </w:r>
    </w:p>
    <w:p w14:paraId="0F8CE1F3" w14:textId="1A4C24F7" w:rsidR="006842EE" w:rsidRDefault="00305799">
      <w:pPr>
        <w:rPr>
          <w:rFonts w:ascii="Titillium" w:hAnsi="Titillium"/>
          <w:sz w:val="18"/>
          <w:szCs w:val="18"/>
        </w:rPr>
      </w:pPr>
      <w:r w:rsidRPr="00EE01A0">
        <w:rPr>
          <w:rFonts w:ascii="Titillium" w:hAnsi="Titillium" w:cs="Calibri"/>
          <w:sz w:val="18"/>
          <w:szCs w:val="18"/>
        </w:rPr>
        <w:t>La/</w:t>
      </w:r>
      <w:r w:rsidRPr="00A543AF">
        <w:rPr>
          <w:rFonts w:ascii="Titillium" w:hAnsi="Titillium" w:cs="Calibri"/>
          <w:sz w:val="18"/>
          <w:szCs w:val="18"/>
        </w:rPr>
        <w:t xml:space="preserve">il </w:t>
      </w:r>
      <w:r w:rsidR="00BA752A">
        <w:rPr>
          <w:rFonts w:ascii="Titillium" w:hAnsi="Titillium" w:cs="Calibri"/>
          <w:sz w:val="18"/>
          <w:szCs w:val="18"/>
        </w:rPr>
        <w:t xml:space="preserve">… </w:t>
      </w:r>
      <w:r w:rsidRPr="00A543AF">
        <w:rPr>
          <w:rFonts w:ascii="Titillium" w:hAnsi="Titillium" w:cs="Calibri"/>
          <w:sz w:val="18"/>
          <w:szCs w:val="18"/>
        </w:rPr>
        <w:t>[</w:t>
      </w:r>
      <w:r w:rsidRPr="00EE01A0">
        <w:rPr>
          <w:rFonts w:ascii="Titillium" w:hAnsi="Titillium" w:cs="Calibri"/>
          <w:i/>
          <w:iCs/>
          <w:sz w:val="18"/>
          <w:szCs w:val="18"/>
        </w:rPr>
        <w:t>scegliere tra Commissione giudicatrice</w:t>
      </w:r>
      <w:r w:rsidRPr="00A250C6">
        <w:rPr>
          <w:rFonts w:ascii="Titillium" w:hAnsi="Titillium" w:cs="Calibri"/>
          <w:i/>
          <w:iCs/>
          <w:sz w:val="18"/>
          <w:szCs w:val="18"/>
        </w:rPr>
        <w:t xml:space="preserve">, </w:t>
      </w:r>
      <w:r w:rsidRPr="0012671C">
        <w:rPr>
          <w:rFonts w:ascii="Titillium" w:hAnsi="Titillium" w:cs="Calibri"/>
          <w:i/>
          <w:iCs/>
          <w:sz w:val="18"/>
          <w:szCs w:val="18"/>
        </w:rPr>
        <w:t xml:space="preserve">RUP, responsabile di fase, apposito ufficio o servizio a ciò deputato, sulla base delle disposizioni organizzative proprie della stazione appaltante] </w:t>
      </w:r>
      <w:r w:rsidR="008F2625" w:rsidRPr="0012671C">
        <w:rPr>
          <w:rFonts w:ascii="Titillium" w:hAnsi="Titillium" w:cs="Calibri"/>
          <w:sz w:val="18"/>
          <w:szCs w:val="18"/>
        </w:rPr>
        <w:t xml:space="preserve">procede </w:t>
      </w:r>
      <w:r w:rsidR="008F2625" w:rsidRPr="0012671C">
        <w:rPr>
          <w:rFonts w:ascii="Titillium" w:hAnsi="Titillium" w:cs="Calibri"/>
          <w:i/>
          <w:sz w:val="18"/>
          <w:szCs w:val="18"/>
        </w:rPr>
        <w:t>[nel caso di gara a più lotti: relativamente a ciascun singolo lotto]</w:t>
      </w:r>
      <w:r w:rsidR="008F2625" w:rsidRPr="0012671C">
        <w:rPr>
          <w:rFonts w:ascii="Titillium" w:hAnsi="Titillium" w:cs="Calibri"/>
          <w:sz w:val="18"/>
          <w:szCs w:val="18"/>
        </w:rPr>
        <w:t xml:space="preserve"> all’apertura</w:t>
      </w:r>
      <w:r w:rsidR="00BA3C76" w:rsidRPr="0012671C">
        <w:rPr>
          <w:rFonts w:ascii="Titillium" w:hAnsi="Titillium" w:cs="Calibri"/>
          <w:sz w:val="18"/>
          <w:szCs w:val="18"/>
        </w:rPr>
        <w:t xml:space="preserve"> delle offerte economiche. La Commissione giudicatrice procede </w:t>
      </w:r>
      <w:r w:rsidR="008F2625" w:rsidRPr="0012671C">
        <w:rPr>
          <w:rFonts w:ascii="Titillium" w:hAnsi="Titillium" w:cs="Calibri"/>
          <w:sz w:val="18"/>
          <w:szCs w:val="18"/>
        </w:rPr>
        <w:t>alla</w:t>
      </w:r>
      <w:r w:rsidR="008F2625">
        <w:rPr>
          <w:rFonts w:ascii="Titillium" w:hAnsi="Titillium" w:cs="Calibri"/>
          <w:sz w:val="18"/>
          <w:szCs w:val="18"/>
        </w:rPr>
        <w:t xml:space="preserve"> valutazione delle </w:t>
      </w:r>
      <w:r w:rsidR="008F2625">
        <w:rPr>
          <w:rFonts w:ascii="Titilium" w:hAnsi="Titilium" w:cs="Calibri"/>
          <w:sz w:val="18"/>
          <w:szCs w:val="18"/>
        </w:rPr>
        <w:t>of</w:t>
      </w:r>
      <w:r w:rsidR="008F2625">
        <w:rPr>
          <w:rFonts w:ascii="Titillium" w:hAnsi="Titillium" w:cs="Calibri"/>
          <w:sz w:val="18"/>
          <w:szCs w:val="18"/>
        </w:rPr>
        <w:t xml:space="preserve">ferte economiche, secondo i criteri e le modalità descritte nel disciplinare e, successivamente, </w:t>
      </w:r>
      <w:r w:rsidR="008F2625">
        <w:rPr>
          <w:rFonts w:ascii="Titillium" w:hAnsi="Titillium"/>
          <w:sz w:val="18"/>
          <w:szCs w:val="18"/>
        </w:rPr>
        <w:t xml:space="preserve">all’individuazione dell’unico parametro numerico finale per la formulazione della graduatoria. </w:t>
      </w:r>
      <w:r w:rsidR="00A250C6">
        <w:rPr>
          <w:rFonts w:ascii="Titillium" w:hAnsi="Titillium"/>
          <w:sz w:val="18"/>
          <w:szCs w:val="18"/>
        </w:rPr>
        <w:t xml:space="preserve"> </w:t>
      </w:r>
    </w:p>
    <w:p w14:paraId="2AC4ECF6" w14:textId="5B1DAB36" w:rsidR="006842EE" w:rsidRPr="001760EC" w:rsidRDefault="008F2625">
      <w:pPr>
        <w:spacing w:before="60" w:after="60"/>
        <w:rPr>
          <w:rFonts w:ascii="Titillium" w:hAnsi="Titillium"/>
        </w:rPr>
      </w:pPr>
      <w:r>
        <w:rPr>
          <w:rFonts w:ascii="Titillium" w:hAnsi="Titillium" w:cs="Calibri"/>
          <w:sz w:val="18"/>
          <w:szCs w:val="18"/>
        </w:rPr>
        <w:t xml:space="preserve">Nel caso in cui le offerte di due o più concorrenti ottengano lo stesso punteggio complessivo, ma punteggi differenti per il prezzo e per tutti gli altri elementi di valutazione, è collocato primo in graduatoria il concorrente che ha ottenuto il miglior punteggio sul … </w:t>
      </w:r>
      <w:r>
        <w:rPr>
          <w:rFonts w:ascii="Titillium" w:hAnsi="Titillium" w:cs="Calibri"/>
          <w:i/>
          <w:sz w:val="18"/>
          <w:szCs w:val="18"/>
        </w:rPr>
        <w:t>[</w:t>
      </w:r>
      <w:r>
        <w:rPr>
          <w:rFonts w:ascii="Titillium" w:hAnsi="Titillium"/>
          <w:i/>
          <w:sz w:val="18"/>
          <w:szCs w:val="18"/>
          <w:lang w:eastAsia="it-IT"/>
        </w:rPr>
        <w:t>scegliere tra prezzo</w:t>
      </w:r>
      <w:r>
        <w:rPr>
          <w:rFonts w:ascii="Titillium" w:hAnsi="Titillium"/>
          <w:sz w:val="18"/>
          <w:szCs w:val="18"/>
          <w:lang w:eastAsia="it-IT"/>
        </w:rPr>
        <w:t xml:space="preserve"> </w:t>
      </w:r>
      <w:r>
        <w:rPr>
          <w:rFonts w:ascii="Titillium" w:hAnsi="Titillium"/>
          <w:i/>
          <w:sz w:val="18"/>
          <w:szCs w:val="18"/>
          <w:lang w:eastAsia="it-IT"/>
        </w:rPr>
        <w:t>o offerta tecnica</w:t>
      </w:r>
      <w:r w:rsidR="005A322C" w:rsidRPr="001760EC">
        <w:rPr>
          <w:rFonts w:ascii="Titillium" w:hAnsi="Titillium"/>
          <w:i/>
          <w:iCs/>
          <w:sz w:val="18"/>
          <w:szCs w:val="18"/>
        </w:rPr>
        <w:t>]</w:t>
      </w:r>
      <w:r w:rsidR="001760EC">
        <w:rPr>
          <w:rFonts w:ascii="Titillium" w:hAnsi="Titillium"/>
          <w:i/>
          <w:iCs/>
          <w:sz w:val="18"/>
          <w:szCs w:val="18"/>
        </w:rPr>
        <w:t>.</w:t>
      </w:r>
    </w:p>
    <w:p w14:paraId="76B229DC" w14:textId="46E27B95" w:rsidR="00A609C5" w:rsidRDefault="008F2625" w:rsidP="00583E92">
      <w:pPr>
        <w:spacing w:before="60" w:after="60"/>
        <w:rPr>
          <w:rFonts w:ascii="Titillium" w:hAnsi="Titillium" w:cs="Calibri"/>
          <w:sz w:val="18"/>
          <w:szCs w:val="18"/>
        </w:rPr>
      </w:pPr>
      <w:r>
        <w:rPr>
          <w:rFonts w:ascii="Titillium" w:hAnsi="Titillium" w:cs="Calibri"/>
          <w:sz w:val="18"/>
          <w:szCs w:val="18"/>
        </w:rPr>
        <w:t xml:space="preserve">Nel caso in cui le offerte di due o più concorrenti ottengano lo stesso punteggio complessivo e gli stessi punteggi parziali per il prezzo e per l’offerta tecnica, i predetti concorrenti, su richiesta della stazione appaltante, presentano un’offerta migliorativa sul prezzo entro … </w:t>
      </w:r>
      <w:r>
        <w:rPr>
          <w:rFonts w:ascii="Titillium" w:hAnsi="Titillium" w:cs="Calibri"/>
          <w:i/>
          <w:sz w:val="18"/>
          <w:szCs w:val="18"/>
        </w:rPr>
        <w:t>[indicare il termine perentorio di presentazione dell’offerta migliorativa]</w:t>
      </w:r>
      <w:r>
        <w:rPr>
          <w:rFonts w:ascii="Titillium" w:hAnsi="Titillium" w:cs="Calibri"/>
          <w:sz w:val="18"/>
          <w:szCs w:val="18"/>
        </w:rPr>
        <w:t xml:space="preserve">. La richiesta è effettuata secondo le modalità previste al </w:t>
      </w:r>
      <w:r w:rsidR="00743BE0">
        <w:rPr>
          <w:rFonts w:ascii="Titillium" w:hAnsi="Titillium" w:cs="Calibri"/>
          <w:sz w:val="18"/>
          <w:szCs w:val="18"/>
        </w:rPr>
        <w:t>paragrafo</w:t>
      </w:r>
      <w:r>
        <w:rPr>
          <w:rFonts w:ascii="Titillium" w:hAnsi="Titillium" w:cs="Calibri"/>
          <w:sz w:val="18"/>
          <w:szCs w:val="18"/>
        </w:rPr>
        <w:t xml:space="preserve"> </w:t>
      </w:r>
      <w:r w:rsidR="00626E5C">
        <w:rPr>
          <w:rFonts w:ascii="Titillium" w:hAnsi="Titillium" w:cs="Calibri"/>
          <w:sz w:val="18"/>
          <w:szCs w:val="18"/>
        </w:rPr>
        <w:t xml:space="preserve">2.3. </w:t>
      </w:r>
    </w:p>
    <w:p w14:paraId="367718DD" w14:textId="2BFDDA4F" w:rsidR="00583E92" w:rsidRPr="00626E5C" w:rsidRDefault="008F2625" w:rsidP="00583E92">
      <w:pPr>
        <w:spacing w:before="60" w:after="60"/>
        <w:rPr>
          <w:rFonts w:ascii="Titillium" w:hAnsi="Titillium"/>
          <w:strike/>
          <w:sz w:val="18"/>
          <w:szCs w:val="18"/>
        </w:rPr>
      </w:pPr>
      <w:r>
        <w:rPr>
          <w:rFonts w:ascii="Titillium" w:hAnsi="Titillium" w:cs="Calibri"/>
          <w:sz w:val="18"/>
          <w:szCs w:val="18"/>
        </w:rPr>
        <w:t xml:space="preserve">È collocato primo in graduatoria il concorrente che ha presentato la migliore offerta. Ove permanga l’ex aequo la commissione procede mediante sorteggio </w:t>
      </w:r>
      <w:r>
        <w:rPr>
          <w:rFonts w:ascii="Titillium" w:hAnsi="Titillium"/>
          <w:sz w:val="18"/>
          <w:szCs w:val="18"/>
        </w:rPr>
        <w:t>ad individuare il concorrente che verrà collocato primo nella graduatoria</w:t>
      </w:r>
    </w:p>
    <w:p w14:paraId="373C07E1" w14:textId="7CE83F99" w:rsidR="00626E5C" w:rsidRPr="00305799" w:rsidRDefault="00626E5C" w:rsidP="00583E92">
      <w:pPr>
        <w:spacing w:before="60" w:after="60"/>
        <w:rPr>
          <w:rFonts w:ascii="Titillium" w:hAnsi="Titillium"/>
          <w:sz w:val="18"/>
          <w:szCs w:val="18"/>
        </w:rPr>
      </w:pPr>
      <w:r w:rsidRPr="00305799">
        <w:rPr>
          <w:rFonts w:ascii="Titillium" w:hAnsi="Titillium"/>
          <w:sz w:val="18"/>
          <w:szCs w:val="18"/>
        </w:rPr>
        <w:t xml:space="preserve">La data e l’ora in cui si procede al </w:t>
      </w:r>
      <w:r w:rsidR="00B511CF" w:rsidRPr="00305799">
        <w:rPr>
          <w:rFonts w:ascii="Titillium" w:hAnsi="Titillium"/>
          <w:sz w:val="18"/>
          <w:szCs w:val="18"/>
        </w:rPr>
        <w:t>sorteggio sono</w:t>
      </w:r>
      <w:r w:rsidRPr="00305799">
        <w:rPr>
          <w:rFonts w:ascii="Titillium" w:hAnsi="Titillium"/>
          <w:sz w:val="18"/>
          <w:szCs w:val="18"/>
        </w:rPr>
        <w:t xml:space="preserve"> comunicate tramite la PAD secondo le modalità previste p</w:t>
      </w:r>
      <w:r w:rsidR="00743BE0">
        <w:rPr>
          <w:rFonts w:ascii="Titillium" w:hAnsi="Titillium"/>
          <w:sz w:val="18"/>
          <w:szCs w:val="18"/>
        </w:rPr>
        <w:t>aragrafo</w:t>
      </w:r>
      <w:r w:rsidRPr="00305799">
        <w:rPr>
          <w:rFonts w:ascii="Titillium" w:hAnsi="Titillium"/>
          <w:sz w:val="18"/>
          <w:szCs w:val="18"/>
        </w:rPr>
        <w:t xml:space="preserve"> 2.3.</w:t>
      </w:r>
    </w:p>
    <w:p w14:paraId="0C30872A" w14:textId="17546449" w:rsidR="00583E92" w:rsidRDefault="00583E92">
      <w:pPr>
        <w:spacing w:before="60" w:after="60"/>
        <w:rPr>
          <w:rFonts w:ascii="Titillium" w:hAnsi="Titillium"/>
          <w:sz w:val="18"/>
          <w:szCs w:val="18"/>
        </w:rPr>
      </w:pPr>
      <w:r w:rsidRPr="00305799">
        <w:rPr>
          <w:rFonts w:ascii="Titillium" w:hAnsi="Titillium"/>
          <w:sz w:val="18"/>
          <w:szCs w:val="18"/>
        </w:rPr>
        <w:t xml:space="preserve">Nel caso in cui le offerte con identico punteggio complessivo </w:t>
      </w:r>
      <w:r w:rsidR="001760EC" w:rsidRPr="00305799">
        <w:rPr>
          <w:rFonts w:ascii="Titillium" w:hAnsi="Titillium"/>
          <w:sz w:val="18"/>
          <w:szCs w:val="18"/>
        </w:rPr>
        <w:t>e</w:t>
      </w:r>
      <w:r w:rsidRPr="00305799">
        <w:rPr>
          <w:rFonts w:ascii="Titillium" w:hAnsi="Titillium"/>
          <w:sz w:val="18"/>
          <w:szCs w:val="18"/>
        </w:rPr>
        <w:t xml:space="preserve"> </w:t>
      </w:r>
      <w:r w:rsidR="009B5F75" w:rsidRPr="00305799">
        <w:rPr>
          <w:rFonts w:ascii="Titillium" w:hAnsi="Titillium"/>
          <w:sz w:val="18"/>
          <w:szCs w:val="18"/>
        </w:rPr>
        <w:t>identici punteggi</w:t>
      </w:r>
      <w:r w:rsidRPr="00305799">
        <w:rPr>
          <w:rFonts w:ascii="Titillium" w:hAnsi="Titillium"/>
          <w:sz w:val="18"/>
          <w:szCs w:val="18"/>
        </w:rPr>
        <w:t xml:space="preserve"> parziali siano più di due la richiesta di offerta migliorativa, da effettuarsi nei termini sopra precisati, va presentata a tutti i concorrenti con offerte equivalenti. Ove permanga l’ex aequo la commissione procede mediante sorteggio ad individuare il concorrente che verrà collocato primo nella graduatoria</w:t>
      </w:r>
      <w:r w:rsidR="003064A8" w:rsidRPr="00305799">
        <w:rPr>
          <w:rFonts w:ascii="Titillium" w:hAnsi="Titillium"/>
          <w:sz w:val="18"/>
          <w:szCs w:val="18"/>
        </w:rPr>
        <w:t xml:space="preserve"> e</w:t>
      </w:r>
      <w:r w:rsidRPr="00305799">
        <w:rPr>
          <w:rFonts w:ascii="Titillium" w:hAnsi="Titillium"/>
          <w:sz w:val="18"/>
          <w:szCs w:val="18"/>
        </w:rPr>
        <w:t xml:space="preserve"> chi sarà collocato al secondo posto</w:t>
      </w:r>
      <w:r w:rsidR="003064A8" w:rsidRPr="00305799">
        <w:rPr>
          <w:rFonts w:ascii="Titillium" w:hAnsi="Titillium"/>
          <w:sz w:val="18"/>
          <w:szCs w:val="18"/>
        </w:rPr>
        <w:t xml:space="preserve"> ed eventualmente (in base al numero delle offerte risultanti in ex </w:t>
      </w:r>
      <w:r w:rsidR="00D13DF6" w:rsidRPr="00305799">
        <w:rPr>
          <w:rFonts w:ascii="Titillium" w:hAnsi="Titillium"/>
          <w:sz w:val="18"/>
          <w:szCs w:val="18"/>
        </w:rPr>
        <w:t>aequo) nei</w:t>
      </w:r>
      <w:r w:rsidR="003064A8" w:rsidRPr="00305799">
        <w:rPr>
          <w:rFonts w:ascii="Titillium" w:hAnsi="Titillium"/>
          <w:sz w:val="18"/>
          <w:szCs w:val="18"/>
        </w:rPr>
        <w:t xml:space="preserve"> posti successivi. </w:t>
      </w:r>
      <w:r w:rsidR="00626E5C" w:rsidRPr="00305799">
        <w:rPr>
          <w:rFonts w:ascii="Titillium" w:hAnsi="Titillium"/>
          <w:sz w:val="18"/>
          <w:szCs w:val="18"/>
        </w:rPr>
        <w:t xml:space="preserve">La data e l’ora in cui si procede al </w:t>
      </w:r>
      <w:r w:rsidR="00910E18" w:rsidRPr="00305799">
        <w:rPr>
          <w:rFonts w:ascii="Titillium" w:hAnsi="Titillium"/>
          <w:sz w:val="18"/>
          <w:szCs w:val="18"/>
        </w:rPr>
        <w:t>sorteggio sono</w:t>
      </w:r>
      <w:r w:rsidR="00626E5C" w:rsidRPr="00305799">
        <w:rPr>
          <w:rFonts w:ascii="Titillium" w:hAnsi="Titillium"/>
          <w:sz w:val="18"/>
          <w:szCs w:val="18"/>
        </w:rPr>
        <w:t xml:space="preserve"> comunicate tramite la PAD secondo le modalità previste p</w:t>
      </w:r>
      <w:r w:rsidR="00743BE0">
        <w:rPr>
          <w:rFonts w:ascii="Titillium" w:hAnsi="Titillium"/>
          <w:sz w:val="18"/>
          <w:szCs w:val="18"/>
        </w:rPr>
        <w:t>aragrafo</w:t>
      </w:r>
      <w:r w:rsidR="00626E5C" w:rsidRPr="00305799">
        <w:rPr>
          <w:rFonts w:ascii="Titillium" w:hAnsi="Titillium"/>
          <w:sz w:val="18"/>
          <w:szCs w:val="18"/>
        </w:rPr>
        <w:t xml:space="preserve"> 2.3.</w:t>
      </w:r>
    </w:p>
    <w:p w14:paraId="5FC3705B" w14:textId="44ACDE7E" w:rsidR="006842EE" w:rsidRDefault="008F2625">
      <w:pPr>
        <w:spacing w:before="60" w:after="60"/>
      </w:pPr>
      <w:r>
        <w:rPr>
          <w:rFonts w:ascii="Titillium" w:hAnsi="Titillium"/>
          <w:sz w:val="18"/>
          <w:szCs w:val="18"/>
        </w:rPr>
        <w:t xml:space="preserve"> </w:t>
      </w:r>
    </w:p>
    <w:tbl>
      <w:tblPr>
        <w:tblStyle w:val="Grigliatabella"/>
        <w:tblW w:w="0" w:type="auto"/>
        <w:tblLook w:val="04A0" w:firstRow="1" w:lastRow="0" w:firstColumn="1" w:lastColumn="0" w:noHBand="0" w:noVBand="1"/>
      </w:tblPr>
      <w:tblGrid>
        <w:gridCol w:w="9214"/>
      </w:tblGrid>
      <w:tr w:rsidR="00B75A48" w14:paraId="18F71CF4" w14:textId="77777777" w:rsidTr="00B75A48">
        <w:tc>
          <w:tcPr>
            <w:tcW w:w="9214" w:type="dxa"/>
          </w:tcPr>
          <w:p w14:paraId="1F5B9F33" w14:textId="15169674" w:rsidR="00D635C5" w:rsidRPr="00B511CF" w:rsidRDefault="009027F5" w:rsidP="00D13DF6">
            <w:pPr>
              <w:rPr>
                <w:rFonts w:ascii="Titillium" w:hAnsi="Titillium" w:cs="Calibri"/>
                <w:sz w:val="18"/>
                <w:szCs w:val="18"/>
              </w:rPr>
            </w:pPr>
            <w:r w:rsidRPr="00690A3A">
              <w:rPr>
                <w:rFonts w:ascii="Titillium" w:hAnsi="Titillium" w:cs="Calibri"/>
                <w:i/>
                <w:iCs/>
                <w:sz w:val="18"/>
                <w:szCs w:val="18"/>
              </w:rPr>
              <w:t xml:space="preserve">Per esigenza di maggior chiarezza, </w:t>
            </w:r>
            <w:r w:rsidR="00D635C5" w:rsidRPr="00690A3A">
              <w:rPr>
                <w:rFonts w:ascii="Titillium" w:hAnsi="Titillium" w:cs="Calibri"/>
                <w:i/>
                <w:iCs/>
                <w:sz w:val="18"/>
                <w:szCs w:val="18"/>
              </w:rPr>
              <w:t xml:space="preserve">è stata </w:t>
            </w:r>
            <w:r w:rsidRPr="00690A3A">
              <w:rPr>
                <w:rFonts w:ascii="Titillium" w:hAnsi="Titillium" w:cs="Calibri"/>
                <w:i/>
                <w:iCs/>
                <w:sz w:val="18"/>
                <w:szCs w:val="18"/>
              </w:rPr>
              <w:t xml:space="preserve">espressamente </w:t>
            </w:r>
            <w:r w:rsidR="00D635C5" w:rsidRPr="00690A3A">
              <w:rPr>
                <w:rFonts w:ascii="Titillium" w:hAnsi="Titillium" w:cs="Calibri"/>
                <w:i/>
                <w:iCs/>
                <w:sz w:val="18"/>
                <w:szCs w:val="18"/>
              </w:rPr>
              <w:t xml:space="preserve">prevista anche l’ipotesi in cui la situazione </w:t>
            </w:r>
            <w:r w:rsidR="00305799" w:rsidRPr="00690A3A">
              <w:rPr>
                <w:rFonts w:ascii="Titillium" w:hAnsi="Titillium" w:cs="Calibri"/>
                <w:i/>
                <w:iCs/>
                <w:sz w:val="18"/>
                <w:szCs w:val="18"/>
              </w:rPr>
              <w:t xml:space="preserve">dell’ex aequo </w:t>
            </w:r>
            <w:r w:rsidR="00D635C5" w:rsidRPr="00690A3A">
              <w:rPr>
                <w:rFonts w:ascii="Titillium" w:hAnsi="Titillium" w:cs="Calibri"/>
                <w:i/>
                <w:iCs/>
                <w:sz w:val="18"/>
                <w:szCs w:val="18"/>
              </w:rPr>
              <w:t>riguardi più di due offerte</w:t>
            </w:r>
            <w:r w:rsidR="00D635C5" w:rsidRPr="00305799">
              <w:rPr>
                <w:rFonts w:ascii="Titillium" w:hAnsi="Titillium" w:cs="Calibri"/>
                <w:sz w:val="18"/>
                <w:szCs w:val="18"/>
              </w:rPr>
              <w:t>.</w:t>
            </w:r>
            <w:r w:rsidR="00D635C5" w:rsidRPr="00626E5C">
              <w:rPr>
                <w:rFonts w:ascii="Titillium" w:hAnsi="Titillium" w:cs="Calibri"/>
                <w:sz w:val="18"/>
                <w:szCs w:val="18"/>
              </w:rPr>
              <w:t xml:space="preserve"> </w:t>
            </w:r>
          </w:p>
        </w:tc>
      </w:tr>
    </w:tbl>
    <w:p w14:paraId="060EB7E5" w14:textId="77777777" w:rsidR="00B75A48" w:rsidRDefault="00B75A48">
      <w:pPr>
        <w:spacing w:before="60" w:after="60"/>
        <w:rPr>
          <w:rFonts w:ascii="Titillium" w:hAnsi="Titillium" w:cs="Calibri"/>
          <w:sz w:val="18"/>
          <w:szCs w:val="18"/>
        </w:rPr>
      </w:pPr>
    </w:p>
    <w:p w14:paraId="67BA4ED7" w14:textId="269ED844" w:rsidR="006842EE" w:rsidRDefault="00305799">
      <w:pPr>
        <w:spacing w:before="60" w:after="60"/>
        <w:rPr>
          <w:rFonts w:ascii="Titillium" w:hAnsi="Titillium" w:cs="Calibri"/>
          <w:sz w:val="18"/>
          <w:szCs w:val="18"/>
        </w:rPr>
      </w:pPr>
      <w:r w:rsidRPr="00305799">
        <w:rPr>
          <w:rFonts w:ascii="Titillium" w:hAnsi="Titillium" w:cs="Calibri"/>
          <w:sz w:val="18"/>
          <w:szCs w:val="18"/>
        </w:rPr>
        <w:t>La/il</w:t>
      </w:r>
      <w:r w:rsidR="00BA752A">
        <w:rPr>
          <w:rFonts w:ascii="Titillium" w:hAnsi="Titillium" w:cs="Calibri"/>
          <w:sz w:val="18"/>
          <w:szCs w:val="18"/>
        </w:rPr>
        <w:t xml:space="preserve"> …</w:t>
      </w:r>
      <w:r w:rsidRPr="00305799">
        <w:rPr>
          <w:rFonts w:ascii="Titillium" w:hAnsi="Titillium" w:cs="Calibri"/>
          <w:sz w:val="18"/>
          <w:szCs w:val="18"/>
        </w:rPr>
        <w:t xml:space="preserve"> [</w:t>
      </w:r>
      <w:r w:rsidRPr="00305799">
        <w:rPr>
          <w:rFonts w:ascii="Titillium" w:hAnsi="Titillium" w:cs="Calibri"/>
          <w:i/>
          <w:iCs/>
          <w:sz w:val="18"/>
          <w:szCs w:val="18"/>
        </w:rPr>
        <w:t>scegliere tra Commissione giudicatrice, RUP, responsabile di fase, apposito ufficio o servizio a ciò deputato, sulla base delle disposizioni organizzative proprie della stazione appaltante</w:t>
      </w:r>
      <w:r w:rsidRPr="00305799">
        <w:rPr>
          <w:rFonts w:ascii="Titillium" w:hAnsi="Titillium" w:cs="Calibri"/>
          <w:sz w:val="18"/>
          <w:szCs w:val="18"/>
        </w:rPr>
        <w:t xml:space="preserve">] </w:t>
      </w:r>
      <w:r w:rsidR="008F2625">
        <w:rPr>
          <w:rFonts w:ascii="Titillium" w:hAnsi="Titillium" w:cs="Calibri"/>
          <w:sz w:val="18"/>
          <w:szCs w:val="18"/>
        </w:rPr>
        <w:t>rende visibile ai concorrenti, prezzi offerti.</w:t>
      </w:r>
    </w:p>
    <w:p w14:paraId="716F6AA4" w14:textId="3C65C5E9" w:rsidR="006842EE" w:rsidRDefault="008F2625">
      <w:pPr>
        <w:spacing w:before="60" w:after="60"/>
        <w:rPr>
          <w:rFonts w:ascii="Titillium" w:hAnsi="Titillium" w:cs="Calibri"/>
          <w:sz w:val="18"/>
          <w:szCs w:val="18"/>
        </w:rPr>
      </w:pPr>
      <w:r>
        <w:rPr>
          <w:rFonts w:ascii="Titillium" w:hAnsi="Titillium" w:cs="Calibri"/>
          <w:sz w:val="18"/>
          <w:szCs w:val="18"/>
        </w:rPr>
        <w:t>All’esito delle operazioni di cui sopra,</w:t>
      </w:r>
      <w:r w:rsidR="00305799" w:rsidRPr="00305799">
        <w:t xml:space="preserve"> </w:t>
      </w:r>
      <w:r w:rsidR="00305799" w:rsidRPr="001760EC">
        <w:rPr>
          <w:rFonts w:ascii="Titillium" w:hAnsi="Titillium"/>
          <w:sz w:val="18"/>
          <w:szCs w:val="18"/>
        </w:rPr>
        <w:t>l</w:t>
      </w:r>
      <w:r w:rsidR="00305799" w:rsidRPr="001760EC">
        <w:rPr>
          <w:rFonts w:ascii="Titillium" w:hAnsi="Titillium" w:cs="Calibri"/>
          <w:sz w:val="18"/>
          <w:szCs w:val="18"/>
        </w:rPr>
        <w:t>a/il</w:t>
      </w:r>
      <w:r w:rsidR="00305799" w:rsidRPr="00305799">
        <w:rPr>
          <w:rFonts w:ascii="Titillium" w:hAnsi="Titillium" w:cs="Calibri"/>
          <w:sz w:val="18"/>
          <w:szCs w:val="18"/>
        </w:rPr>
        <w:t xml:space="preserve"> [</w:t>
      </w:r>
      <w:r w:rsidR="00305799" w:rsidRPr="00EE01A0">
        <w:rPr>
          <w:rFonts w:ascii="Titillium" w:hAnsi="Titillium" w:cs="Calibri"/>
          <w:i/>
          <w:iCs/>
          <w:sz w:val="18"/>
          <w:szCs w:val="18"/>
        </w:rPr>
        <w:t xml:space="preserve">scegliere tra Commissione giudicatrice, RUP, responsabile di fase, apposito ufficio o servizio a ciò deputato, sulla base delle disposizioni organizzative proprie della stazione </w:t>
      </w:r>
      <w:r w:rsidR="00B511CF" w:rsidRPr="00EE01A0">
        <w:rPr>
          <w:rFonts w:ascii="Titillium" w:hAnsi="Titillium" w:cs="Calibri"/>
          <w:i/>
          <w:iCs/>
          <w:sz w:val="18"/>
          <w:szCs w:val="18"/>
        </w:rPr>
        <w:t>appaltante</w:t>
      </w:r>
      <w:r w:rsidR="00B511CF" w:rsidRPr="00305799">
        <w:rPr>
          <w:rFonts w:ascii="Titillium" w:hAnsi="Titillium" w:cs="Calibri"/>
          <w:sz w:val="18"/>
          <w:szCs w:val="18"/>
        </w:rPr>
        <w:t>]</w:t>
      </w:r>
      <w:r w:rsidR="00B511CF" w:rsidRPr="006D05C1">
        <w:rPr>
          <w:rFonts w:ascii="Titillium" w:hAnsi="Titillium" w:cs="Calibri"/>
          <w:sz w:val="18"/>
          <w:szCs w:val="18"/>
        </w:rPr>
        <w:t xml:space="preserve"> </w:t>
      </w:r>
      <w:r w:rsidR="00B511CF">
        <w:rPr>
          <w:rFonts w:ascii="Titillium" w:hAnsi="Titillium" w:cs="Calibri"/>
          <w:sz w:val="18"/>
          <w:szCs w:val="18"/>
        </w:rPr>
        <w:t>redige</w:t>
      </w:r>
      <w:r>
        <w:rPr>
          <w:rFonts w:ascii="Titillium" w:hAnsi="Titillium" w:cs="Calibri"/>
          <w:sz w:val="18"/>
          <w:szCs w:val="18"/>
        </w:rPr>
        <w:t xml:space="preserve"> la graduatoria.</w:t>
      </w:r>
    </w:p>
    <w:p w14:paraId="5A5AFBEE" w14:textId="77777777" w:rsidR="006842EE" w:rsidRDefault="006842EE">
      <w:pPr>
        <w:spacing w:before="60" w:after="60"/>
      </w:pPr>
    </w:p>
    <w:p w14:paraId="6F7FB818" w14:textId="77777777" w:rsidR="006842EE" w:rsidRDefault="008F2625">
      <w:pPr>
        <w:spacing w:before="60" w:after="60"/>
      </w:pPr>
      <w:r>
        <w:rPr>
          <w:rFonts w:ascii="Titillium" w:hAnsi="Titillium" w:cs="Calibri"/>
          <w:sz w:val="18"/>
          <w:szCs w:val="18"/>
        </w:rPr>
        <w:t>L’offerta è esclusa in caso di:</w:t>
      </w:r>
    </w:p>
    <w:p w14:paraId="11C65A5F" w14:textId="0C02E12A" w:rsidR="006842EE" w:rsidRDefault="008F2625" w:rsidP="00D26F03">
      <w:pPr>
        <w:pStyle w:val="Paragrafoelenco"/>
        <w:numPr>
          <w:ilvl w:val="0"/>
          <w:numId w:val="19"/>
        </w:numPr>
        <w:spacing w:before="60" w:after="60"/>
        <w:ind w:left="426"/>
        <w:rPr>
          <w:rFonts w:ascii="Titillium" w:hAnsi="Titillium" w:cs="Calibri"/>
          <w:sz w:val="18"/>
          <w:szCs w:val="18"/>
        </w:rPr>
      </w:pPr>
      <w:r>
        <w:rPr>
          <w:rFonts w:ascii="Titillium" w:hAnsi="Titillium" w:cs="Calibri"/>
          <w:sz w:val="18"/>
          <w:szCs w:val="18"/>
        </w:rPr>
        <w:t xml:space="preserve">mancata separazione dell’offerta economica </w:t>
      </w:r>
      <w:r w:rsidR="005C3085" w:rsidRPr="00D14C42">
        <w:rPr>
          <w:rFonts w:ascii="Titillium" w:hAnsi="Titillium" w:cs="Calibri"/>
          <w:sz w:val="18"/>
          <w:szCs w:val="18"/>
        </w:rPr>
        <w:t>[</w:t>
      </w:r>
      <w:r w:rsidR="00576D75" w:rsidRPr="001760EC">
        <w:rPr>
          <w:rFonts w:ascii="Titillium" w:hAnsi="Titillium" w:cs="Calibri"/>
          <w:i/>
          <w:iCs/>
          <w:sz w:val="18"/>
          <w:szCs w:val="18"/>
        </w:rPr>
        <w:t>facoltativ</w:t>
      </w:r>
      <w:r w:rsidR="006D1A97" w:rsidRPr="001760EC">
        <w:rPr>
          <w:rFonts w:ascii="Titillium" w:hAnsi="Titillium" w:cs="Calibri"/>
          <w:i/>
          <w:iCs/>
          <w:sz w:val="18"/>
          <w:szCs w:val="18"/>
        </w:rPr>
        <w:t>o</w:t>
      </w:r>
      <w:r w:rsidR="00576D75" w:rsidRPr="00D14C42">
        <w:rPr>
          <w:rFonts w:ascii="Titillium" w:hAnsi="Titillium" w:cs="Calibri"/>
          <w:sz w:val="18"/>
          <w:szCs w:val="18"/>
        </w:rPr>
        <w:t>] e tempo</w:t>
      </w:r>
      <w:r w:rsidR="00576D75">
        <w:rPr>
          <w:rFonts w:ascii="Titillium" w:hAnsi="Titillium" w:cs="Calibri"/>
          <w:sz w:val="18"/>
          <w:szCs w:val="18"/>
        </w:rPr>
        <w:t xml:space="preserve"> </w:t>
      </w:r>
      <w:r>
        <w:rPr>
          <w:rFonts w:ascii="Titillium" w:hAnsi="Titillium" w:cs="Calibri"/>
          <w:sz w:val="18"/>
          <w:szCs w:val="18"/>
        </w:rPr>
        <w:t>dall’offerta tecnica, ovvero inserimento di elementi concernenti il prezzo nella documentazione amministrativa o nell’offerta tecnica;</w:t>
      </w:r>
    </w:p>
    <w:p w14:paraId="0185A67D" w14:textId="77777777" w:rsidR="006842EE" w:rsidRDefault="008F2625" w:rsidP="00D26F03">
      <w:pPr>
        <w:pStyle w:val="Paragrafoelenco"/>
        <w:numPr>
          <w:ilvl w:val="0"/>
          <w:numId w:val="19"/>
        </w:numPr>
        <w:spacing w:before="60" w:after="60"/>
        <w:ind w:left="426"/>
      </w:pPr>
      <w:r>
        <w:rPr>
          <w:rFonts w:ascii="Titillium" w:hAnsi="Titillium" w:cs="Calibri"/>
          <w:sz w:val="18"/>
          <w:szCs w:val="18"/>
        </w:rPr>
        <w:t>presentazione di</w:t>
      </w:r>
      <w:r>
        <w:rPr>
          <w:rFonts w:ascii="Titillium" w:hAnsi="Titillium" w:cs="Calibri"/>
          <w:b/>
          <w:sz w:val="18"/>
          <w:szCs w:val="18"/>
        </w:rPr>
        <w:t xml:space="preserve"> </w:t>
      </w:r>
      <w:r>
        <w:rPr>
          <w:rFonts w:ascii="Titillium" w:hAnsi="Titillium" w:cs="Calibri"/>
          <w:sz w:val="18"/>
          <w:szCs w:val="18"/>
        </w:rPr>
        <w:t>offerte parziali, plurime, condizionate, alternative oppure irregolari in quanto non rispettano i documenti di gara, ivi comprese le specifiche tecniche, o anormalmente basse;</w:t>
      </w:r>
    </w:p>
    <w:p w14:paraId="7F50B0D2" w14:textId="77777777" w:rsidR="006842EE" w:rsidRDefault="008F2625" w:rsidP="00D26F03">
      <w:pPr>
        <w:pStyle w:val="Paragrafoelenco"/>
        <w:numPr>
          <w:ilvl w:val="0"/>
          <w:numId w:val="19"/>
        </w:numPr>
        <w:spacing w:before="60" w:after="60"/>
        <w:ind w:left="426"/>
        <w:rPr>
          <w:rFonts w:ascii="Titillium" w:hAnsi="Titillium" w:cs="Calibri"/>
          <w:sz w:val="18"/>
          <w:szCs w:val="18"/>
        </w:rPr>
      </w:pPr>
      <w:r>
        <w:rPr>
          <w:rFonts w:ascii="Titillium" w:hAnsi="Titillium" w:cs="Calibri"/>
          <w:sz w:val="18"/>
          <w:szCs w:val="18"/>
        </w:rPr>
        <w:t>presentazione di offerte inammissibili in quanto la commissione giudicatrice ha ritenuto sussistenti gli estremi per l’informativa alla Procura della Repubblica per reati di corruzione o fenomeni collusivi o ha verificato essere in aumento rispetto all’importo a base di gara;</w:t>
      </w:r>
    </w:p>
    <w:p w14:paraId="559C56F5" w14:textId="77777777" w:rsidR="006842EE" w:rsidRDefault="008F2625" w:rsidP="00D26F03">
      <w:pPr>
        <w:pStyle w:val="Paragrafoelenco"/>
        <w:numPr>
          <w:ilvl w:val="0"/>
          <w:numId w:val="19"/>
        </w:numPr>
        <w:spacing w:before="60" w:after="60"/>
        <w:ind w:left="426"/>
      </w:pPr>
      <w:r>
        <w:rPr>
          <w:rFonts w:ascii="Titillium" w:hAnsi="Titillium" w:cs="Calibri"/>
          <w:b/>
          <w:i/>
          <w:sz w:val="18"/>
          <w:szCs w:val="18"/>
        </w:rPr>
        <w:t xml:space="preserve">[Facoltativo in caso di mancato superamento della soglia di sbarramento] </w:t>
      </w:r>
      <w:r>
        <w:rPr>
          <w:rFonts w:ascii="Titillium" w:hAnsi="Titillium" w:cs="Calibri"/>
          <w:sz w:val="18"/>
          <w:szCs w:val="18"/>
        </w:rPr>
        <w:t xml:space="preserve">mancato superamento della soglia di sbarramento per l’offerta tecnica. </w:t>
      </w:r>
    </w:p>
    <w:p w14:paraId="69C0E552" w14:textId="77777777" w:rsidR="006842EE" w:rsidRPr="00A36142" w:rsidRDefault="008F2625" w:rsidP="00D26F03">
      <w:pPr>
        <w:pStyle w:val="Titolo2"/>
        <w:numPr>
          <w:ilvl w:val="0"/>
          <w:numId w:val="55"/>
        </w:numPr>
        <w:ind w:left="357" w:hanging="357"/>
        <w:rPr>
          <w:rFonts w:ascii="Titillium" w:hAnsi="Titillium"/>
          <w:caps w:val="0"/>
          <w:sz w:val="18"/>
          <w:szCs w:val="18"/>
        </w:rPr>
      </w:pPr>
      <w:bookmarkStart w:id="1949" w:name="_Toc381775856"/>
      <w:bookmarkStart w:id="1950" w:name="_Toc485218335"/>
      <w:bookmarkStart w:id="1951" w:name="_Toc484688900"/>
      <w:bookmarkStart w:id="1952" w:name="_Toc484688345"/>
      <w:bookmarkStart w:id="1953" w:name="_Toc484605476"/>
      <w:bookmarkStart w:id="1954" w:name="_Toc484605352"/>
      <w:bookmarkStart w:id="1955" w:name="_Toc484526632"/>
      <w:bookmarkStart w:id="1956" w:name="_Toc484449137"/>
      <w:bookmarkStart w:id="1957" w:name="_Toc484449013"/>
      <w:bookmarkStart w:id="1958" w:name="_Toc484448889"/>
      <w:bookmarkStart w:id="1959" w:name="_Toc484448766"/>
      <w:bookmarkStart w:id="1960" w:name="_Toc484448642"/>
      <w:bookmarkStart w:id="1961" w:name="_Toc484448518"/>
      <w:bookmarkStart w:id="1962" w:name="_Toc484448394"/>
      <w:bookmarkStart w:id="1963" w:name="_Toc484448270"/>
      <w:bookmarkStart w:id="1964" w:name="_Toc484448146"/>
      <w:bookmarkStart w:id="1965" w:name="_Toc484440486"/>
      <w:bookmarkStart w:id="1966" w:name="_Toc484440126"/>
      <w:bookmarkStart w:id="1967" w:name="_Toc484440002"/>
      <w:bookmarkStart w:id="1968" w:name="_Toc484439879"/>
      <w:bookmarkStart w:id="1969" w:name="_Toc484438959"/>
      <w:bookmarkStart w:id="1970" w:name="_Toc484438835"/>
      <w:bookmarkStart w:id="1971" w:name="_Toc484438711"/>
      <w:bookmarkStart w:id="1972" w:name="_Toc484429136"/>
      <w:bookmarkStart w:id="1973" w:name="_Toc484428966"/>
      <w:bookmarkStart w:id="1974" w:name="_Toc484097792"/>
      <w:bookmarkStart w:id="1975" w:name="_Toc484011718"/>
      <w:bookmarkStart w:id="1976" w:name="_Toc484011243"/>
      <w:bookmarkStart w:id="1977" w:name="_Toc484011121"/>
      <w:bookmarkStart w:id="1978" w:name="_Toc484010999"/>
      <w:bookmarkStart w:id="1979" w:name="_Toc484010875"/>
      <w:bookmarkStart w:id="1980" w:name="_Toc484010753"/>
      <w:bookmarkStart w:id="1981" w:name="_Toc483907003"/>
      <w:bookmarkStart w:id="1982" w:name="_Toc3539903981"/>
      <w:bookmarkStart w:id="1983" w:name="_Toc381776132"/>
      <w:bookmarkStart w:id="1984" w:name="_Toc416423376"/>
      <w:bookmarkStart w:id="1985" w:name="_Toc406754193"/>
      <w:bookmarkStart w:id="1986" w:name="_Toc406058392"/>
      <w:bookmarkStart w:id="1987" w:name="_Toc403471284"/>
      <w:bookmarkStart w:id="1988" w:name="_Toc397422877"/>
      <w:bookmarkStart w:id="1989" w:name="_Toc397346836"/>
      <w:bookmarkStart w:id="1990" w:name="_Toc393706921"/>
      <w:bookmarkStart w:id="1991" w:name="_Toc393700848"/>
      <w:bookmarkStart w:id="1992" w:name="_Toc393283189"/>
      <w:bookmarkStart w:id="1993" w:name="_Toc393272673"/>
      <w:bookmarkStart w:id="1994" w:name="_Toc393272615"/>
      <w:bookmarkStart w:id="1995" w:name="_Toc393187859"/>
      <w:bookmarkStart w:id="1996" w:name="_Toc393112142"/>
      <w:bookmarkStart w:id="1997" w:name="_Toc393110578"/>
      <w:bookmarkStart w:id="1998" w:name="_Toc392577511"/>
      <w:bookmarkStart w:id="1999" w:name="_Toc391036070"/>
      <w:bookmarkStart w:id="2000" w:name="_Toc391035997"/>
      <w:bookmarkStart w:id="2001" w:name="_Toc380501884"/>
      <w:bookmarkStart w:id="2002" w:name="_Toc227921656"/>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r w:rsidRPr="00A36142">
        <w:rPr>
          <w:rFonts w:ascii="Titillium" w:hAnsi="Titillium"/>
          <w:caps w:val="0"/>
          <w:sz w:val="18"/>
          <w:szCs w:val="18"/>
        </w:rPr>
        <w:t>VERIFICA DI ANOMALIA DELLE OFFERTE</w:t>
      </w:r>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p>
    <w:p w14:paraId="282A5F58" w14:textId="77777777" w:rsidR="006842EE" w:rsidRDefault="008F2625">
      <w:pPr>
        <w:spacing w:before="60" w:after="60"/>
        <w:rPr>
          <w:rFonts w:ascii="Titillium" w:hAnsi="Titillium" w:cs="Calibri"/>
          <w:b/>
          <w:bCs/>
          <w:i/>
          <w:iCs/>
          <w:sz w:val="18"/>
          <w:szCs w:val="18"/>
        </w:rPr>
      </w:pPr>
      <w:r>
        <w:rPr>
          <w:rFonts w:ascii="Titillium" w:hAnsi="Titillium" w:cs="Calibri"/>
          <w:b/>
          <w:bCs/>
          <w:i/>
          <w:iCs/>
          <w:sz w:val="18"/>
          <w:szCs w:val="18"/>
        </w:rPr>
        <w:t>[Se la stazione appaltante ricorre all’inversione procedimentale e intende procedere prima alla verifica della documentazione amministrativa e dopo alla verifica dell’anomalia delle offerte il presente articolo deve inserito dopo il successivo]</w:t>
      </w:r>
    </w:p>
    <w:p w14:paraId="7C9883AA" w14:textId="77777777" w:rsidR="006842EE" w:rsidRDefault="008F2625">
      <w:pPr>
        <w:spacing w:before="60" w:after="60"/>
        <w:rPr>
          <w:rFonts w:ascii="Titillium" w:hAnsi="Titillium" w:cs="Calibri"/>
          <w:i/>
          <w:iCs/>
          <w:sz w:val="18"/>
          <w:szCs w:val="18"/>
        </w:rPr>
      </w:pPr>
      <w:r>
        <w:rPr>
          <w:rFonts w:ascii="Titillium" w:hAnsi="Titillium" w:cs="Calibri"/>
          <w:sz w:val="18"/>
          <w:szCs w:val="18"/>
        </w:rPr>
        <w:t xml:space="preserve">Sono considerate anormalmente basse le offerte che …. </w:t>
      </w:r>
      <w:r>
        <w:rPr>
          <w:rFonts w:ascii="Titillium" w:hAnsi="Titillium" w:cs="Calibri"/>
          <w:i/>
          <w:iCs/>
          <w:sz w:val="18"/>
          <w:szCs w:val="18"/>
        </w:rPr>
        <w:t>[la stazione appaltante indica gli elementi specifici o i criteri/parametri in base ai quali ritiene anormalmente bassa un’offerta].</w:t>
      </w:r>
    </w:p>
    <w:p w14:paraId="020002A7" w14:textId="5CE9FC5A" w:rsidR="006842EE" w:rsidRDefault="008F2625">
      <w:pPr>
        <w:spacing w:before="60" w:after="60"/>
      </w:pPr>
      <w:r w:rsidRPr="007F584B">
        <w:rPr>
          <w:rFonts w:ascii="Titillium" w:hAnsi="Titillium" w:cs="Calibri"/>
          <w:b/>
          <w:bCs/>
          <w:i/>
          <w:iCs/>
          <w:sz w:val="18"/>
          <w:szCs w:val="18"/>
        </w:rPr>
        <w:t>[Facoltativo]</w:t>
      </w:r>
      <w:r>
        <w:rPr>
          <w:rFonts w:ascii="Titillium" w:hAnsi="Titillium" w:cs="Calibri"/>
          <w:i/>
          <w:iCs/>
          <w:sz w:val="18"/>
          <w:szCs w:val="18"/>
        </w:rPr>
        <w:t xml:space="preserve"> </w:t>
      </w:r>
      <w:r>
        <w:rPr>
          <w:rFonts w:ascii="Titillium" w:hAnsi="Titillium" w:cs="Calibri"/>
          <w:sz w:val="18"/>
          <w:szCs w:val="18"/>
        </w:rPr>
        <w:t>La stazione appaltante si riserva la facoltà di sottoporre a verifica un’offerta che, in base anche ad altri elementi, appaia anormalmente bassa.</w:t>
      </w:r>
    </w:p>
    <w:p w14:paraId="557277BD" w14:textId="0EE73F53" w:rsidR="006842EE" w:rsidRPr="000B0E59" w:rsidRDefault="008F2625">
      <w:pPr>
        <w:spacing w:before="60" w:after="60"/>
        <w:rPr>
          <w:rFonts w:ascii="Titillium" w:hAnsi="Titillium" w:cs="Calibri"/>
          <w:sz w:val="18"/>
          <w:szCs w:val="18"/>
        </w:rPr>
      </w:pPr>
      <w:r>
        <w:rPr>
          <w:rFonts w:ascii="Titillium" w:hAnsi="Titillium" w:cs="Calibri"/>
          <w:sz w:val="18"/>
          <w:szCs w:val="18"/>
        </w:rPr>
        <w:t xml:space="preserve">Nel caso in cui la prima migliore offerta appaia </w:t>
      </w:r>
      <w:r w:rsidRPr="000B0E59">
        <w:rPr>
          <w:rFonts w:ascii="Titillium" w:hAnsi="Titillium" w:cs="Calibri"/>
          <w:sz w:val="18"/>
          <w:szCs w:val="18"/>
        </w:rPr>
        <w:t>anormalmente bassa, il RUP</w:t>
      </w:r>
      <w:r w:rsidR="002B3DAD" w:rsidRPr="000B0E59">
        <w:rPr>
          <w:rFonts w:ascii="Titillium" w:hAnsi="Titillium" w:cs="Calibri"/>
          <w:sz w:val="18"/>
          <w:szCs w:val="18"/>
        </w:rPr>
        <w:t xml:space="preserve"> [</w:t>
      </w:r>
      <w:r w:rsidR="002B3DAD" w:rsidRPr="000B0E59">
        <w:rPr>
          <w:rFonts w:ascii="Titillium" w:hAnsi="Titillium" w:cs="Calibri"/>
          <w:i/>
          <w:iCs/>
          <w:sz w:val="18"/>
          <w:szCs w:val="18"/>
        </w:rPr>
        <w:t>o il Responsabile di fase</w:t>
      </w:r>
      <w:r w:rsidR="002B3DAD" w:rsidRPr="000B0E59">
        <w:rPr>
          <w:rFonts w:ascii="Titillium" w:hAnsi="Titillium" w:cs="Calibri"/>
          <w:sz w:val="18"/>
          <w:szCs w:val="18"/>
        </w:rPr>
        <w:t xml:space="preserve">] </w:t>
      </w:r>
      <w:r w:rsidRPr="000B0E59">
        <w:rPr>
          <w:rFonts w:ascii="Titillium" w:hAnsi="Titillium" w:cs="Calibri"/>
          <w:i/>
          <w:sz w:val="18"/>
          <w:szCs w:val="18"/>
        </w:rPr>
        <w:t>[</w:t>
      </w:r>
      <w:r w:rsidRPr="000B0E59">
        <w:rPr>
          <w:rFonts w:ascii="Titillium" w:hAnsi="Titillium" w:cs="Calibri"/>
          <w:b/>
          <w:i/>
          <w:sz w:val="18"/>
          <w:szCs w:val="18"/>
        </w:rPr>
        <w:t>Facoltativo:</w:t>
      </w:r>
      <w:r w:rsidRPr="000B0E59">
        <w:rPr>
          <w:rFonts w:ascii="Titillium" w:hAnsi="Titillium" w:cs="Calibri"/>
          <w:sz w:val="18"/>
          <w:szCs w:val="18"/>
        </w:rPr>
        <w:t xml:space="preserve"> “</w:t>
      </w:r>
      <w:r w:rsidRPr="00B30F24">
        <w:rPr>
          <w:rFonts w:ascii="Titillium" w:hAnsi="Titillium" w:cs="Calibri"/>
          <w:i/>
          <w:sz w:val="18"/>
          <w:szCs w:val="18"/>
        </w:rPr>
        <w:t>avvalendosi d</w:t>
      </w:r>
      <w:r w:rsidR="00A873B0" w:rsidRPr="00B30F24">
        <w:rPr>
          <w:rFonts w:ascii="Titillium" w:hAnsi="Titillium" w:cs="Calibri"/>
          <w:i/>
          <w:sz w:val="18"/>
          <w:szCs w:val="18"/>
        </w:rPr>
        <w:t xml:space="preserve">ella </w:t>
      </w:r>
      <w:r w:rsidR="009C65C6" w:rsidRPr="00B30F24">
        <w:rPr>
          <w:rFonts w:ascii="Titillium" w:hAnsi="Titillium" w:cs="Calibri"/>
          <w:i/>
          <w:sz w:val="18"/>
          <w:szCs w:val="18"/>
        </w:rPr>
        <w:t>C</w:t>
      </w:r>
      <w:r w:rsidRPr="00B30F24">
        <w:rPr>
          <w:rFonts w:ascii="Titillium" w:hAnsi="Titillium" w:cs="Calibri"/>
          <w:i/>
          <w:sz w:val="18"/>
          <w:szCs w:val="18"/>
        </w:rPr>
        <w:t>ommissione giudicatrice</w:t>
      </w:r>
      <w:r w:rsidR="0012671C" w:rsidRPr="000B0E59">
        <w:rPr>
          <w:rFonts w:ascii="Titillium" w:hAnsi="Titillium" w:cs="Calibri"/>
          <w:iCs/>
          <w:sz w:val="18"/>
          <w:szCs w:val="18"/>
        </w:rPr>
        <w:t>”</w:t>
      </w:r>
      <w:r w:rsidRPr="000B0E59">
        <w:rPr>
          <w:rFonts w:ascii="Titillium" w:hAnsi="Titillium" w:cs="Calibri"/>
          <w:i/>
          <w:sz w:val="18"/>
          <w:szCs w:val="18"/>
        </w:rPr>
        <w:t>]</w:t>
      </w:r>
      <w:r w:rsidRPr="000B0E59">
        <w:rPr>
          <w:rFonts w:ascii="Titillium" w:hAnsi="Titillium" w:cs="Calibri"/>
          <w:sz w:val="18"/>
          <w:szCs w:val="18"/>
        </w:rPr>
        <w:t xml:space="preserve"> ne valuta la congruità, serietà, sostenibilità e realizzabilità.</w:t>
      </w:r>
    </w:p>
    <w:p w14:paraId="23687AE9" w14:textId="77777777" w:rsidR="006842EE" w:rsidRPr="000B0E59" w:rsidRDefault="008F2625">
      <w:pPr>
        <w:spacing w:before="60" w:after="60"/>
        <w:rPr>
          <w:rFonts w:ascii="Titillium" w:hAnsi="Titillium" w:cs="Calibri"/>
          <w:sz w:val="18"/>
          <w:szCs w:val="18"/>
        </w:rPr>
      </w:pPr>
      <w:r w:rsidRPr="000B0E59">
        <w:rPr>
          <w:rFonts w:ascii="Titillium" w:hAnsi="Titillium" w:cs="Calibri"/>
          <w:sz w:val="18"/>
          <w:szCs w:val="18"/>
        </w:rPr>
        <w:t xml:space="preserve">Qualora tale offerta risulti anomala, si procede con le stesse modalità nei confronti delle successive offerte ritenute anormalmente basse, fino ad individuare la migliore offerta ritenuta non anomala. </w:t>
      </w:r>
    </w:p>
    <w:p w14:paraId="7A4000AD" w14:textId="77777777" w:rsidR="006842EE" w:rsidRPr="000B0E59" w:rsidRDefault="008F2625">
      <w:pPr>
        <w:pStyle w:val="Standard"/>
        <w:tabs>
          <w:tab w:val="left" w:pos="0"/>
          <w:tab w:val="left" w:pos="4340"/>
        </w:tabs>
        <w:spacing w:before="60" w:after="60" w:line="240" w:lineRule="auto"/>
        <w:jc w:val="both"/>
        <w:rPr>
          <w:rFonts w:ascii="Titillium" w:hAnsi="Titillium"/>
          <w:sz w:val="20"/>
        </w:rPr>
      </w:pPr>
      <w:r w:rsidRPr="000B0E59">
        <w:rPr>
          <w:rFonts w:ascii="Titillium" w:eastAsia="Times New Roman" w:hAnsi="Titillium" w:cs="Calibri"/>
          <w:b/>
          <w:bCs/>
          <w:i/>
          <w:sz w:val="18"/>
          <w:szCs w:val="18"/>
        </w:rPr>
        <w:t>[Facoltativo]</w:t>
      </w:r>
      <w:r w:rsidRPr="000B0E59">
        <w:rPr>
          <w:rFonts w:ascii="Titillium" w:eastAsia="Times New Roman" w:hAnsi="Titillium" w:cs="Calibri"/>
          <w:sz w:val="18"/>
          <w:szCs w:val="18"/>
        </w:rPr>
        <w:t xml:space="preserve"> Il concorrente allega, in sede di presentazione dell’offerta economica, </w:t>
      </w:r>
      <w:r w:rsidRPr="000B0E59">
        <w:rPr>
          <w:rFonts w:ascii="Titillium" w:eastAsia="Times New Roman" w:hAnsi="Titillium" w:cs="Calibri"/>
          <w:iCs/>
          <w:sz w:val="18"/>
          <w:szCs w:val="18"/>
        </w:rPr>
        <w:t>le giustificazioni relative alle voci di prezzo e di costo.</w:t>
      </w:r>
      <w:r w:rsidRPr="000B0E59">
        <w:rPr>
          <w:rFonts w:ascii="Titillium" w:eastAsia="Times New Roman" w:hAnsi="Titillium" w:cs="Calibri"/>
          <w:sz w:val="18"/>
          <w:szCs w:val="18"/>
        </w:rPr>
        <w:t xml:space="preserve"> La mancata presentazione anticipata delle giustificazioni non è causa di esclusione. </w:t>
      </w:r>
    </w:p>
    <w:p w14:paraId="0466EA5B" w14:textId="766D8352" w:rsidR="006842EE" w:rsidRPr="000B0E59" w:rsidRDefault="008F2625">
      <w:pPr>
        <w:spacing w:before="60" w:after="60"/>
        <w:rPr>
          <w:rFonts w:ascii="Titillium" w:hAnsi="Titillium" w:cs="Calibri"/>
          <w:sz w:val="18"/>
          <w:szCs w:val="18"/>
        </w:rPr>
      </w:pPr>
      <w:r w:rsidRPr="000B0E59">
        <w:rPr>
          <w:rFonts w:ascii="Titillium" w:hAnsi="Titillium" w:cs="Calibri"/>
          <w:sz w:val="18"/>
          <w:szCs w:val="18"/>
        </w:rPr>
        <w:t xml:space="preserve">Il RUP </w:t>
      </w:r>
      <w:r w:rsidR="00717457" w:rsidRPr="000B0E59">
        <w:rPr>
          <w:rFonts w:ascii="Titillium" w:hAnsi="Titillium" w:cs="Calibri"/>
          <w:sz w:val="18"/>
          <w:szCs w:val="18"/>
        </w:rPr>
        <w:t>[</w:t>
      </w:r>
      <w:r w:rsidR="00717457" w:rsidRPr="000B0E59">
        <w:rPr>
          <w:rFonts w:ascii="Titillium" w:hAnsi="Titillium" w:cs="Calibri"/>
          <w:i/>
          <w:iCs/>
          <w:sz w:val="18"/>
          <w:szCs w:val="18"/>
        </w:rPr>
        <w:t>o il Responsabile di fase</w:t>
      </w:r>
      <w:r w:rsidR="00717457" w:rsidRPr="000B0E59">
        <w:rPr>
          <w:rFonts w:ascii="Titillium" w:hAnsi="Titillium" w:cs="Calibri"/>
          <w:sz w:val="18"/>
          <w:szCs w:val="18"/>
        </w:rPr>
        <w:t xml:space="preserve">], </w:t>
      </w:r>
      <w:r w:rsidRPr="000B0E59">
        <w:rPr>
          <w:rFonts w:ascii="Titillium" w:hAnsi="Titillium" w:cs="Calibri"/>
          <w:sz w:val="18"/>
          <w:szCs w:val="18"/>
        </w:rPr>
        <w:t>richiede al concorrente la presentazione delle spiegazioni, se del caso, indicando le componenti specifiche dell’offerta ritenute anomale.</w:t>
      </w:r>
    </w:p>
    <w:p w14:paraId="7B39621F" w14:textId="77777777" w:rsidR="006842EE" w:rsidRPr="000B0E59" w:rsidRDefault="008F2625">
      <w:pPr>
        <w:spacing w:before="60" w:after="60"/>
        <w:rPr>
          <w:rFonts w:ascii="Titillium" w:hAnsi="Titillium" w:cs="Calibri"/>
          <w:sz w:val="18"/>
          <w:szCs w:val="18"/>
        </w:rPr>
      </w:pPr>
      <w:r w:rsidRPr="000B0E59">
        <w:rPr>
          <w:rFonts w:ascii="Titillium" w:hAnsi="Titillium" w:cs="Calibri"/>
          <w:sz w:val="18"/>
          <w:szCs w:val="18"/>
        </w:rPr>
        <w:t>A tal fine, assegna un termine non superiore a quindici giorni dal ricevimento della richiesta.</w:t>
      </w:r>
    </w:p>
    <w:p w14:paraId="637640E3" w14:textId="7F6F0896" w:rsidR="006842EE" w:rsidRPr="000B0E59" w:rsidRDefault="008F2625">
      <w:pPr>
        <w:spacing w:before="60" w:after="60"/>
        <w:rPr>
          <w:rFonts w:ascii="Titillium" w:hAnsi="Titillium" w:cs="Calibri"/>
          <w:sz w:val="18"/>
          <w:szCs w:val="18"/>
        </w:rPr>
      </w:pPr>
      <w:r w:rsidRPr="000B0E59">
        <w:rPr>
          <w:rFonts w:ascii="Titillium" w:hAnsi="Titillium" w:cs="Calibri"/>
          <w:sz w:val="18"/>
          <w:szCs w:val="18"/>
        </w:rPr>
        <w:t>Il RUP</w:t>
      </w:r>
      <w:r w:rsidR="002B3DAD" w:rsidRPr="000B0E59">
        <w:rPr>
          <w:rFonts w:ascii="Titillium" w:hAnsi="Titillium" w:cs="Calibri"/>
          <w:sz w:val="18"/>
          <w:szCs w:val="18"/>
        </w:rPr>
        <w:t xml:space="preserve"> [</w:t>
      </w:r>
      <w:r w:rsidR="002B3DAD" w:rsidRPr="000B0E59">
        <w:rPr>
          <w:rFonts w:ascii="Titillium" w:hAnsi="Titillium" w:cs="Calibri"/>
          <w:i/>
          <w:iCs/>
          <w:sz w:val="18"/>
          <w:szCs w:val="18"/>
        </w:rPr>
        <w:t>o il Responsabile di fase]</w:t>
      </w:r>
      <w:r w:rsidRPr="000B0E59">
        <w:rPr>
          <w:rFonts w:ascii="Titillium" w:hAnsi="Titillium" w:cs="Calibri"/>
          <w:sz w:val="18"/>
          <w:szCs w:val="18"/>
        </w:rPr>
        <w:t>, esaminate le spiegazioni fornite dall’offerente, ove le ritenga non sufficienti ad escludere l’anomalia, può chiedere, anche mediante audizione orale, ulteriori chiarimenti, assegnando un termine perentorio per il riscontro.</w:t>
      </w:r>
    </w:p>
    <w:p w14:paraId="29B9929D" w14:textId="1B24B52F" w:rsidR="00F95ACD" w:rsidRPr="000B0E59" w:rsidRDefault="008F2625">
      <w:pPr>
        <w:spacing w:before="60" w:after="60"/>
        <w:rPr>
          <w:rFonts w:ascii="Titillium" w:hAnsi="Titillium" w:cs="Calibri"/>
          <w:sz w:val="18"/>
          <w:szCs w:val="18"/>
        </w:rPr>
      </w:pPr>
      <w:r w:rsidRPr="000B0E59">
        <w:rPr>
          <w:rFonts w:ascii="Titillium" w:hAnsi="Titillium" w:cs="Calibri"/>
          <w:sz w:val="18"/>
          <w:szCs w:val="18"/>
        </w:rPr>
        <w:t>Il RUP esclude le offerte che, in base all’esame degli elementi forniti con le spiegazioni risultino, nel complesso, inaffidabili.</w:t>
      </w:r>
    </w:p>
    <w:p w14:paraId="3A0B0DD5" w14:textId="3E4110BB" w:rsidR="004A1163" w:rsidRPr="000B0E59" w:rsidRDefault="00B511CF" w:rsidP="00D26F03">
      <w:pPr>
        <w:pStyle w:val="Titolo2"/>
        <w:numPr>
          <w:ilvl w:val="0"/>
          <w:numId w:val="55"/>
        </w:numPr>
        <w:ind w:left="357" w:hanging="357"/>
        <w:rPr>
          <w:rFonts w:ascii="Titillium" w:hAnsi="Titillium"/>
          <w:caps w:val="0"/>
          <w:sz w:val="18"/>
          <w:szCs w:val="18"/>
        </w:rPr>
      </w:pPr>
      <w:bookmarkStart w:id="2003" w:name="_Toc227921657"/>
      <w:r w:rsidRPr="000B0E59">
        <w:rPr>
          <w:rFonts w:ascii="Titillium" w:hAnsi="Titillium"/>
          <w:caps w:val="0"/>
          <w:sz w:val="18"/>
          <w:szCs w:val="18"/>
        </w:rPr>
        <w:t>VERIFICA DELLA DOCUMENTAZIONE AMMINISTRATIVA</w:t>
      </w:r>
      <w:bookmarkEnd w:id="2003"/>
      <w:r w:rsidRPr="000B0E59">
        <w:rPr>
          <w:rFonts w:ascii="Titillium" w:hAnsi="Titillium"/>
          <w:caps w:val="0"/>
          <w:sz w:val="18"/>
          <w:szCs w:val="18"/>
        </w:rPr>
        <w:t xml:space="preserve"> </w:t>
      </w:r>
    </w:p>
    <w:p w14:paraId="2DD62A15" w14:textId="7BA87877" w:rsidR="00F95ACD" w:rsidRPr="008562AB" w:rsidRDefault="00F95ACD" w:rsidP="00F95ACD">
      <w:pPr>
        <w:spacing w:before="60" w:after="60"/>
        <w:rPr>
          <w:rFonts w:ascii="Titillium" w:hAnsi="Titillium" w:cs="Calibri"/>
          <w:b/>
          <w:bCs/>
          <w:sz w:val="18"/>
          <w:szCs w:val="18"/>
        </w:rPr>
      </w:pPr>
      <w:r w:rsidRPr="000B0E59">
        <w:rPr>
          <w:rFonts w:ascii="Titillium" w:hAnsi="Titillium" w:cs="Calibri"/>
          <w:b/>
          <w:bCs/>
          <w:sz w:val="18"/>
          <w:szCs w:val="18"/>
        </w:rPr>
        <w:t>[</w:t>
      </w:r>
      <w:r w:rsidRPr="00F95D8F">
        <w:rPr>
          <w:rFonts w:ascii="Titillium" w:hAnsi="Titillium" w:cs="Calibri"/>
          <w:b/>
          <w:bCs/>
          <w:i/>
          <w:iCs/>
          <w:sz w:val="18"/>
          <w:szCs w:val="18"/>
        </w:rPr>
        <w:t>Eliminare questo</w:t>
      </w:r>
      <w:r w:rsidR="00A543AF" w:rsidRPr="00F95D8F">
        <w:rPr>
          <w:rFonts w:ascii="Titillium" w:hAnsi="Titillium" w:cs="Calibri"/>
          <w:b/>
          <w:bCs/>
          <w:i/>
          <w:iCs/>
          <w:sz w:val="18"/>
          <w:szCs w:val="18"/>
        </w:rPr>
        <w:t xml:space="preserve"> </w:t>
      </w:r>
      <w:r w:rsidR="00910E18" w:rsidRPr="00F95D8F">
        <w:rPr>
          <w:rFonts w:ascii="Titillium" w:hAnsi="Titillium" w:cs="Calibri"/>
          <w:b/>
          <w:bCs/>
          <w:i/>
          <w:iCs/>
          <w:sz w:val="18"/>
          <w:szCs w:val="18"/>
        </w:rPr>
        <w:t>punto se</w:t>
      </w:r>
      <w:r w:rsidRPr="00F95D8F">
        <w:rPr>
          <w:rFonts w:ascii="Titillium" w:hAnsi="Titillium" w:cs="Calibri"/>
          <w:b/>
          <w:bCs/>
          <w:i/>
          <w:iCs/>
          <w:sz w:val="18"/>
          <w:szCs w:val="18"/>
        </w:rPr>
        <w:t xml:space="preserve"> non si ricorre all’inversione procedimentale</w:t>
      </w:r>
      <w:r w:rsidRPr="008562AB">
        <w:rPr>
          <w:rFonts w:ascii="Titillium" w:hAnsi="Titillium" w:cs="Calibri"/>
          <w:b/>
          <w:bCs/>
          <w:sz w:val="18"/>
          <w:szCs w:val="18"/>
        </w:rPr>
        <w:t xml:space="preserve">] </w:t>
      </w:r>
    </w:p>
    <w:p w14:paraId="0A115E6A" w14:textId="5510AE30" w:rsidR="00EE01A0" w:rsidRDefault="00F95ACD" w:rsidP="00EE01A0">
      <w:pPr>
        <w:spacing w:before="60" w:after="60"/>
        <w:rPr>
          <w:rFonts w:ascii="Titillium" w:hAnsi="Titillium" w:cs="Calibri"/>
          <w:sz w:val="18"/>
          <w:szCs w:val="18"/>
        </w:rPr>
      </w:pPr>
      <w:r w:rsidRPr="00F95ACD">
        <w:rPr>
          <w:rFonts w:ascii="Titillium" w:hAnsi="Titillium" w:cs="Calibri"/>
          <w:sz w:val="18"/>
          <w:szCs w:val="18"/>
        </w:rPr>
        <w:t>Il … [</w:t>
      </w:r>
      <w:r w:rsidRPr="009C65C6">
        <w:rPr>
          <w:rFonts w:ascii="Titillium" w:hAnsi="Titillium" w:cs="Calibri"/>
          <w:i/>
          <w:iCs/>
          <w:sz w:val="18"/>
          <w:szCs w:val="18"/>
        </w:rPr>
        <w:t>scegliere tra RUP, responsabile di fase, apposito ufficio o servizio a ciò deputato, sulla base delle disposizioni organizzative proprie della stazione appaltante</w:t>
      </w:r>
      <w:r w:rsidRPr="00F95ACD">
        <w:rPr>
          <w:rFonts w:ascii="Titillium" w:hAnsi="Titillium" w:cs="Calibri"/>
          <w:sz w:val="18"/>
          <w:szCs w:val="18"/>
        </w:rPr>
        <w:t>] procede in relazione al concorrente che ha presentato la migliore offerta</w:t>
      </w:r>
      <w:r w:rsidR="00EE01A0">
        <w:rPr>
          <w:rFonts w:ascii="Titillium" w:hAnsi="Titillium" w:cs="Calibri"/>
          <w:sz w:val="18"/>
          <w:szCs w:val="18"/>
        </w:rPr>
        <w:t xml:space="preserve"> a:</w:t>
      </w:r>
    </w:p>
    <w:p w14:paraId="42961FAA" w14:textId="22E75689" w:rsidR="0018495D" w:rsidRPr="00EE01A0" w:rsidRDefault="00F95ACD" w:rsidP="00D26F03">
      <w:pPr>
        <w:pStyle w:val="Paragrafoelenco"/>
        <w:numPr>
          <w:ilvl w:val="2"/>
          <w:numId w:val="32"/>
        </w:numPr>
        <w:spacing w:before="60" w:after="60"/>
        <w:rPr>
          <w:rFonts w:ascii="Titillium" w:hAnsi="Titillium" w:cs="Calibri"/>
          <w:strike/>
          <w:sz w:val="18"/>
          <w:szCs w:val="18"/>
        </w:rPr>
      </w:pPr>
      <w:r w:rsidRPr="00EE01A0">
        <w:rPr>
          <w:rFonts w:ascii="Titillium" w:hAnsi="Titillium" w:cs="Calibri"/>
          <w:sz w:val="18"/>
          <w:szCs w:val="18"/>
        </w:rPr>
        <w:t>controllare la completezza della documentazione amministrativa presentata</w:t>
      </w:r>
      <w:r w:rsidR="00F95D8F">
        <w:rPr>
          <w:rFonts w:ascii="Titillium" w:hAnsi="Titillium" w:cs="Calibri"/>
          <w:sz w:val="18"/>
          <w:szCs w:val="18"/>
        </w:rPr>
        <w:t>;</w:t>
      </w:r>
    </w:p>
    <w:p w14:paraId="0C0844AE" w14:textId="5B33E0DE" w:rsidR="00253CE3" w:rsidRPr="0018495D" w:rsidRDefault="008562AB" w:rsidP="00D26F03">
      <w:pPr>
        <w:pStyle w:val="Paragrafoelenco"/>
        <w:numPr>
          <w:ilvl w:val="2"/>
          <w:numId w:val="32"/>
        </w:numPr>
        <w:spacing w:before="60" w:after="60"/>
        <w:rPr>
          <w:rFonts w:ascii="Titillium" w:hAnsi="Titillium" w:cs="Calibri"/>
          <w:sz w:val="18"/>
          <w:szCs w:val="18"/>
        </w:rPr>
      </w:pPr>
      <w:r w:rsidRPr="0018495D">
        <w:rPr>
          <w:rFonts w:ascii="Titillium" w:hAnsi="Titillium" w:cs="Calibri"/>
          <w:sz w:val="18"/>
          <w:szCs w:val="18"/>
        </w:rPr>
        <w:t>v</w:t>
      </w:r>
      <w:r w:rsidR="00F95ACD" w:rsidRPr="0018495D">
        <w:rPr>
          <w:rFonts w:ascii="Titillium" w:hAnsi="Titillium" w:cs="Calibri"/>
          <w:sz w:val="18"/>
          <w:szCs w:val="18"/>
        </w:rPr>
        <w:t>erificare la conformità della documentazione amministrativa</w:t>
      </w:r>
      <w:r w:rsidR="00CB3CF7">
        <w:rPr>
          <w:rFonts w:ascii="Titillium" w:hAnsi="Titillium" w:cs="Calibri"/>
          <w:sz w:val="18"/>
          <w:szCs w:val="18"/>
        </w:rPr>
        <w:t xml:space="preserve"> a</w:t>
      </w:r>
      <w:r w:rsidR="00F95ACD" w:rsidRPr="0018495D">
        <w:rPr>
          <w:rFonts w:ascii="Titillium" w:hAnsi="Titillium" w:cs="Calibri"/>
          <w:sz w:val="18"/>
          <w:szCs w:val="18"/>
        </w:rPr>
        <w:t xml:space="preserve"> quanto richiesto nel presente disciplinare;</w:t>
      </w:r>
    </w:p>
    <w:p w14:paraId="07961AA4" w14:textId="6E6C524C" w:rsidR="0018495D" w:rsidRPr="0018495D" w:rsidRDefault="00F95ACD" w:rsidP="00D26F03">
      <w:pPr>
        <w:pStyle w:val="Paragrafoelenco"/>
        <w:numPr>
          <w:ilvl w:val="2"/>
          <w:numId w:val="32"/>
        </w:numPr>
        <w:spacing w:before="60" w:after="60"/>
        <w:rPr>
          <w:rFonts w:ascii="Titillium" w:hAnsi="Titillium" w:cs="Calibri"/>
          <w:color w:val="44546A" w:themeColor="text2"/>
          <w:sz w:val="18"/>
          <w:szCs w:val="18"/>
        </w:rPr>
      </w:pPr>
      <w:r w:rsidRPr="0018495D">
        <w:rPr>
          <w:rFonts w:ascii="Titillium" w:hAnsi="Titillium" w:cs="Calibri"/>
          <w:sz w:val="18"/>
          <w:szCs w:val="18"/>
        </w:rPr>
        <w:t xml:space="preserve">attivare la procedura di soccorso istruttorio di cui al precedente </w:t>
      </w:r>
      <w:r w:rsidR="00743BE0">
        <w:rPr>
          <w:rFonts w:ascii="Titillium" w:hAnsi="Titillium" w:cs="Calibri"/>
          <w:sz w:val="18"/>
          <w:szCs w:val="18"/>
        </w:rPr>
        <w:t>paragrafo 14</w:t>
      </w:r>
      <w:r w:rsidRPr="0018495D">
        <w:rPr>
          <w:rFonts w:ascii="Titillium" w:hAnsi="Titillium" w:cs="Calibri"/>
          <w:sz w:val="18"/>
          <w:szCs w:val="18"/>
        </w:rPr>
        <w:t>, se necessario</w:t>
      </w:r>
      <w:r w:rsidR="00253CE3" w:rsidRPr="0018495D">
        <w:rPr>
          <w:rFonts w:ascii="Titillium" w:hAnsi="Titillium" w:cs="Calibri"/>
          <w:color w:val="5B9BD5" w:themeColor="accent1"/>
          <w:sz w:val="18"/>
          <w:szCs w:val="18"/>
        </w:rPr>
        <w:t>.</w:t>
      </w:r>
    </w:p>
    <w:p w14:paraId="3DFCCD31" w14:textId="361314B9" w:rsidR="007C511A" w:rsidRDefault="007C511A" w:rsidP="00F95ACD">
      <w:pPr>
        <w:spacing w:before="60" w:after="60"/>
        <w:rPr>
          <w:rFonts w:ascii="Titillium" w:hAnsi="Titillium" w:cs="Calibri"/>
          <w:sz w:val="18"/>
          <w:szCs w:val="18"/>
        </w:rPr>
      </w:pPr>
      <w:r w:rsidRPr="00A543AF">
        <w:rPr>
          <w:rFonts w:ascii="Titillium" w:hAnsi="Titillium" w:cs="Calibri"/>
          <w:b/>
          <w:bCs/>
          <w:sz w:val="18"/>
          <w:szCs w:val="18"/>
        </w:rPr>
        <w:t>[</w:t>
      </w:r>
      <w:r w:rsidRPr="00F95D8F">
        <w:rPr>
          <w:rFonts w:ascii="Titillium" w:hAnsi="Titillium" w:cs="Calibri"/>
          <w:b/>
          <w:bCs/>
          <w:i/>
          <w:iCs/>
          <w:sz w:val="18"/>
          <w:szCs w:val="18"/>
        </w:rPr>
        <w:t>Facoltativo</w:t>
      </w:r>
      <w:r w:rsidRPr="00A543AF">
        <w:rPr>
          <w:rFonts w:ascii="Titillium" w:hAnsi="Titillium" w:cs="Calibri"/>
          <w:b/>
          <w:bCs/>
          <w:sz w:val="18"/>
          <w:szCs w:val="18"/>
        </w:rPr>
        <w:t>]</w:t>
      </w:r>
      <w:r w:rsidRPr="00A543AF">
        <w:rPr>
          <w:rFonts w:ascii="Titillium" w:hAnsi="Titillium" w:cs="Calibri"/>
          <w:sz w:val="18"/>
          <w:szCs w:val="18"/>
        </w:rPr>
        <w:t xml:space="preserve"> </w:t>
      </w:r>
      <w:r w:rsidR="00910E18" w:rsidRPr="00A543AF">
        <w:rPr>
          <w:rFonts w:ascii="Titillium" w:hAnsi="Titillium" w:cs="Calibri"/>
          <w:sz w:val="18"/>
          <w:szCs w:val="18"/>
        </w:rPr>
        <w:t>Il</w:t>
      </w:r>
      <w:r w:rsidR="00910E18">
        <w:rPr>
          <w:rFonts w:ascii="Titillium" w:hAnsi="Titillium" w:cs="Calibri"/>
          <w:sz w:val="18"/>
          <w:szCs w:val="18"/>
        </w:rPr>
        <w:t xml:space="preserve"> ..</w:t>
      </w:r>
      <w:r w:rsidRPr="00A543AF">
        <w:rPr>
          <w:rFonts w:ascii="Titillium" w:hAnsi="Titillium" w:cs="Calibri"/>
          <w:sz w:val="18"/>
          <w:szCs w:val="18"/>
        </w:rPr>
        <w:t>.</w:t>
      </w:r>
      <w:r w:rsidR="00910E18">
        <w:rPr>
          <w:rFonts w:ascii="Titillium" w:hAnsi="Titillium" w:cs="Calibri"/>
          <w:sz w:val="18"/>
          <w:szCs w:val="18"/>
        </w:rPr>
        <w:t xml:space="preserve"> </w:t>
      </w:r>
      <w:r w:rsidRPr="00A543AF">
        <w:rPr>
          <w:rFonts w:ascii="Titillium" w:hAnsi="Titillium" w:cs="Calibri"/>
          <w:sz w:val="18"/>
          <w:szCs w:val="18"/>
        </w:rPr>
        <w:t>[</w:t>
      </w:r>
      <w:r w:rsidRPr="00A543AF">
        <w:rPr>
          <w:rFonts w:ascii="Titillium" w:hAnsi="Titillium" w:cs="Calibri"/>
          <w:i/>
          <w:iCs/>
          <w:sz w:val="18"/>
          <w:szCs w:val="18"/>
        </w:rPr>
        <w:t>scegliere tra RUP, responsabile di fase, apposito ufficio o servizio a ciò deputato, sulla base delle disposizioni organizzative proprie della stazione appaltante</w:t>
      </w:r>
      <w:r w:rsidRPr="00A543AF">
        <w:rPr>
          <w:rFonts w:ascii="Titillium" w:hAnsi="Titillium" w:cs="Calibri"/>
          <w:sz w:val="18"/>
          <w:szCs w:val="18"/>
        </w:rPr>
        <w:t>] procede alla verifica di cui sopra anche nei confronti di</w:t>
      </w:r>
      <w:r w:rsidR="00910E18">
        <w:rPr>
          <w:rFonts w:ascii="Titillium" w:hAnsi="Titillium" w:cs="Calibri"/>
          <w:sz w:val="18"/>
          <w:szCs w:val="18"/>
        </w:rPr>
        <w:t xml:space="preserve"> </w:t>
      </w:r>
      <w:r w:rsidRPr="00A543AF">
        <w:rPr>
          <w:rFonts w:ascii="Titillium" w:hAnsi="Titillium" w:cs="Calibri"/>
          <w:sz w:val="18"/>
          <w:szCs w:val="18"/>
        </w:rPr>
        <w:t>….</w:t>
      </w:r>
      <w:r w:rsidR="00910E18">
        <w:rPr>
          <w:rFonts w:ascii="Titillium" w:hAnsi="Titillium" w:cs="Calibri"/>
          <w:sz w:val="18"/>
          <w:szCs w:val="18"/>
        </w:rPr>
        <w:t xml:space="preserve"> </w:t>
      </w:r>
      <w:r w:rsidRPr="00A543AF">
        <w:rPr>
          <w:rFonts w:ascii="Titillium" w:hAnsi="Titillium" w:cs="Calibri"/>
          <w:sz w:val="18"/>
          <w:szCs w:val="18"/>
        </w:rPr>
        <w:t>[</w:t>
      </w:r>
      <w:r w:rsidRPr="00A543AF">
        <w:rPr>
          <w:rFonts w:ascii="Titillium" w:hAnsi="Titillium" w:cs="Calibri"/>
          <w:i/>
          <w:iCs/>
          <w:sz w:val="18"/>
          <w:szCs w:val="18"/>
        </w:rPr>
        <w:t>la stazione appaltante indica i soggetti ulteriori al primo in graduatoria nei cui confronti effettua la verifica della documentazione amministrativa].</w:t>
      </w:r>
    </w:p>
    <w:p w14:paraId="2E429F50" w14:textId="2658B0A3" w:rsidR="00F95ACD" w:rsidRPr="00305799" w:rsidRDefault="00F95ACD" w:rsidP="00F95ACD">
      <w:pPr>
        <w:spacing w:before="60" w:after="60"/>
        <w:rPr>
          <w:rFonts w:ascii="Titillium" w:hAnsi="Titillium" w:cs="Calibri"/>
          <w:sz w:val="18"/>
          <w:szCs w:val="18"/>
        </w:rPr>
      </w:pPr>
      <w:r w:rsidRPr="00305799">
        <w:rPr>
          <w:rFonts w:ascii="Titillium" w:hAnsi="Titillium" w:cs="Calibri"/>
          <w:sz w:val="18"/>
          <w:szCs w:val="18"/>
        </w:rPr>
        <w:t>Gli eventuali provvedimenti di esclusione dalla procedura di gara sono comunicati entro cinque giorni dalla loro adozione.</w:t>
      </w:r>
    </w:p>
    <w:p w14:paraId="53DE5743" w14:textId="2081B545" w:rsidR="00F95ACD" w:rsidRPr="003C41F4" w:rsidRDefault="00F95ACD">
      <w:pPr>
        <w:spacing w:before="60" w:after="60"/>
        <w:rPr>
          <w:rFonts w:ascii="Titillium" w:hAnsi="Titillium" w:cs="Calibri"/>
          <w:sz w:val="18"/>
          <w:szCs w:val="18"/>
        </w:rPr>
      </w:pPr>
      <w:r w:rsidRPr="00305799">
        <w:rPr>
          <w:rFonts w:ascii="Titillium" w:hAnsi="Titillium" w:cs="Calibri"/>
          <w:sz w:val="18"/>
          <w:szCs w:val="18"/>
        </w:rPr>
        <w:t>È fatta salva la possibilità di chiedere agli offerenti, in qualsiasi momento nel corso della procedura, di presentare tutti i documenti complementari o parte di essi, qualora questo sia necessario per assicurare il corretto svolgimento della procedura</w:t>
      </w:r>
      <w:r w:rsidRPr="00305799">
        <w:rPr>
          <w:rFonts w:ascii="Titillium" w:hAnsi="Titillium" w:cs="Calibri"/>
          <w:color w:val="44546A" w:themeColor="text2"/>
          <w:sz w:val="18"/>
          <w:szCs w:val="18"/>
        </w:rPr>
        <w:t>.</w:t>
      </w:r>
    </w:p>
    <w:p w14:paraId="03332FCC" w14:textId="46210AB3" w:rsidR="006842EE" w:rsidRPr="00B30858" w:rsidRDefault="008F2625" w:rsidP="00D26F03">
      <w:pPr>
        <w:pStyle w:val="Titolo2"/>
        <w:numPr>
          <w:ilvl w:val="0"/>
          <w:numId w:val="55"/>
        </w:numPr>
        <w:ind w:left="357" w:hanging="357"/>
        <w:rPr>
          <w:rFonts w:ascii="Titillium" w:hAnsi="Titillium"/>
          <w:caps w:val="0"/>
          <w:sz w:val="18"/>
          <w:szCs w:val="18"/>
        </w:rPr>
      </w:pPr>
      <w:bookmarkStart w:id="2004" w:name="_Toc484688358"/>
      <w:bookmarkStart w:id="2005" w:name="_Toc484605489"/>
      <w:bookmarkStart w:id="2006" w:name="_Toc484605365"/>
      <w:bookmarkStart w:id="2007" w:name="_Toc484526645"/>
      <w:bookmarkStart w:id="2008" w:name="_Toc484449150"/>
      <w:bookmarkStart w:id="2009" w:name="_Toc484449026"/>
      <w:bookmarkStart w:id="2010" w:name="_Toc484448902"/>
      <w:bookmarkStart w:id="2011" w:name="_Toc484448779"/>
      <w:bookmarkStart w:id="2012" w:name="_Toc484448655"/>
      <w:bookmarkStart w:id="2013" w:name="_Toc484448531"/>
      <w:bookmarkStart w:id="2014" w:name="_Toc484448407"/>
      <w:bookmarkStart w:id="2015" w:name="_Toc484448283"/>
      <w:bookmarkStart w:id="2016" w:name="_Toc484448159"/>
      <w:bookmarkStart w:id="2017" w:name="_Toc484440499"/>
      <w:bookmarkStart w:id="2018" w:name="_Toc484440139"/>
      <w:bookmarkStart w:id="2019" w:name="_Toc484440015"/>
      <w:bookmarkStart w:id="2020" w:name="_Toc484439892"/>
      <w:bookmarkStart w:id="2021" w:name="_Toc484438972"/>
      <w:bookmarkStart w:id="2022" w:name="_Toc484438848"/>
      <w:bookmarkStart w:id="2023" w:name="_Toc484438724"/>
      <w:bookmarkStart w:id="2024" w:name="_Toc484429149"/>
      <w:bookmarkStart w:id="2025" w:name="_Toc484428979"/>
      <w:bookmarkStart w:id="2026" w:name="_Toc484097805"/>
      <w:bookmarkStart w:id="2027" w:name="_Toc484011731"/>
      <w:bookmarkStart w:id="2028" w:name="_Toc484011256"/>
      <w:bookmarkStart w:id="2029" w:name="_Toc484011134"/>
      <w:bookmarkStart w:id="2030" w:name="_Toc484011012"/>
      <w:bookmarkStart w:id="2031" w:name="_Toc484010888"/>
      <w:bookmarkStart w:id="2032" w:name="_Toc484010766"/>
      <w:bookmarkStart w:id="2033" w:name="_Toc483907016"/>
      <w:bookmarkStart w:id="2034" w:name="_Toc483571638"/>
      <w:bookmarkStart w:id="2035" w:name="_Toc483571516"/>
      <w:bookmarkStart w:id="2036" w:name="_Toc483474085"/>
      <w:bookmarkStart w:id="2037" w:name="_Toc483401289"/>
      <w:bookmarkStart w:id="2038" w:name="_Toc483325811"/>
      <w:bookmarkStart w:id="2039" w:name="_Toc483316508"/>
      <w:bookmarkStart w:id="2040" w:name="_Toc483316377"/>
      <w:bookmarkStart w:id="2041" w:name="_Toc483316245"/>
      <w:bookmarkStart w:id="2042" w:name="_Toc483316040"/>
      <w:bookmarkStart w:id="2043" w:name="_Toc483302419"/>
      <w:bookmarkStart w:id="2044" w:name="_Toc483233702"/>
      <w:bookmarkStart w:id="2045" w:name="_Toc482979742"/>
      <w:bookmarkStart w:id="2046" w:name="_Toc482979644"/>
      <w:bookmarkStart w:id="2047" w:name="_Toc482979546"/>
      <w:bookmarkStart w:id="2048" w:name="_Toc482979438"/>
      <w:bookmarkStart w:id="2049" w:name="_Toc482979329"/>
      <w:bookmarkStart w:id="2050" w:name="_Toc482979220"/>
      <w:bookmarkStart w:id="2051" w:name="_Toc482979109"/>
      <w:bookmarkStart w:id="2052" w:name="_Toc482979001"/>
      <w:bookmarkStart w:id="2053" w:name="_Toc482978892"/>
      <w:bookmarkStart w:id="2054" w:name="_Toc482959773"/>
      <w:bookmarkStart w:id="2055" w:name="_Toc482959663"/>
      <w:bookmarkStart w:id="2056" w:name="_Toc482959553"/>
      <w:bookmarkStart w:id="2057" w:name="_Toc482712765"/>
      <w:bookmarkStart w:id="2058" w:name="_Toc482641319"/>
      <w:bookmarkStart w:id="2059" w:name="_Toc482633142"/>
      <w:bookmarkStart w:id="2060" w:name="_Toc482352301"/>
      <w:bookmarkStart w:id="2061" w:name="_Toc482352211"/>
      <w:bookmarkStart w:id="2062" w:name="_Toc482352121"/>
      <w:bookmarkStart w:id="2063" w:name="_Toc482352031"/>
      <w:bookmarkStart w:id="2064" w:name="_Toc482102167"/>
      <w:bookmarkStart w:id="2065" w:name="_Toc482102073"/>
      <w:bookmarkStart w:id="2066" w:name="_Toc482101978"/>
      <w:bookmarkStart w:id="2067" w:name="_Toc482101883"/>
      <w:bookmarkStart w:id="2068" w:name="_Toc482101790"/>
      <w:bookmarkStart w:id="2069" w:name="_Toc482101615"/>
      <w:bookmarkStart w:id="2070" w:name="_Toc482101500"/>
      <w:bookmarkStart w:id="2071" w:name="_Toc482101363"/>
      <w:bookmarkStart w:id="2072" w:name="_Toc482100937"/>
      <w:bookmarkStart w:id="2073" w:name="_Toc482100780"/>
      <w:bookmarkStart w:id="2074" w:name="_Toc482099063"/>
      <w:bookmarkStart w:id="2075" w:name="_Toc482097961"/>
      <w:bookmarkStart w:id="2076" w:name="_Toc482097769"/>
      <w:bookmarkStart w:id="2077" w:name="_Toc482097680"/>
      <w:bookmarkStart w:id="2078" w:name="_Toc482097591"/>
      <w:bookmarkStart w:id="2079" w:name="_Toc482025767"/>
      <w:bookmarkStart w:id="2080" w:name="_Toc485218347"/>
      <w:bookmarkStart w:id="2081" w:name="_Toc484688912"/>
      <w:bookmarkStart w:id="2082" w:name="_Toc484688357"/>
      <w:bookmarkStart w:id="2083" w:name="_Toc484605488"/>
      <w:bookmarkStart w:id="2084" w:name="_Toc484605364"/>
      <w:bookmarkStart w:id="2085" w:name="_Toc484526644"/>
      <w:bookmarkStart w:id="2086" w:name="_Toc484449149"/>
      <w:bookmarkStart w:id="2087" w:name="_Toc484449025"/>
      <w:bookmarkStart w:id="2088" w:name="_Toc484448901"/>
      <w:bookmarkStart w:id="2089" w:name="_Toc484448778"/>
      <w:bookmarkStart w:id="2090" w:name="_Toc484448654"/>
      <w:bookmarkStart w:id="2091" w:name="_Toc484448530"/>
      <w:bookmarkStart w:id="2092" w:name="_Toc484448406"/>
      <w:bookmarkStart w:id="2093" w:name="_Toc484448282"/>
      <w:bookmarkStart w:id="2094" w:name="_Toc484448158"/>
      <w:bookmarkStart w:id="2095" w:name="_Toc484440498"/>
      <w:bookmarkStart w:id="2096" w:name="_Toc484440138"/>
      <w:bookmarkStart w:id="2097" w:name="_Toc484440014"/>
      <w:bookmarkStart w:id="2098" w:name="_Toc484439891"/>
      <w:bookmarkStart w:id="2099" w:name="_Toc484438971"/>
      <w:bookmarkStart w:id="2100" w:name="_Toc484438847"/>
      <w:bookmarkStart w:id="2101" w:name="_Toc484438723"/>
      <w:bookmarkStart w:id="2102" w:name="_Toc484429148"/>
      <w:bookmarkStart w:id="2103" w:name="_Toc484428978"/>
      <w:bookmarkStart w:id="2104" w:name="_Toc484097804"/>
      <w:bookmarkStart w:id="2105" w:name="_Toc484011730"/>
      <w:bookmarkStart w:id="2106" w:name="_Toc484011255"/>
      <w:bookmarkStart w:id="2107" w:name="_Toc484011133"/>
      <w:bookmarkStart w:id="2108" w:name="_Toc484011011"/>
      <w:bookmarkStart w:id="2109" w:name="_Toc484010887"/>
      <w:bookmarkStart w:id="2110" w:name="_Toc484010765"/>
      <w:bookmarkStart w:id="2111" w:name="_Toc483907015"/>
      <w:bookmarkStart w:id="2112" w:name="_Toc483571637"/>
      <w:bookmarkStart w:id="2113" w:name="_Toc483571515"/>
      <w:bookmarkStart w:id="2114" w:name="_Toc483474084"/>
      <w:bookmarkStart w:id="2115" w:name="_Toc483401288"/>
      <w:bookmarkStart w:id="2116" w:name="_Toc483325810"/>
      <w:bookmarkStart w:id="2117" w:name="_Toc483316507"/>
      <w:bookmarkStart w:id="2118" w:name="_Toc483316376"/>
      <w:bookmarkStart w:id="2119" w:name="_Toc483316244"/>
      <w:bookmarkStart w:id="2120" w:name="_Toc483316039"/>
      <w:bookmarkStart w:id="2121" w:name="_Toc483302418"/>
      <w:bookmarkStart w:id="2122" w:name="_Toc483233701"/>
      <w:bookmarkStart w:id="2123" w:name="_Toc482979741"/>
      <w:bookmarkStart w:id="2124" w:name="_Toc482979643"/>
      <w:bookmarkStart w:id="2125" w:name="_Toc482979545"/>
      <w:bookmarkStart w:id="2126" w:name="_Toc482979437"/>
      <w:bookmarkStart w:id="2127" w:name="_Toc482979328"/>
      <w:bookmarkStart w:id="2128" w:name="_Toc482979219"/>
      <w:bookmarkStart w:id="2129" w:name="_Toc482979108"/>
      <w:bookmarkStart w:id="2130" w:name="_Toc482979000"/>
      <w:bookmarkStart w:id="2131" w:name="_Toc482978891"/>
      <w:bookmarkStart w:id="2132" w:name="_Toc482959772"/>
      <w:bookmarkStart w:id="2133" w:name="_Toc482959662"/>
      <w:bookmarkStart w:id="2134" w:name="_Toc482959552"/>
      <w:bookmarkStart w:id="2135" w:name="_Toc482712764"/>
      <w:bookmarkStart w:id="2136" w:name="_Toc482641318"/>
      <w:bookmarkStart w:id="2137" w:name="_Toc482633141"/>
      <w:bookmarkStart w:id="2138" w:name="_Toc482352300"/>
      <w:bookmarkStart w:id="2139" w:name="_Toc482352210"/>
      <w:bookmarkStart w:id="2140" w:name="_Toc482352120"/>
      <w:bookmarkStart w:id="2141" w:name="_Toc482352030"/>
      <w:bookmarkStart w:id="2142" w:name="_Toc482102166"/>
      <w:bookmarkStart w:id="2143" w:name="_Toc482102072"/>
      <w:bookmarkStart w:id="2144" w:name="_Toc482101977"/>
      <w:bookmarkStart w:id="2145" w:name="_Toc482101882"/>
      <w:bookmarkStart w:id="2146" w:name="_Toc482101789"/>
      <w:bookmarkStart w:id="2147" w:name="_Toc482101614"/>
      <w:bookmarkStart w:id="2148" w:name="_Toc482101499"/>
      <w:bookmarkStart w:id="2149" w:name="_Toc482101362"/>
      <w:bookmarkStart w:id="2150" w:name="_Toc482100936"/>
      <w:bookmarkStart w:id="2151" w:name="_Toc482100779"/>
      <w:bookmarkStart w:id="2152" w:name="_Toc482099062"/>
      <w:bookmarkStart w:id="2153" w:name="_Toc482097960"/>
      <w:bookmarkStart w:id="2154" w:name="_Toc482097768"/>
      <w:bookmarkStart w:id="2155" w:name="_Toc482097679"/>
      <w:bookmarkStart w:id="2156" w:name="_Toc482097590"/>
      <w:bookmarkStart w:id="2157" w:name="_Toc482025766"/>
      <w:bookmarkStart w:id="2158" w:name="_Toc485218346"/>
      <w:bookmarkStart w:id="2159" w:name="_Toc484688911"/>
      <w:bookmarkStart w:id="2160" w:name="_Toc484688356"/>
      <w:bookmarkStart w:id="2161" w:name="_Toc484605487"/>
      <w:bookmarkStart w:id="2162" w:name="_Toc484605363"/>
      <w:bookmarkStart w:id="2163" w:name="_Toc484526643"/>
      <w:bookmarkStart w:id="2164" w:name="_Toc484449148"/>
      <w:bookmarkStart w:id="2165" w:name="_Toc484449024"/>
      <w:bookmarkStart w:id="2166" w:name="_Toc484448900"/>
      <w:bookmarkStart w:id="2167" w:name="_Toc484448777"/>
      <w:bookmarkStart w:id="2168" w:name="_Toc484448653"/>
      <w:bookmarkStart w:id="2169" w:name="_Toc484448529"/>
      <w:bookmarkStart w:id="2170" w:name="_Toc484448405"/>
      <w:bookmarkStart w:id="2171" w:name="_Toc484448281"/>
      <w:bookmarkStart w:id="2172" w:name="_Toc484448157"/>
      <w:bookmarkStart w:id="2173" w:name="_Toc484440497"/>
      <w:bookmarkStart w:id="2174" w:name="_Toc484440137"/>
      <w:bookmarkStart w:id="2175" w:name="_Toc484440013"/>
      <w:bookmarkStart w:id="2176" w:name="_Toc484439890"/>
      <w:bookmarkStart w:id="2177" w:name="_Toc484438970"/>
      <w:bookmarkStart w:id="2178" w:name="_Toc484438846"/>
      <w:bookmarkStart w:id="2179" w:name="_Toc484438722"/>
      <w:bookmarkStart w:id="2180" w:name="_Toc484429147"/>
      <w:bookmarkStart w:id="2181" w:name="_Toc484428977"/>
      <w:bookmarkStart w:id="2182" w:name="_Toc484097803"/>
      <w:bookmarkStart w:id="2183" w:name="_Toc484011729"/>
      <w:bookmarkStart w:id="2184" w:name="_Toc484011254"/>
      <w:bookmarkStart w:id="2185" w:name="_Toc484011132"/>
      <w:bookmarkStart w:id="2186" w:name="_Toc484011010"/>
      <w:bookmarkStart w:id="2187" w:name="_Toc484010886"/>
      <w:bookmarkStart w:id="2188" w:name="_Toc484010764"/>
      <w:bookmarkStart w:id="2189" w:name="_Toc483907014"/>
      <w:bookmarkStart w:id="2190" w:name="_Toc483571636"/>
      <w:bookmarkStart w:id="2191" w:name="_Toc483571514"/>
      <w:bookmarkStart w:id="2192" w:name="_Toc483474083"/>
      <w:bookmarkStart w:id="2193" w:name="_Toc483401287"/>
      <w:bookmarkStart w:id="2194" w:name="_Toc483325809"/>
      <w:bookmarkStart w:id="2195" w:name="_Toc483316506"/>
      <w:bookmarkStart w:id="2196" w:name="_Toc483316375"/>
      <w:bookmarkStart w:id="2197" w:name="_Toc483316243"/>
      <w:bookmarkStart w:id="2198" w:name="_Toc483316038"/>
      <w:bookmarkStart w:id="2199" w:name="_Toc483302417"/>
      <w:bookmarkStart w:id="2200" w:name="_Toc483233700"/>
      <w:bookmarkStart w:id="2201" w:name="_Toc482979740"/>
      <w:bookmarkStart w:id="2202" w:name="_Toc482979642"/>
      <w:bookmarkStart w:id="2203" w:name="_Toc482979544"/>
      <w:bookmarkStart w:id="2204" w:name="_Toc482979436"/>
      <w:bookmarkStart w:id="2205" w:name="_Toc482979327"/>
      <w:bookmarkStart w:id="2206" w:name="_Toc482979218"/>
      <w:bookmarkStart w:id="2207" w:name="_Toc482979107"/>
      <w:bookmarkStart w:id="2208" w:name="_Toc482978999"/>
      <w:bookmarkStart w:id="2209" w:name="_Toc482978890"/>
      <w:bookmarkStart w:id="2210" w:name="_Toc482959771"/>
      <w:bookmarkStart w:id="2211" w:name="_Toc482959661"/>
      <w:bookmarkStart w:id="2212" w:name="_Toc482959551"/>
      <w:bookmarkStart w:id="2213" w:name="_Toc482712763"/>
      <w:bookmarkStart w:id="2214" w:name="_Toc482641317"/>
      <w:bookmarkStart w:id="2215" w:name="_Toc482633140"/>
      <w:bookmarkStart w:id="2216" w:name="_Toc482352299"/>
      <w:bookmarkStart w:id="2217" w:name="_Toc482352209"/>
      <w:bookmarkStart w:id="2218" w:name="_Toc482352119"/>
      <w:bookmarkStart w:id="2219" w:name="_Toc482352029"/>
      <w:bookmarkStart w:id="2220" w:name="_Toc482102165"/>
      <w:bookmarkStart w:id="2221" w:name="_Toc482102071"/>
      <w:bookmarkStart w:id="2222" w:name="_Toc482101976"/>
      <w:bookmarkStart w:id="2223" w:name="_Toc482101881"/>
      <w:bookmarkStart w:id="2224" w:name="_Toc482101788"/>
      <w:bookmarkStart w:id="2225" w:name="_Toc482101613"/>
      <w:bookmarkStart w:id="2226" w:name="_Toc482101498"/>
      <w:bookmarkStart w:id="2227" w:name="_Toc482101361"/>
      <w:bookmarkStart w:id="2228" w:name="_Toc482100935"/>
      <w:bookmarkStart w:id="2229" w:name="_Toc482100778"/>
      <w:bookmarkStart w:id="2230" w:name="_Toc482099061"/>
      <w:bookmarkStart w:id="2231" w:name="_Toc482097959"/>
      <w:bookmarkStart w:id="2232" w:name="_Toc482097767"/>
      <w:bookmarkStart w:id="2233" w:name="_Toc482097678"/>
      <w:bookmarkStart w:id="2234" w:name="_Toc482097589"/>
      <w:bookmarkStart w:id="2235" w:name="_Toc482025765"/>
      <w:bookmarkStart w:id="2236" w:name="_Toc485218345"/>
      <w:bookmarkStart w:id="2237" w:name="_Toc484688910"/>
      <w:bookmarkStart w:id="2238" w:name="_Toc484688355"/>
      <w:bookmarkStart w:id="2239" w:name="_Toc484605486"/>
      <w:bookmarkStart w:id="2240" w:name="_Toc484605362"/>
      <w:bookmarkStart w:id="2241" w:name="_Toc484526642"/>
      <w:bookmarkStart w:id="2242" w:name="_Toc484449147"/>
      <w:bookmarkStart w:id="2243" w:name="_Toc484449023"/>
      <w:bookmarkStart w:id="2244" w:name="_Toc484448899"/>
      <w:bookmarkStart w:id="2245" w:name="_Toc484448776"/>
      <w:bookmarkStart w:id="2246" w:name="_Toc484448652"/>
      <w:bookmarkStart w:id="2247" w:name="_Toc484448528"/>
      <w:bookmarkStart w:id="2248" w:name="_Toc484448404"/>
      <w:bookmarkStart w:id="2249" w:name="_Toc484448280"/>
      <w:bookmarkStart w:id="2250" w:name="_Toc484448156"/>
      <w:bookmarkStart w:id="2251" w:name="_Toc484440496"/>
      <w:bookmarkStart w:id="2252" w:name="_Toc484440136"/>
      <w:bookmarkStart w:id="2253" w:name="_Toc484440012"/>
      <w:bookmarkStart w:id="2254" w:name="_Toc484439889"/>
      <w:bookmarkStart w:id="2255" w:name="_Toc484438969"/>
      <w:bookmarkStart w:id="2256" w:name="_Toc484438845"/>
      <w:bookmarkStart w:id="2257" w:name="_Toc484438721"/>
      <w:bookmarkStart w:id="2258" w:name="_Toc484429146"/>
      <w:bookmarkStart w:id="2259" w:name="_Toc484428976"/>
      <w:bookmarkStart w:id="2260" w:name="_Toc484097802"/>
      <w:bookmarkStart w:id="2261" w:name="_Toc484011728"/>
      <w:bookmarkStart w:id="2262" w:name="_Toc484011253"/>
      <w:bookmarkStart w:id="2263" w:name="_Toc484011131"/>
      <w:bookmarkStart w:id="2264" w:name="_Toc484011009"/>
      <w:bookmarkStart w:id="2265" w:name="_Toc484010885"/>
      <w:bookmarkStart w:id="2266" w:name="_Toc484010763"/>
      <w:bookmarkStart w:id="2267" w:name="_Toc483907013"/>
      <w:bookmarkStart w:id="2268" w:name="_Toc483571635"/>
      <w:bookmarkStart w:id="2269" w:name="_Toc483571513"/>
      <w:bookmarkStart w:id="2270" w:name="_Toc483474082"/>
      <w:bookmarkStart w:id="2271" w:name="_Toc483401286"/>
      <w:bookmarkStart w:id="2272" w:name="_Toc483325808"/>
      <w:bookmarkStart w:id="2273" w:name="_Toc483316505"/>
      <w:bookmarkStart w:id="2274" w:name="_Toc483316374"/>
      <w:bookmarkStart w:id="2275" w:name="_Toc483316242"/>
      <w:bookmarkStart w:id="2276" w:name="_Toc483316037"/>
      <w:bookmarkStart w:id="2277" w:name="_Toc483302416"/>
      <w:bookmarkStart w:id="2278" w:name="_Toc483233699"/>
      <w:bookmarkStart w:id="2279" w:name="_Toc482979739"/>
      <w:bookmarkStart w:id="2280" w:name="_Toc482979641"/>
      <w:bookmarkStart w:id="2281" w:name="_Toc482979543"/>
      <w:bookmarkStart w:id="2282" w:name="_Toc482979435"/>
      <w:bookmarkStart w:id="2283" w:name="_Toc482979326"/>
      <w:bookmarkStart w:id="2284" w:name="_Toc482979217"/>
      <w:bookmarkStart w:id="2285" w:name="_Toc482979106"/>
      <w:bookmarkStart w:id="2286" w:name="_Toc482978998"/>
      <w:bookmarkStart w:id="2287" w:name="_Toc482978889"/>
      <w:bookmarkStart w:id="2288" w:name="_Toc482959770"/>
      <w:bookmarkStart w:id="2289" w:name="_Toc482959660"/>
      <w:bookmarkStart w:id="2290" w:name="_Toc482959550"/>
      <w:bookmarkStart w:id="2291" w:name="_Toc482712762"/>
      <w:bookmarkStart w:id="2292" w:name="_Toc482641316"/>
      <w:bookmarkStart w:id="2293" w:name="_Toc482633139"/>
      <w:bookmarkStart w:id="2294" w:name="_Toc482352298"/>
      <w:bookmarkStart w:id="2295" w:name="_Toc482352208"/>
      <w:bookmarkStart w:id="2296" w:name="_Toc482352118"/>
      <w:bookmarkStart w:id="2297" w:name="_Toc482352028"/>
      <w:bookmarkStart w:id="2298" w:name="_Toc482102164"/>
      <w:bookmarkStart w:id="2299" w:name="_Toc482102070"/>
      <w:bookmarkStart w:id="2300" w:name="_Toc482101975"/>
      <w:bookmarkStart w:id="2301" w:name="_Toc482101880"/>
      <w:bookmarkStart w:id="2302" w:name="_Toc482101787"/>
      <w:bookmarkStart w:id="2303" w:name="_Toc482101612"/>
      <w:bookmarkStart w:id="2304" w:name="_Toc482101497"/>
      <w:bookmarkStart w:id="2305" w:name="_Toc482101360"/>
      <w:bookmarkStart w:id="2306" w:name="_Toc482100934"/>
      <w:bookmarkStart w:id="2307" w:name="_Toc482100777"/>
      <w:bookmarkStart w:id="2308" w:name="_Toc482099060"/>
      <w:bookmarkStart w:id="2309" w:name="_Toc482097958"/>
      <w:bookmarkStart w:id="2310" w:name="_Toc482097766"/>
      <w:bookmarkStart w:id="2311" w:name="_Toc482097677"/>
      <w:bookmarkStart w:id="2312" w:name="_Toc482097588"/>
      <w:bookmarkStart w:id="2313" w:name="_Toc482025764"/>
      <w:bookmarkStart w:id="2314" w:name="_Toc485218344"/>
      <w:bookmarkStart w:id="2315" w:name="_Toc484688909"/>
      <w:bookmarkStart w:id="2316" w:name="_Toc484688354"/>
      <w:bookmarkStart w:id="2317" w:name="_Toc484605485"/>
      <w:bookmarkStart w:id="2318" w:name="_Toc484605361"/>
      <w:bookmarkStart w:id="2319" w:name="_Toc484526641"/>
      <w:bookmarkStart w:id="2320" w:name="_Toc484449146"/>
      <w:bookmarkStart w:id="2321" w:name="_Toc484449022"/>
      <w:bookmarkStart w:id="2322" w:name="_Toc484448898"/>
      <w:bookmarkStart w:id="2323" w:name="_Toc484448775"/>
      <w:bookmarkStart w:id="2324" w:name="_Toc484448651"/>
      <w:bookmarkStart w:id="2325" w:name="_Toc484448527"/>
      <w:bookmarkStart w:id="2326" w:name="_Toc484448403"/>
      <w:bookmarkStart w:id="2327" w:name="_Toc484448279"/>
      <w:bookmarkStart w:id="2328" w:name="_Toc484448155"/>
      <w:bookmarkStart w:id="2329" w:name="_Toc484440495"/>
      <w:bookmarkStart w:id="2330" w:name="_Toc484440135"/>
      <w:bookmarkStart w:id="2331" w:name="_Toc484440011"/>
      <w:bookmarkStart w:id="2332" w:name="_Toc484439888"/>
      <w:bookmarkStart w:id="2333" w:name="_Toc484438968"/>
      <w:bookmarkStart w:id="2334" w:name="_Toc484438844"/>
      <w:bookmarkStart w:id="2335" w:name="_Toc484438720"/>
      <w:bookmarkStart w:id="2336" w:name="_Toc484429145"/>
      <w:bookmarkStart w:id="2337" w:name="_Toc484428975"/>
      <w:bookmarkStart w:id="2338" w:name="_Toc484097801"/>
      <w:bookmarkStart w:id="2339" w:name="_Toc484011727"/>
      <w:bookmarkStart w:id="2340" w:name="_Toc484011252"/>
      <w:bookmarkStart w:id="2341" w:name="_Toc484011130"/>
      <w:bookmarkStart w:id="2342" w:name="_Toc484011008"/>
      <w:bookmarkStart w:id="2343" w:name="_Toc484010884"/>
      <w:bookmarkStart w:id="2344" w:name="_Toc484010762"/>
      <w:bookmarkStart w:id="2345" w:name="_Toc483907012"/>
      <w:bookmarkStart w:id="2346" w:name="_Toc483571634"/>
      <w:bookmarkStart w:id="2347" w:name="_Toc483571512"/>
      <w:bookmarkStart w:id="2348" w:name="_Toc483474081"/>
      <w:bookmarkStart w:id="2349" w:name="_Toc483401285"/>
      <w:bookmarkStart w:id="2350" w:name="_Toc483325807"/>
      <w:bookmarkStart w:id="2351" w:name="_Toc483316504"/>
      <w:bookmarkStart w:id="2352" w:name="_Toc483316373"/>
      <w:bookmarkStart w:id="2353" w:name="_Toc483316241"/>
      <w:bookmarkStart w:id="2354" w:name="_Toc483316036"/>
      <w:bookmarkStart w:id="2355" w:name="_Toc483302415"/>
      <w:bookmarkStart w:id="2356" w:name="_Toc483233698"/>
      <w:bookmarkStart w:id="2357" w:name="_Toc482979738"/>
      <w:bookmarkStart w:id="2358" w:name="_Toc482979640"/>
      <w:bookmarkStart w:id="2359" w:name="_Toc482979542"/>
      <w:bookmarkStart w:id="2360" w:name="_Toc482979434"/>
      <w:bookmarkStart w:id="2361" w:name="_Toc482979325"/>
      <w:bookmarkStart w:id="2362" w:name="_Toc482979216"/>
      <w:bookmarkStart w:id="2363" w:name="_Toc482979105"/>
      <w:bookmarkStart w:id="2364" w:name="_Toc482978997"/>
      <w:bookmarkStart w:id="2365" w:name="_Toc482978888"/>
      <w:bookmarkStart w:id="2366" w:name="_Toc482959769"/>
      <w:bookmarkStart w:id="2367" w:name="_Toc482959659"/>
      <w:bookmarkStart w:id="2368" w:name="_Toc482959549"/>
      <w:bookmarkStart w:id="2369" w:name="_Toc482712761"/>
      <w:bookmarkStart w:id="2370" w:name="_Toc482641315"/>
      <w:bookmarkStart w:id="2371" w:name="_Toc482633138"/>
      <w:bookmarkStart w:id="2372" w:name="_Toc482352297"/>
      <w:bookmarkStart w:id="2373" w:name="_Toc482352207"/>
      <w:bookmarkStart w:id="2374" w:name="_Toc482352117"/>
      <w:bookmarkStart w:id="2375" w:name="_Toc482352027"/>
      <w:bookmarkStart w:id="2376" w:name="_Toc482102163"/>
      <w:bookmarkStart w:id="2377" w:name="_Toc482102069"/>
      <w:bookmarkStart w:id="2378" w:name="_Toc482101974"/>
      <w:bookmarkStart w:id="2379" w:name="_Toc482101879"/>
      <w:bookmarkStart w:id="2380" w:name="_Toc482101786"/>
      <w:bookmarkStart w:id="2381" w:name="_Toc482101611"/>
      <w:bookmarkStart w:id="2382" w:name="_Toc482101496"/>
      <w:bookmarkStart w:id="2383" w:name="_Toc482101359"/>
      <w:bookmarkStart w:id="2384" w:name="_Toc482100933"/>
      <w:bookmarkStart w:id="2385" w:name="_Toc482100776"/>
      <w:bookmarkStart w:id="2386" w:name="_Toc482099059"/>
      <w:bookmarkStart w:id="2387" w:name="_Toc482097957"/>
      <w:bookmarkStart w:id="2388" w:name="_Toc482097765"/>
      <w:bookmarkStart w:id="2389" w:name="_Toc482097676"/>
      <w:bookmarkStart w:id="2390" w:name="_Toc482097587"/>
      <w:bookmarkStart w:id="2391" w:name="_Toc482025763"/>
      <w:bookmarkStart w:id="2392" w:name="_Toc485218343"/>
      <w:bookmarkStart w:id="2393" w:name="_Toc484688908"/>
      <w:bookmarkStart w:id="2394" w:name="_Toc484688353"/>
      <w:bookmarkStart w:id="2395" w:name="_Toc484605484"/>
      <w:bookmarkStart w:id="2396" w:name="_Toc484605360"/>
      <w:bookmarkStart w:id="2397" w:name="_Toc484526640"/>
      <w:bookmarkStart w:id="2398" w:name="_Toc484449145"/>
      <w:bookmarkStart w:id="2399" w:name="_Toc484449021"/>
      <w:bookmarkStart w:id="2400" w:name="_Toc484448897"/>
      <w:bookmarkStart w:id="2401" w:name="_Toc484448774"/>
      <w:bookmarkStart w:id="2402" w:name="_Toc484448650"/>
      <w:bookmarkStart w:id="2403" w:name="_Toc484448526"/>
      <w:bookmarkStart w:id="2404" w:name="_Toc484448402"/>
      <w:bookmarkStart w:id="2405" w:name="_Toc484448278"/>
      <w:bookmarkStart w:id="2406" w:name="_Toc484448154"/>
      <w:bookmarkStart w:id="2407" w:name="_Toc484440494"/>
      <w:bookmarkStart w:id="2408" w:name="_Toc484440134"/>
      <w:bookmarkStart w:id="2409" w:name="_Toc484440010"/>
      <w:bookmarkStart w:id="2410" w:name="_Toc484439887"/>
      <w:bookmarkStart w:id="2411" w:name="_Toc484438967"/>
      <w:bookmarkStart w:id="2412" w:name="_Toc484438843"/>
      <w:bookmarkStart w:id="2413" w:name="_Toc484438719"/>
      <w:bookmarkStart w:id="2414" w:name="_Toc484429144"/>
      <w:bookmarkStart w:id="2415" w:name="_Toc484428974"/>
      <w:bookmarkStart w:id="2416" w:name="_Toc484097800"/>
      <w:bookmarkStart w:id="2417" w:name="_Toc484011726"/>
      <w:bookmarkStart w:id="2418" w:name="_Toc484011251"/>
      <w:bookmarkStart w:id="2419" w:name="_Toc484011129"/>
      <w:bookmarkStart w:id="2420" w:name="_Toc484011007"/>
      <w:bookmarkStart w:id="2421" w:name="_Toc484010883"/>
      <w:bookmarkStart w:id="2422" w:name="_Toc484010761"/>
      <w:bookmarkStart w:id="2423" w:name="_Toc483907011"/>
      <w:bookmarkStart w:id="2424" w:name="_Toc483571633"/>
      <w:bookmarkStart w:id="2425" w:name="_Toc483571511"/>
      <w:bookmarkStart w:id="2426" w:name="_Toc483474080"/>
      <w:bookmarkStart w:id="2427" w:name="_Toc483401284"/>
      <w:bookmarkStart w:id="2428" w:name="_Toc483325806"/>
      <w:bookmarkStart w:id="2429" w:name="_Toc483316503"/>
      <w:bookmarkStart w:id="2430" w:name="_Toc483316372"/>
      <w:bookmarkStart w:id="2431" w:name="_Toc483316240"/>
      <w:bookmarkStart w:id="2432" w:name="_Toc483316035"/>
      <w:bookmarkStart w:id="2433" w:name="_Toc483302414"/>
      <w:bookmarkStart w:id="2434" w:name="_Toc483233697"/>
      <w:bookmarkStart w:id="2435" w:name="_Toc482979737"/>
      <w:bookmarkStart w:id="2436" w:name="_Toc482979639"/>
      <w:bookmarkStart w:id="2437" w:name="_Toc482979541"/>
      <w:bookmarkStart w:id="2438" w:name="_Toc482979433"/>
      <w:bookmarkStart w:id="2439" w:name="_Toc482979324"/>
      <w:bookmarkStart w:id="2440" w:name="_Toc482979215"/>
      <w:bookmarkStart w:id="2441" w:name="_Toc482979104"/>
      <w:bookmarkStart w:id="2442" w:name="_Toc482978996"/>
      <w:bookmarkStart w:id="2443" w:name="_Toc482978887"/>
      <w:bookmarkStart w:id="2444" w:name="_Toc482959768"/>
      <w:bookmarkStart w:id="2445" w:name="_Toc482959658"/>
      <w:bookmarkStart w:id="2446" w:name="_Toc482959548"/>
      <w:bookmarkStart w:id="2447" w:name="_Toc482712760"/>
      <w:bookmarkStart w:id="2448" w:name="_Toc482641314"/>
      <w:bookmarkStart w:id="2449" w:name="_Toc482633137"/>
      <w:bookmarkStart w:id="2450" w:name="_Toc482352296"/>
      <w:bookmarkStart w:id="2451" w:name="_Toc482352206"/>
      <w:bookmarkStart w:id="2452" w:name="_Toc482352116"/>
      <w:bookmarkStart w:id="2453" w:name="_Toc482352026"/>
      <w:bookmarkStart w:id="2454" w:name="_Toc482102162"/>
      <w:bookmarkStart w:id="2455" w:name="_Toc482102068"/>
      <w:bookmarkStart w:id="2456" w:name="_Toc482101973"/>
      <w:bookmarkStart w:id="2457" w:name="_Toc482101878"/>
      <w:bookmarkStart w:id="2458" w:name="_Toc482101785"/>
      <w:bookmarkStart w:id="2459" w:name="_Toc482101610"/>
      <w:bookmarkStart w:id="2460" w:name="_Toc482101495"/>
      <w:bookmarkStart w:id="2461" w:name="_Toc482101358"/>
      <w:bookmarkStart w:id="2462" w:name="_Toc482100932"/>
      <w:bookmarkStart w:id="2463" w:name="_Toc482100775"/>
      <w:bookmarkStart w:id="2464" w:name="_Toc482099058"/>
      <w:bookmarkStart w:id="2465" w:name="_Toc482097956"/>
      <w:bookmarkStart w:id="2466" w:name="_Toc482097764"/>
      <w:bookmarkStart w:id="2467" w:name="_Toc482097675"/>
      <w:bookmarkStart w:id="2468" w:name="_Toc482097586"/>
      <w:bookmarkStart w:id="2469" w:name="_Toc482025762"/>
      <w:bookmarkStart w:id="2470" w:name="_Toc485218342"/>
      <w:bookmarkStart w:id="2471" w:name="_Toc484688907"/>
      <w:bookmarkStart w:id="2472" w:name="_Toc484688352"/>
      <w:bookmarkStart w:id="2473" w:name="_Toc484605483"/>
      <w:bookmarkStart w:id="2474" w:name="_Toc484605359"/>
      <w:bookmarkStart w:id="2475" w:name="_Toc484526639"/>
      <w:bookmarkStart w:id="2476" w:name="_Toc484449144"/>
      <w:bookmarkStart w:id="2477" w:name="_Toc484449020"/>
      <w:bookmarkStart w:id="2478" w:name="_Toc484448896"/>
      <w:bookmarkStart w:id="2479" w:name="_Toc484448773"/>
      <w:bookmarkStart w:id="2480" w:name="_Toc484448649"/>
      <w:bookmarkStart w:id="2481" w:name="_Toc484448525"/>
      <w:bookmarkStart w:id="2482" w:name="_Toc484448401"/>
      <w:bookmarkStart w:id="2483" w:name="_Toc484448277"/>
      <w:bookmarkStart w:id="2484" w:name="_Toc484448153"/>
      <w:bookmarkStart w:id="2485" w:name="_Toc484440493"/>
      <w:bookmarkStart w:id="2486" w:name="_Toc484440133"/>
      <w:bookmarkStart w:id="2487" w:name="_Toc484440009"/>
      <w:bookmarkStart w:id="2488" w:name="_Toc484439886"/>
      <w:bookmarkStart w:id="2489" w:name="_Toc484438966"/>
      <w:bookmarkStart w:id="2490" w:name="_Toc484438842"/>
      <w:bookmarkStart w:id="2491" w:name="_Toc484438718"/>
      <w:bookmarkStart w:id="2492" w:name="_Toc484429143"/>
      <w:bookmarkStart w:id="2493" w:name="_Toc484428973"/>
      <w:bookmarkStart w:id="2494" w:name="_Toc484097799"/>
      <w:bookmarkStart w:id="2495" w:name="_Toc484011725"/>
      <w:bookmarkStart w:id="2496" w:name="_Toc484011250"/>
      <w:bookmarkStart w:id="2497" w:name="_Toc484011128"/>
      <w:bookmarkStart w:id="2498" w:name="_Toc484011006"/>
      <w:bookmarkStart w:id="2499" w:name="_Toc484010882"/>
      <w:bookmarkStart w:id="2500" w:name="_Toc484010760"/>
      <w:bookmarkStart w:id="2501" w:name="_Toc483907010"/>
      <w:bookmarkStart w:id="2502" w:name="_Toc483571632"/>
      <w:bookmarkStart w:id="2503" w:name="_Toc483571510"/>
      <w:bookmarkStart w:id="2504" w:name="_Toc483474079"/>
      <w:bookmarkStart w:id="2505" w:name="_Toc483401283"/>
      <w:bookmarkStart w:id="2506" w:name="_Toc483325805"/>
      <w:bookmarkStart w:id="2507" w:name="_Toc483316502"/>
      <w:bookmarkStart w:id="2508" w:name="_Toc483316371"/>
      <w:bookmarkStart w:id="2509" w:name="_Toc483316239"/>
      <w:bookmarkStart w:id="2510" w:name="_Toc483316034"/>
      <w:bookmarkStart w:id="2511" w:name="_Toc483302413"/>
      <w:bookmarkStart w:id="2512" w:name="_Toc483233696"/>
      <w:bookmarkStart w:id="2513" w:name="_Toc482979736"/>
      <w:bookmarkStart w:id="2514" w:name="_Toc482979638"/>
      <w:bookmarkStart w:id="2515" w:name="_Toc482979540"/>
      <w:bookmarkStart w:id="2516" w:name="_Toc482979432"/>
      <w:bookmarkStart w:id="2517" w:name="_Toc482979323"/>
      <w:bookmarkStart w:id="2518" w:name="_Toc482979214"/>
      <w:bookmarkStart w:id="2519" w:name="_Toc482979103"/>
      <w:bookmarkStart w:id="2520" w:name="_Toc482978995"/>
      <w:bookmarkStart w:id="2521" w:name="_Toc482978886"/>
      <w:bookmarkStart w:id="2522" w:name="_Toc482959767"/>
      <w:bookmarkStart w:id="2523" w:name="_Toc482959657"/>
      <w:bookmarkStart w:id="2524" w:name="_Toc482959547"/>
      <w:bookmarkStart w:id="2525" w:name="_Toc482712759"/>
      <w:bookmarkStart w:id="2526" w:name="_Toc482641313"/>
      <w:bookmarkStart w:id="2527" w:name="_Toc482633136"/>
      <w:bookmarkStart w:id="2528" w:name="_Toc482352295"/>
      <w:bookmarkStart w:id="2529" w:name="_Toc482352205"/>
      <w:bookmarkStart w:id="2530" w:name="_Toc482352115"/>
      <w:bookmarkStart w:id="2531" w:name="_Toc482352025"/>
      <w:bookmarkStart w:id="2532" w:name="_Toc482102161"/>
      <w:bookmarkStart w:id="2533" w:name="_Toc482102067"/>
      <w:bookmarkStart w:id="2534" w:name="_Toc482101972"/>
      <w:bookmarkStart w:id="2535" w:name="_Toc482101877"/>
      <w:bookmarkStart w:id="2536" w:name="_Toc482101784"/>
      <w:bookmarkStart w:id="2537" w:name="_Toc482101609"/>
      <w:bookmarkStart w:id="2538" w:name="_Toc482101494"/>
      <w:bookmarkStart w:id="2539" w:name="_Toc482101357"/>
      <w:bookmarkStart w:id="2540" w:name="_Toc482100931"/>
      <w:bookmarkStart w:id="2541" w:name="_Toc482100774"/>
      <w:bookmarkStart w:id="2542" w:name="_Toc482099057"/>
      <w:bookmarkStart w:id="2543" w:name="_Toc482097955"/>
      <w:bookmarkStart w:id="2544" w:name="_Toc482097763"/>
      <w:bookmarkStart w:id="2545" w:name="_Toc482097674"/>
      <w:bookmarkStart w:id="2546" w:name="_Toc482097585"/>
      <w:bookmarkStart w:id="2547" w:name="_Toc482025761"/>
      <w:bookmarkStart w:id="2548" w:name="_Toc485218341"/>
      <w:bookmarkStart w:id="2549" w:name="_Toc484688906"/>
      <w:bookmarkStart w:id="2550" w:name="_Toc484688351"/>
      <w:bookmarkStart w:id="2551" w:name="_Toc484605482"/>
      <w:bookmarkStart w:id="2552" w:name="_Toc484605358"/>
      <w:bookmarkStart w:id="2553" w:name="_Toc484526638"/>
      <w:bookmarkStart w:id="2554" w:name="_Toc484449143"/>
      <w:bookmarkStart w:id="2555" w:name="_Toc484449019"/>
      <w:bookmarkStart w:id="2556" w:name="_Toc484448895"/>
      <w:bookmarkStart w:id="2557" w:name="_Toc484448772"/>
      <w:bookmarkStart w:id="2558" w:name="_Toc484448648"/>
      <w:bookmarkStart w:id="2559" w:name="_Toc484448524"/>
      <w:bookmarkStart w:id="2560" w:name="_Toc484448400"/>
      <w:bookmarkStart w:id="2561" w:name="_Toc484448276"/>
      <w:bookmarkStart w:id="2562" w:name="_Toc484448152"/>
      <w:bookmarkStart w:id="2563" w:name="_Toc484440492"/>
      <w:bookmarkStart w:id="2564" w:name="_Toc484440132"/>
      <w:bookmarkStart w:id="2565" w:name="_Toc484440008"/>
      <w:bookmarkStart w:id="2566" w:name="_Toc484439885"/>
      <w:bookmarkStart w:id="2567" w:name="_Toc484438965"/>
      <w:bookmarkStart w:id="2568" w:name="_Toc484438841"/>
      <w:bookmarkStart w:id="2569" w:name="_Toc484438717"/>
      <w:bookmarkStart w:id="2570" w:name="_Toc484429142"/>
      <w:bookmarkStart w:id="2571" w:name="_Toc484428972"/>
      <w:bookmarkStart w:id="2572" w:name="_Toc484097798"/>
      <w:bookmarkStart w:id="2573" w:name="_Toc484011724"/>
      <w:bookmarkStart w:id="2574" w:name="_Toc484011249"/>
      <w:bookmarkStart w:id="2575" w:name="_Toc484011127"/>
      <w:bookmarkStart w:id="2576" w:name="_Toc484011005"/>
      <w:bookmarkStart w:id="2577" w:name="_Toc484010881"/>
      <w:bookmarkStart w:id="2578" w:name="_Toc484010759"/>
      <w:bookmarkStart w:id="2579" w:name="_Toc483907009"/>
      <w:bookmarkStart w:id="2580" w:name="_Toc483571631"/>
      <w:bookmarkStart w:id="2581" w:name="_Toc483571509"/>
      <w:bookmarkStart w:id="2582" w:name="_Toc483474078"/>
      <w:bookmarkStart w:id="2583" w:name="_Toc483401282"/>
      <w:bookmarkStart w:id="2584" w:name="_Toc483325804"/>
      <w:bookmarkStart w:id="2585" w:name="_Toc483316501"/>
      <w:bookmarkStart w:id="2586" w:name="_Toc483316370"/>
      <w:bookmarkStart w:id="2587" w:name="_Toc483316238"/>
      <w:bookmarkStart w:id="2588" w:name="_Toc483316033"/>
      <w:bookmarkStart w:id="2589" w:name="_Toc483302412"/>
      <w:bookmarkStart w:id="2590" w:name="_Toc483233695"/>
      <w:bookmarkStart w:id="2591" w:name="_Toc482979735"/>
      <w:bookmarkStart w:id="2592" w:name="_Toc482979637"/>
      <w:bookmarkStart w:id="2593" w:name="_Toc482979539"/>
      <w:bookmarkStart w:id="2594" w:name="_Toc482979431"/>
      <w:bookmarkStart w:id="2595" w:name="_Toc482979322"/>
      <w:bookmarkStart w:id="2596" w:name="_Toc482979213"/>
      <w:bookmarkStart w:id="2597" w:name="_Toc482979102"/>
      <w:bookmarkStart w:id="2598" w:name="_Toc482978994"/>
      <w:bookmarkStart w:id="2599" w:name="_Toc482978885"/>
      <w:bookmarkStart w:id="2600" w:name="_Toc482959766"/>
      <w:bookmarkStart w:id="2601" w:name="_Toc482959656"/>
      <w:bookmarkStart w:id="2602" w:name="_Toc482959546"/>
      <w:bookmarkStart w:id="2603" w:name="_Toc482712758"/>
      <w:bookmarkStart w:id="2604" w:name="_Toc482641312"/>
      <w:bookmarkStart w:id="2605" w:name="_Toc482633135"/>
      <w:bookmarkStart w:id="2606" w:name="_Toc482352294"/>
      <w:bookmarkStart w:id="2607" w:name="_Toc482352204"/>
      <w:bookmarkStart w:id="2608" w:name="_Toc482352114"/>
      <w:bookmarkStart w:id="2609" w:name="_Toc482352024"/>
      <w:bookmarkStart w:id="2610" w:name="_Toc482102160"/>
      <w:bookmarkStart w:id="2611" w:name="_Toc482102066"/>
      <w:bookmarkStart w:id="2612" w:name="_Toc482101971"/>
      <w:bookmarkStart w:id="2613" w:name="_Toc482101876"/>
      <w:bookmarkStart w:id="2614" w:name="_Toc482101783"/>
      <w:bookmarkStart w:id="2615" w:name="_Toc482101608"/>
      <w:bookmarkStart w:id="2616" w:name="_Toc482101493"/>
      <w:bookmarkStart w:id="2617" w:name="_Toc482101356"/>
      <w:bookmarkStart w:id="2618" w:name="_Toc482100930"/>
      <w:bookmarkStart w:id="2619" w:name="_Toc482100773"/>
      <w:bookmarkStart w:id="2620" w:name="_Toc482099056"/>
      <w:bookmarkStart w:id="2621" w:name="_Toc482097954"/>
      <w:bookmarkStart w:id="2622" w:name="_Toc482097762"/>
      <w:bookmarkStart w:id="2623" w:name="_Toc482097673"/>
      <w:bookmarkStart w:id="2624" w:name="_Toc482097584"/>
      <w:bookmarkStart w:id="2625" w:name="_Toc482025760"/>
      <w:bookmarkStart w:id="2626" w:name="_Toc485218340"/>
      <w:bookmarkStart w:id="2627" w:name="_Toc484688905"/>
      <w:bookmarkStart w:id="2628" w:name="_Toc484688350"/>
      <w:bookmarkStart w:id="2629" w:name="_Toc484605481"/>
      <w:bookmarkStart w:id="2630" w:name="_Toc484605357"/>
      <w:bookmarkStart w:id="2631" w:name="_Toc484526637"/>
      <w:bookmarkStart w:id="2632" w:name="_Toc484449142"/>
      <w:bookmarkStart w:id="2633" w:name="_Toc484449018"/>
      <w:bookmarkStart w:id="2634" w:name="_Toc484448894"/>
      <w:bookmarkStart w:id="2635" w:name="_Toc484448771"/>
      <w:bookmarkStart w:id="2636" w:name="_Toc484448647"/>
      <w:bookmarkStart w:id="2637" w:name="_Toc484448523"/>
      <w:bookmarkStart w:id="2638" w:name="_Toc484448399"/>
      <w:bookmarkStart w:id="2639" w:name="_Toc484448275"/>
      <w:bookmarkStart w:id="2640" w:name="_Toc484448151"/>
      <w:bookmarkStart w:id="2641" w:name="_Toc484440491"/>
      <w:bookmarkStart w:id="2642" w:name="_Toc484440131"/>
      <w:bookmarkStart w:id="2643" w:name="_Toc484440007"/>
      <w:bookmarkStart w:id="2644" w:name="_Toc484439884"/>
      <w:bookmarkStart w:id="2645" w:name="_Toc484438964"/>
      <w:bookmarkStart w:id="2646" w:name="_Toc484438840"/>
      <w:bookmarkStart w:id="2647" w:name="_Toc484438716"/>
      <w:bookmarkStart w:id="2648" w:name="_Toc484429141"/>
      <w:bookmarkStart w:id="2649" w:name="_Toc484428971"/>
      <w:bookmarkStart w:id="2650" w:name="_Toc484097797"/>
      <w:bookmarkStart w:id="2651" w:name="_Toc484011723"/>
      <w:bookmarkStart w:id="2652" w:name="_Toc484011248"/>
      <w:bookmarkStart w:id="2653" w:name="_Toc484011126"/>
      <w:bookmarkStart w:id="2654" w:name="_Toc484011004"/>
      <w:bookmarkStart w:id="2655" w:name="_Toc484010880"/>
      <w:bookmarkStart w:id="2656" w:name="_Toc484010758"/>
      <w:bookmarkStart w:id="2657" w:name="_Toc483907008"/>
      <w:bookmarkStart w:id="2658" w:name="_Toc483571630"/>
      <w:bookmarkStart w:id="2659" w:name="_Toc483571508"/>
      <w:bookmarkStart w:id="2660" w:name="_Toc483474077"/>
      <w:bookmarkStart w:id="2661" w:name="_Toc483401281"/>
      <w:bookmarkStart w:id="2662" w:name="_Toc483325803"/>
      <w:bookmarkStart w:id="2663" w:name="_Toc483316500"/>
      <w:bookmarkStart w:id="2664" w:name="_Toc483316369"/>
      <w:bookmarkStart w:id="2665" w:name="_Toc483316237"/>
      <w:bookmarkStart w:id="2666" w:name="_Toc483316032"/>
      <w:bookmarkStart w:id="2667" w:name="_Toc483302411"/>
      <w:bookmarkStart w:id="2668" w:name="_Toc483233694"/>
      <w:bookmarkStart w:id="2669" w:name="_Toc482979734"/>
      <w:bookmarkStart w:id="2670" w:name="_Toc482979636"/>
      <w:bookmarkStart w:id="2671" w:name="_Toc482979538"/>
      <w:bookmarkStart w:id="2672" w:name="_Toc482979430"/>
      <w:bookmarkStart w:id="2673" w:name="_Toc482979321"/>
      <w:bookmarkStart w:id="2674" w:name="_Toc482979212"/>
      <w:bookmarkStart w:id="2675" w:name="_Toc482979101"/>
      <w:bookmarkStart w:id="2676" w:name="_Toc482978993"/>
      <w:bookmarkStart w:id="2677" w:name="_Toc482978884"/>
      <w:bookmarkStart w:id="2678" w:name="_Toc482959765"/>
      <w:bookmarkStart w:id="2679" w:name="_Toc482959655"/>
      <w:bookmarkStart w:id="2680" w:name="_Toc482959545"/>
      <w:bookmarkStart w:id="2681" w:name="_Toc482712757"/>
      <w:bookmarkStart w:id="2682" w:name="_Toc482641311"/>
      <w:bookmarkStart w:id="2683" w:name="_Toc482633134"/>
      <w:bookmarkStart w:id="2684" w:name="_Toc482352293"/>
      <w:bookmarkStart w:id="2685" w:name="_Toc482352203"/>
      <w:bookmarkStart w:id="2686" w:name="_Toc482352113"/>
      <w:bookmarkStart w:id="2687" w:name="_Toc482352023"/>
      <w:bookmarkStart w:id="2688" w:name="_Toc482102159"/>
      <w:bookmarkStart w:id="2689" w:name="_Toc482102065"/>
      <w:bookmarkStart w:id="2690" w:name="_Toc482101970"/>
      <w:bookmarkStart w:id="2691" w:name="_Toc482101875"/>
      <w:bookmarkStart w:id="2692" w:name="_Toc482101782"/>
      <w:bookmarkStart w:id="2693" w:name="_Toc482101607"/>
      <w:bookmarkStart w:id="2694" w:name="_Toc482101492"/>
      <w:bookmarkStart w:id="2695" w:name="_Toc482101355"/>
      <w:bookmarkStart w:id="2696" w:name="_Toc482100929"/>
      <w:bookmarkStart w:id="2697" w:name="_Toc482100772"/>
      <w:bookmarkStart w:id="2698" w:name="_Toc482099055"/>
      <w:bookmarkStart w:id="2699" w:name="_Toc482097953"/>
      <w:bookmarkStart w:id="2700" w:name="_Toc482097761"/>
      <w:bookmarkStart w:id="2701" w:name="_Toc482097672"/>
      <w:bookmarkStart w:id="2702" w:name="_Toc482097583"/>
      <w:bookmarkStart w:id="2703" w:name="_Toc482025759"/>
      <w:bookmarkStart w:id="2704" w:name="_Toc485218339"/>
      <w:bookmarkStart w:id="2705" w:name="_Toc484688904"/>
      <w:bookmarkStart w:id="2706" w:name="_Toc484688349"/>
      <w:bookmarkStart w:id="2707" w:name="_Toc484605480"/>
      <w:bookmarkStart w:id="2708" w:name="_Toc484605356"/>
      <w:bookmarkStart w:id="2709" w:name="_Toc484526636"/>
      <w:bookmarkStart w:id="2710" w:name="_Toc484449141"/>
      <w:bookmarkStart w:id="2711" w:name="_Toc484449017"/>
      <w:bookmarkStart w:id="2712" w:name="_Toc484448893"/>
      <w:bookmarkStart w:id="2713" w:name="_Toc484448770"/>
      <w:bookmarkStart w:id="2714" w:name="_Toc484448646"/>
      <w:bookmarkStart w:id="2715" w:name="_Toc484448522"/>
      <w:bookmarkStart w:id="2716" w:name="_Toc484448398"/>
      <w:bookmarkStart w:id="2717" w:name="_Toc484448274"/>
      <w:bookmarkStart w:id="2718" w:name="_Toc484448150"/>
      <w:bookmarkStart w:id="2719" w:name="_Toc484440490"/>
      <w:bookmarkStart w:id="2720" w:name="_Toc484440130"/>
      <w:bookmarkStart w:id="2721" w:name="_Toc484440006"/>
      <w:bookmarkStart w:id="2722" w:name="_Toc484439883"/>
      <w:bookmarkStart w:id="2723" w:name="_Toc484438963"/>
      <w:bookmarkStart w:id="2724" w:name="_Toc484438839"/>
      <w:bookmarkStart w:id="2725" w:name="_Toc484438715"/>
      <w:bookmarkStart w:id="2726" w:name="_Toc484429140"/>
      <w:bookmarkStart w:id="2727" w:name="_Toc484428970"/>
      <w:bookmarkStart w:id="2728" w:name="_Toc484097796"/>
      <w:bookmarkStart w:id="2729" w:name="_Toc484011722"/>
      <w:bookmarkStart w:id="2730" w:name="_Toc484011247"/>
      <w:bookmarkStart w:id="2731" w:name="_Toc484011125"/>
      <w:bookmarkStart w:id="2732" w:name="_Toc484011003"/>
      <w:bookmarkStart w:id="2733" w:name="_Toc484010879"/>
      <w:bookmarkStart w:id="2734" w:name="_Toc484010757"/>
      <w:bookmarkStart w:id="2735" w:name="_Toc483907007"/>
      <w:bookmarkStart w:id="2736" w:name="_Toc483571629"/>
      <w:bookmarkStart w:id="2737" w:name="_Toc483571507"/>
      <w:bookmarkStart w:id="2738" w:name="_Toc483474076"/>
      <w:bookmarkStart w:id="2739" w:name="_Toc483401280"/>
      <w:bookmarkStart w:id="2740" w:name="_Toc483325802"/>
      <w:bookmarkStart w:id="2741" w:name="_Toc483316499"/>
      <w:bookmarkStart w:id="2742" w:name="_Toc483316368"/>
      <w:bookmarkStart w:id="2743" w:name="_Toc483316236"/>
      <w:bookmarkStart w:id="2744" w:name="_Toc483316031"/>
      <w:bookmarkStart w:id="2745" w:name="_Toc483302410"/>
      <w:bookmarkStart w:id="2746" w:name="_Toc483233693"/>
      <w:bookmarkStart w:id="2747" w:name="_Toc482979733"/>
      <w:bookmarkStart w:id="2748" w:name="_Toc482979635"/>
      <w:bookmarkStart w:id="2749" w:name="_Toc482979537"/>
      <w:bookmarkStart w:id="2750" w:name="_Toc482979429"/>
      <w:bookmarkStart w:id="2751" w:name="_Toc482979320"/>
      <w:bookmarkStart w:id="2752" w:name="_Toc482979211"/>
      <w:bookmarkStart w:id="2753" w:name="_Toc482979100"/>
      <w:bookmarkStart w:id="2754" w:name="_Toc482978992"/>
      <w:bookmarkStart w:id="2755" w:name="_Toc482978883"/>
      <w:bookmarkStart w:id="2756" w:name="_Toc482959764"/>
      <w:bookmarkStart w:id="2757" w:name="_Toc482959654"/>
      <w:bookmarkStart w:id="2758" w:name="_Toc482959544"/>
      <w:bookmarkStart w:id="2759" w:name="_Toc482712756"/>
      <w:bookmarkStart w:id="2760" w:name="_Toc482641310"/>
      <w:bookmarkStart w:id="2761" w:name="_Toc482633133"/>
      <w:bookmarkStart w:id="2762" w:name="_Toc482352292"/>
      <w:bookmarkStart w:id="2763" w:name="_Toc482352202"/>
      <w:bookmarkStart w:id="2764" w:name="_Toc482352112"/>
      <w:bookmarkStart w:id="2765" w:name="_Toc482352022"/>
      <w:bookmarkStart w:id="2766" w:name="_Toc482102158"/>
      <w:bookmarkStart w:id="2767" w:name="_Toc482102064"/>
      <w:bookmarkStart w:id="2768" w:name="_Toc482101969"/>
      <w:bookmarkStart w:id="2769" w:name="_Toc482101874"/>
      <w:bookmarkStart w:id="2770" w:name="_Toc482101781"/>
      <w:bookmarkStart w:id="2771" w:name="_Toc482101606"/>
      <w:bookmarkStart w:id="2772" w:name="_Toc482101491"/>
      <w:bookmarkStart w:id="2773" w:name="_Toc482101354"/>
      <w:bookmarkStart w:id="2774" w:name="_Toc482100928"/>
      <w:bookmarkStart w:id="2775" w:name="_Toc482100771"/>
      <w:bookmarkStart w:id="2776" w:name="_Toc482099054"/>
      <w:bookmarkStart w:id="2777" w:name="_Toc482097952"/>
      <w:bookmarkStart w:id="2778" w:name="_Toc482097760"/>
      <w:bookmarkStart w:id="2779" w:name="_Toc482097671"/>
      <w:bookmarkStart w:id="2780" w:name="_Toc482097582"/>
      <w:bookmarkStart w:id="2781" w:name="_Toc482025758"/>
      <w:bookmarkStart w:id="2782" w:name="_Toc485218338"/>
      <w:bookmarkStart w:id="2783" w:name="_Toc484688903"/>
      <w:bookmarkStart w:id="2784" w:name="_Toc484688348"/>
      <w:bookmarkStart w:id="2785" w:name="_Toc484605479"/>
      <w:bookmarkStart w:id="2786" w:name="_Toc484605355"/>
      <w:bookmarkStart w:id="2787" w:name="_Toc484526635"/>
      <w:bookmarkStart w:id="2788" w:name="_Toc484449140"/>
      <w:bookmarkStart w:id="2789" w:name="_Toc484449016"/>
      <w:bookmarkStart w:id="2790" w:name="_Toc484448892"/>
      <w:bookmarkStart w:id="2791" w:name="_Toc484448769"/>
      <w:bookmarkStart w:id="2792" w:name="_Toc484448645"/>
      <w:bookmarkStart w:id="2793" w:name="_Toc484448521"/>
      <w:bookmarkStart w:id="2794" w:name="_Toc484448397"/>
      <w:bookmarkStart w:id="2795" w:name="_Toc484448273"/>
      <w:bookmarkStart w:id="2796" w:name="_Toc484448149"/>
      <w:bookmarkStart w:id="2797" w:name="_Toc484440489"/>
      <w:bookmarkStart w:id="2798" w:name="_Toc484440129"/>
      <w:bookmarkStart w:id="2799" w:name="_Toc484440005"/>
      <w:bookmarkStart w:id="2800" w:name="_Toc484439882"/>
      <w:bookmarkStart w:id="2801" w:name="_Toc484438962"/>
      <w:bookmarkStart w:id="2802" w:name="_Toc484438838"/>
      <w:bookmarkStart w:id="2803" w:name="_Toc484438714"/>
      <w:bookmarkStart w:id="2804" w:name="_Toc484429139"/>
      <w:bookmarkStart w:id="2805" w:name="_Toc484428969"/>
      <w:bookmarkStart w:id="2806" w:name="_Toc484097795"/>
      <w:bookmarkStart w:id="2807" w:name="_Toc484011721"/>
      <w:bookmarkStart w:id="2808" w:name="_Toc484011246"/>
      <w:bookmarkStart w:id="2809" w:name="_Toc484011124"/>
      <w:bookmarkStart w:id="2810" w:name="_Toc484011002"/>
      <w:bookmarkStart w:id="2811" w:name="_Toc484010878"/>
      <w:bookmarkStart w:id="2812" w:name="_Toc484010756"/>
      <w:bookmarkStart w:id="2813" w:name="_Toc483907006"/>
      <w:bookmarkStart w:id="2814" w:name="_Toc483571628"/>
      <w:bookmarkStart w:id="2815" w:name="_Toc483571506"/>
      <w:bookmarkStart w:id="2816" w:name="_Toc483474075"/>
      <w:bookmarkStart w:id="2817" w:name="_Toc483401279"/>
      <w:bookmarkStart w:id="2818" w:name="_Toc483325801"/>
      <w:bookmarkStart w:id="2819" w:name="_Toc483316498"/>
      <w:bookmarkStart w:id="2820" w:name="_Toc483316367"/>
      <w:bookmarkStart w:id="2821" w:name="_Toc483316235"/>
      <w:bookmarkStart w:id="2822" w:name="_Toc483316030"/>
      <w:bookmarkStart w:id="2823" w:name="_Toc483302409"/>
      <w:bookmarkStart w:id="2824" w:name="_Toc483233692"/>
      <w:bookmarkStart w:id="2825" w:name="_Toc482979732"/>
      <w:bookmarkStart w:id="2826" w:name="_Toc482979634"/>
      <w:bookmarkStart w:id="2827" w:name="_Toc482979536"/>
      <w:bookmarkStart w:id="2828" w:name="_Toc482979428"/>
      <w:bookmarkStart w:id="2829" w:name="_Toc482979319"/>
      <w:bookmarkStart w:id="2830" w:name="_Toc482979210"/>
      <w:bookmarkStart w:id="2831" w:name="_Toc482979099"/>
      <w:bookmarkStart w:id="2832" w:name="_Toc482978991"/>
      <w:bookmarkStart w:id="2833" w:name="_Toc482978882"/>
      <w:bookmarkStart w:id="2834" w:name="_Toc482959763"/>
      <w:bookmarkStart w:id="2835" w:name="_Toc482959653"/>
      <w:bookmarkStart w:id="2836" w:name="_Toc482959543"/>
      <w:bookmarkStart w:id="2837" w:name="_Toc482712755"/>
      <w:bookmarkStart w:id="2838" w:name="_Toc482641309"/>
      <w:bookmarkStart w:id="2839" w:name="_Toc482633132"/>
      <w:bookmarkStart w:id="2840" w:name="_Toc482352291"/>
      <w:bookmarkStart w:id="2841" w:name="_Toc482352201"/>
      <w:bookmarkStart w:id="2842" w:name="_Toc482352111"/>
      <w:bookmarkStart w:id="2843" w:name="_Toc482352021"/>
      <w:bookmarkStart w:id="2844" w:name="_Toc482102157"/>
      <w:bookmarkStart w:id="2845" w:name="_Toc482102063"/>
      <w:bookmarkStart w:id="2846" w:name="_Toc482101968"/>
      <w:bookmarkStart w:id="2847" w:name="_Toc482101873"/>
      <w:bookmarkStart w:id="2848" w:name="_Toc482101780"/>
      <w:bookmarkStart w:id="2849" w:name="_Toc482101605"/>
      <w:bookmarkStart w:id="2850" w:name="_Toc482101490"/>
      <w:bookmarkStart w:id="2851" w:name="_Toc482101353"/>
      <w:bookmarkStart w:id="2852" w:name="_Toc482100927"/>
      <w:bookmarkStart w:id="2853" w:name="_Toc482100770"/>
      <w:bookmarkStart w:id="2854" w:name="_Toc482099053"/>
      <w:bookmarkStart w:id="2855" w:name="_Toc482097951"/>
      <w:bookmarkStart w:id="2856" w:name="_Toc482097759"/>
      <w:bookmarkStart w:id="2857" w:name="_Toc482097670"/>
      <w:bookmarkStart w:id="2858" w:name="_Toc482097581"/>
      <w:bookmarkStart w:id="2859" w:name="_Toc482025757"/>
      <w:bookmarkStart w:id="2860" w:name="_Toc485218337"/>
      <w:bookmarkStart w:id="2861" w:name="_Toc484688902"/>
      <w:bookmarkStart w:id="2862" w:name="_Toc484688347"/>
      <w:bookmarkStart w:id="2863" w:name="_Toc484605478"/>
      <w:bookmarkStart w:id="2864" w:name="_Toc484605354"/>
      <w:bookmarkStart w:id="2865" w:name="_Toc484526634"/>
      <w:bookmarkStart w:id="2866" w:name="_Toc484449139"/>
      <w:bookmarkStart w:id="2867" w:name="_Toc484449015"/>
      <w:bookmarkStart w:id="2868" w:name="_Toc484448891"/>
      <w:bookmarkStart w:id="2869" w:name="_Toc484448768"/>
      <w:bookmarkStart w:id="2870" w:name="_Toc484448644"/>
      <w:bookmarkStart w:id="2871" w:name="_Toc484448520"/>
      <w:bookmarkStart w:id="2872" w:name="_Toc484448396"/>
      <w:bookmarkStart w:id="2873" w:name="_Toc484448272"/>
      <w:bookmarkStart w:id="2874" w:name="_Toc484448148"/>
      <w:bookmarkStart w:id="2875" w:name="_Toc484440488"/>
      <w:bookmarkStart w:id="2876" w:name="_Toc484440128"/>
      <w:bookmarkStart w:id="2877" w:name="_Toc484440004"/>
      <w:bookmarkStart w:id="2878" w:name="_Toc484439881"/>
      <w:bookmarkStart w:id="2879" w:name="_Toc484438961"/>
      <w:bookmarkStart w:id="2880" w:name="_Toc484438837"/>
      <w:bookmarkStart w:id="2881" w:name="_Toc484438713"/>
      <w:bookmarkStart w:id="2882" w:name="_Toc484429138"/>
      <w:bookmarkStart w:id="2883" w:name="_Toc484428968"/>
      <w:bookmarkStart w:id="2884" w:name="_Toc484097794"/>
      <w:bookmarkStart w:id="2885" w:name="_Toc484011720"/>
      <w:bookmarkStart w:id="2886" w:name="_Toc484011245"/>
      <w:bookmarkStart w:id="2887" w:name="_Toc484011123"/>
      <w:bookmarkStart w:id="2888" w:name="_Toc484011001"/>
      <w:bookmarkStart w:id="2889" w:name="_Toc484010877"/>
      <w:bookmarkStart w:id="2890" w:name="_Toc484010755"/>
      <w:bookmarkStart w:id="2891" w:name="_Toc483907005"/>
      <w:bookmarkStart w:id="2892" w:name="_Toc483571627"/>
      <w:bookmarkStart w:id="2893" w:name="_Toc483571505"/>
      <w:bookmarkStart w:id="2894" w:name="_Toc483474074"/>
      <w:bookmarkStart w:id="2895" w:name="_Toc483401278"/>
      <w:bookmarkStart w:id="2896" w:name="_Toc483325800"/>
      <w:bookmarkStart w:id="2897" w:name="_Toc483316497"/>
      <w:bookmarkStart w:id="2898" w:name="_Toc483316366"/>
      <w:bookmarkStart w:id="2899" w:name="_Toc483316234"/>
      <w:bookmarkStart w:id="2900" w:name="_Toc483316029"/>
      <w:bookmarkStart w:id="2901" w:name="_Toc483302408"/>
      <w:bookmarkStart w:id="2902" w:name="_Toc483233691"/>
      <w:bookmarkStart w:id="2903" w:name="_Toc482979731"/>
      <w:bookmarkStart w:id="2904" w:name="_Toc482979633"/>
      <w:bookmarkStart w:id="2905" w:name="_Toc482979535"/>
      <w:bookmarkStart w:id="2906" w:name="_Toc482979427"/>
      <w:bookmarkStart w:id="2907" w:name="_Toc482979318"/>
      <w:bookmarkStart w:id="2908" w:name="_Toc482979209"/>
      <w:bookmarkStart w:id="2909" w:name="_Toc482979098"/>
      <w:bookmarkStart w:id="2910" w:name="_Toc482978990"/>
      <w:bookmarkStart w:id="2911" w:name="_Toc482978881"/>
      <w:bookmarkStart w:id="2912" w:name="_Toc482959762"/>
      <w:bookmarkStart w:id="2913" w:name="_Toc482959652"/>
      <w:bookmarkStart w:id="2914" w:name="_Toc482959542"/>
      <w:bookmarkStart w:id="2915" w:name="_Toc482712754"/>
      <w:bookmarkStart w:id="2916" w:name="_Toc482641308"/>
      <w:bookmarkStart w:id="2917" w:name="_Toc482633131"/>
      <w:bookmarkStart w:id="2918" w:name="_Toc482352290"/>
      <w:bookmarkStart w:id="2919" w:name="_Toc482352200"/>
      <w:bookmarkStart w:id="2920" w:name="_Toc482352110"/>
      <w:bookmarkStart w:id="2921" w:name="_Toc482352020"/>
      <w:bookmarkStart w:id="2922" w:name="_Toc482102156"/>
      <w:bookmarkStart w:id="2923" w:name="_Toc482102062"/>
      <w:bookmarkStart w:id="2924" w:name="_Toc482101967"/>
      <w:bookmarkStart w:id="2925" w:name="_Toc482101872"/>
      <w:bookmarkStart w:id="2926" w:name="_Toc482101779"/>
      <w:bookmarkStart w:id="2927" w:name="_Toc482101604"/>
      <w:bookmarkStart w:id="2928" w:name="_Toc482101489"/>
      <w:bookmarkStart w:id="2929" w:name="_Toc482101352"/>
      <w:bookmarkStart w:id="2930" w:name="_Toc482100926"/>
      <w:bookmarkStart w:id="2931" w:name="_Toc482100769"/>
      <w:bookmarkStart w:id="2932" w:name="_Toc482099052"/>
      <w:bookmarkStart w:id="2933" w:name="_Toc482097950"/>
      <w:bookmarkStart w:id="2934" w:name="_Toc482097758"/>
      <w:bookmarkStart w:id="2935" w:name="_Toc482097669"/>
      <w:bookmarkStart w:id="2936" w:name="_Toc482097580"/>
      <w:bookmarkStart w:id="2937" w:name="_Toc482025756"/>
      <w:bookmarkStart w:id="2938" w:name="_Toc485218348"/>
      <w:bookmarkStart w:id="2939" w:name="_Toc484688913"/>
      <w:bookmarkStart w:id="2940" w:name="_Ref498613645"/>
      <w:bookmarkStart w:id="2941" w:name="_Toc227921658"/>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r w:rsidRPr="00B30858">
        <w:rPr>
          <w:rFonts w:ascii="Titillium" w:hAnsi="Titillium"/>
          <w:caps w:val="0"/>
          <w:sz w:val="18"/>
          <w:szCs w:val="18"/>
        </w:rPr>
        <w:t>AGGIUDICAZIONE DELL’APPALTO E STIPULA DEL CONTRATTO</w:t>
      </w:r>
      <w:bookmarkStart w:id="2942" w:name="_Ref531265966"/>
      <w:bookmarkEnd w:id="2940"/>
      <w:bookmarkEnd w:id="2941"/>
      <w:bookmarkEnd w:id="2942"/>
    </w:p>
    <w:p w14:paraId="5DBD5955" w14:textId="77777777" w:rsidR="006842EE" w:rsidRDefault="008F2625">
      <w:pPr>
        <w:spacing w:before="60" w:after="60"/>
        <w:rPr>
          <w:rFonts w:ascii="Titillium" w:hAnsi="Titillium" w:cs="Calibri"/>
          <w:sz w:val="18"/>
          <w:szCs w:val="18"/>
        </w:rPr>
      </w:pPr>
      <w:r>
        <w:rPr>
          <w:rFonts w:ascii="Titillium" w:hAnsi="Titillium" w:cs="Calibri"/>
          <w:sz w:val="18"/>
          <w:szCs w:val="18"/>
        </w:rPr>
        <w:t xml:space="preserve">La proposta di aggiudicazione è formulata in favore del concorrente che ha presentato la migliore offerta. </w:t>
      </w:r>
    </w:p>
    <w:p w14:paraId="441902E0" w14:textId="77777777" w:rsidR="006842EE" w:rsidRDefault="008F2625">
      <w:pPr>
        <w:rPr>
          <w:rFonts w:ascii="Titillium" w:hAnsi="Titillium" w:cs="Calibri"/>
          <w:sz w:val="18"/>
          <w:szCs w:val="18"/>
        </w:rPr>
      </w:pPr>
      <w:r>
        <w:rPr>
          <w:rFonts w:ascii="Titillium" w:hAnsi="Titillium" w:cs="Calibri"/>
          <w:b/>
          <w:i/>
          <w:sz w:val="18"/>
          <w:szCs w:val="18"/>
        </w:rPr>
        <w:t>[Facoltativo]</w:t>
      </w:r>
      <w:r>
        <w:rPr>
          <w:rFonts w:ascii="Titillium" w:hAnsi="Titillium" w:cs="Calibri"/>
          <w:b/>
          <w:sz w:val="18"/>
          <w:szCs w:val="18"/>
        </w:rPr>
        <w:t xml:space="preserve"> </w:t>
      </w:r>
      <w:r>
        <w:rPr>
          <w:rFonts w:ascii="Titillium" w:hAnsi="Titillium" w:cs="Calibri"/>
          <w:sz w:val="18"/>
          <w:szCs w:val="18"/>
        </w:rPr>
        <w:t>Qualora nessuna offerta risulti conveniente o idonea in relazione all’oggetto del contratto, la stazione appaltante può decidere, entro 30 giorni dalla conclusione delle valutazioni delle offerte, di non procedere all’aggiudicazione.</w:t>
      </w:r>
    </w:p>
    <w:p w14:paraId="58E7D3CE" w14:textId="5702056A" w:rsidR="00CA5C86" w:rsidRDefault="00CA5C86" w:rsidP="00CA5C86">
      <w:pPr>
        <w:rPr>
          <w:rFonts w:ascii="Titillium" w:hAnsi="Titillium" w:cs="Calibri"/>
          <w:sz w:val="18"/>
          <w:szCs w:val="18"/>
        </w:rPr>
      </w:pPr>
      <w:r w:rsidRPr="00D14C42">
        <w:rPr>
          <w:rFonts w:ascii="Titillium" w:hAnsi="Titillium" w:cs="Calibri"/>
          <w:b/>
          <w:bCs/>
          <w:i/>
          <w:iCs/>
          <w:sz w:val="18"/>
          <w:szCs w:val="18"/>
        </w:rPr>
        <w:t>[Facoltativo]</w:t>
      </w:r>
      <w:r w:rsidRPr="00D14C42">
        <w:rPr>
          <w:rFonts w:ascii="Titillium" w:hAnsi="Titillium" w:cs="Calibri"/>
          <w:sz w:val="18"/>
          <w:szCs w:val="18"/>
        </w:rPr>
        <w:t xml:space="preserve"> </w:t>
      </w:r>
      <w:r w:rsidR="00CC3D68" w:rsidRPr="00D14C42">
        <w:rPr>
          <w:rFonts w:ascii="Titillium" w:hAnsi="Titillium" w:cs="Calibri"/>
          <w:sz w:val="18"/>
          <w:szCs w:val="18"/>
        </w:rPr>
        <w:t>La stazione appaltante si riserva di procedere all’aggiudicazione anche in caso di presentazione di una sola offerta.</w:t>
      </w:r>
    </w:p>
    <w:p w14:paraId="0E90128F" w14:textId="36118353" w:rsidR="006842EE" w:rsidRDefault="008F2625" w:rsidP="00CA5C86">
      <w:r>
        <w:rPr>
          <w:rFonts w:ascii="Titillium" w:hAnsi="Titillium" w:cs="Calibri"/>
          <w:b/>
          <w:i/>
          <w:sz w:val="18"/>
          <w:szCs w:val="18"/>
        </w:rPr>
        <w:t xml:space="preserve">[Facoltativo] </w:t>
      </w:r>
      <w:r>
        <w:rPr>
          <w:rFonts w:ascii="Titillium" w:hAnsi="Titillium" w:cs="Calibri"/>
          <w:sz w:val="18"/>
          <w:szCs w:val="18"/>
        </w:rPr>
        <w:t>Non si procede all’aggiudicazione dell’appalto all’offerente che ha presentato l’offerta economicamente più vantaggiosa qualora venga accertato che tale offerta non soddisfa gli obblighi in materia ambientale, sociale e del lavoro stabiliti dalla normativa europea e nazionale, dai contratti collettivi o dalle disposizioni internazionali elencate nell’allegato X della direttiva 2014/24/UE.</w:t>
      </w:r>
    </w:p>
    <w:p w14:paraId="018A9533" w14:textId="72C10A6A" w:rsidR="00EE01A0" w:rsidRPr="0012671C" w:rsidRDefault="008F2625" w:rsidP="00883DA5">
      <w:pPr>
        <w:spacing w:before="60" w:after="60"/>
        <w:rPr>
          <w:rFonts w:ascii="Titillium" w:hAnsi="Titillium" w:cs="Calibri"/>
          <w:color w:val="EE0000"/>
          <w:sz w:val="18"/>
          <w:szCs w:val="18"/>
        </w:rPr>
      </w:pPr>
      <w:r w:rsidRPr="0012671C">
        <w:rPr>
          <w:rFonts w:ascii="Titillium" w:hAnsi="Titillium" w:cs="Calibri"/>
          <w:sz w:val="18"/>
          <w:szCs w:val="18"/>
        </w:rPr>
        <w:t>L’aggiudicazione è disposta all’esito positivo della verifica del possesso dei requisiti prescritti dal presente disciplinare</w:t>
      </w:r>
      <w:r w:rsidR="00883DA5" w:rsidRPr="0012671C">
        <w:rPr>
          <w:rFonts w:ascii="Titillium" w:hAnsi="Titillium" w:cs="Calibri"/>
          <w:sz w:val="18"/>
          <w:szCs w:val="18"/>
        </w:rPr>
        <w:t>, fatta salva l’eccezione relativa all’acquisizione della</w:t>
      </w:r>
      <w:r w:rsidR="00883DA5" w:rsidRPr="0012671C">
        <w:t xml:space="preserve"> </w:t>
      </w:r>
      <w:r w:rsidR="00883DA5" w:rsidRPr="0012671C">
        <w:rPr>
          <w:rFonts w:ascii="Titillium" w:hAnsi="Titillium" w:cs="Calibri"/>
          <w:sz w:val="18"/>
          <w:szCs w:val="18"/>
        </w:rPr>
        <w:t>documentazione antimafia</w:t>
      </w:r>
      <w:r w:rsidR="00400FF6" w:rsidRPr="00400FF6">
        <w:rPr>
          <w:rFonts w:ascii="Titillium" w:hAnsi="Titillium" w:cs="Calibri"/>
          <w:sz w:val="18"/>
          <w:szCs w:val="18"/>
        </w:rPr>
        <w:t>,</w:t>
      </w:r>
      <w:r w:rsidRPr="00400FF6">
        <w:rPr>
          <w:rFonts w:ascii="Titillium" w:hAnsi="Titillium" w:cs="Calibri"/>
          <w:sz w:val="18"/>
          <w:szCs w:val="18"/>
        </w:rPr>
        <w:t xml:space="preserve"> </w:t>
      </w:r>
      <w:r w:rsidRPr="0012671C">
        <w:rPr>
          <w:rFonts w:ascii="Titillium" w:hAnsi="Titillium" w:cs="Calibri"/>
          <w:sz w:val="18"/>
          <w:szCs w:val="18"/>
        </w:rPr>
        <w:t>ed è immediatamente efficace</w:t>
      </w:r>
      <w:r w:rsidRPr="00400FF6">
        <w:rPr>
          <w:rFonts w:ascii="Titillium" w:hAnsi="Titillium" w:cs="Calibri"/>
          <w:sz w:val="18"/>
          <w:szCs w:val="18"/>
        </w:rPr>
        <w:t>.</w:t>
      </w:r>
      <w:r w:rsidRPr="0012671C">
        <w:rPr>
          <w:rFonts w:ascii="Titillium" w:hAnsi="Titillium" w:cs="Calibri"/>
          <w:color w:val="EE0000"/>
          <w:sz w:val="18"/>
          <w:szCs w:val="18"/>
        </w:rPr>
        <w:t xml:space="preserve"> </w:t>
      </w:r>
    </w:p>
    <w:tbl>
      <w:tblPr>
        <w:tblStyle w:val="Grigliatabella"/>
        <w:tblW w:w="0" w:type="auto"/>
        <w:tblLook w:val="04A0" w:firstRow="1" w:lastRow="0" w:firstColumn="1" w:lastColumn="0" w:noHBand="0" w:noVBand="1"/>
      </w:tblPr>
      <w:tblGrid>
        <w:gridCol w:w="9214"/>
      </w:tblGrid>
      <w:tr w:rsidR="00883DA5" w14:paraId="2498FCA7" w14:textId="77777777" w:rsidTr="00883DA5">
        <w:tc>
          <w:tcPr>
            <w:tcW w:w="9214" w:type="dxa"/>
          </w:tcPr>
          <w:p w14:paraId="73A1E346" w14:textId="3C2DAC2C" w:rsidR="00883DA5" w:rsidRDefault="001D424D" w:rsidP="00D34D65">
            <w:pPr>
              <w:spacing w:before="60" w:after="60"/>
              <w:rPr>
                <w:rFonts w:ascii="Titillium" w:hAnsi="Titillium" w:cs="Calibri"/>
                <w:sz w:val="18"/>
                <w:szCs w:val="18"/>
              </w:rPr>
            </w:pPr>
            <w:r w:rsidRPr="00400FF6">
              <w:rPr>
                <w:rFonts w:ascii="Titillium" w:hAnsi="Titillium" w:cs="Calibri"/>
                <w:i/>
                <w:iCs/>
                <w:sz w:val="18"/>
                <w:szCs w:val="18"/>
              </w:rPr>
              <w:t>Come evidenziato nel parere n. 3942 del 11/12/2025 del MIT, ai sensi di quanto previsto dall’art.</w:t>
            </w:r>
            <w:r w:rsidR="00400FF6">
              <w:rPr>
                <w:rFonts w:ascii="Titillium" w:hAnsi="Titillium" w:cs="Calibri"/>
                <w:i/>
                <w:iCs/>
                <w:sz w:val="18"/>
                <w:szCs w:val="18"/>
              </w:rPr>
              <w:t xml:space="preserve"> </w:t>
            </w:r>
            <w:r w:rsidRPr="00400FF6">
              <w:rPr>
                <w:rFonts w:ascii="Titillium" w:hAnsi="Titillium" w:cs="Calibri"/>
                <w:i/>
                <w:iCs/>
                <w:sz w:val="18"/>
                <w:szCs w:val="18"/>
              </w:rPr>
              <w:t xml:space="preserve">83 del </w:t>
            </w:r>
            <w:r w:rsidR="001760EC">
              <w:rPr>
                <w:rFonts w:ascii="Titillium" w:hAnsi="Titillium" w:cs="Calibri"/>
                <w:i/>
                <w:iCs/>
                <w:sz w:val="18"/>
                <w:szCs w:val="18"/>
              </w:rPr>
              <w:t>decreto legislativo</w:t>
            </w:r>
            <w:r w:rsidRPr="00400FF6">
              <w:rPr>
                <w:rFonts w:ascii="Titillium" w:hAnsi="Titillium" w:cs="Calibri"/>
                <w:i/>
                <w:iCs/>
                <w:sz w:val="18"/>
                <w:szCs w:val="18"/>
              </w:rPr>
              <w:t xml:space="preserve"> 159 /</w:t>
            </w:r>
            <w:r w:rsidR="000C37F8" w:rsidRPr="00400FF6">
              <w:rPr>
                <w:rFonts w:ascii="Titillium" w:hAnsi="Titillium" w:cs="Calibri"/>
                <w:i/>
                <w:iCs/>
                <w:sz w:val="18"/>
                <w:szCs w:val="18"/>
              </w:rPr>
              <w:t>2011, l</w:t>
            </w:r>
            <w:r w:rsidRPr="00400FF6">
              <w:rPr>
                <w:rFonts w:ascii="Titillium" w:hAnsi="Titillium" w:cs="Calibri"/>
                <w:i/>
                <w:iCs/>
                <w:sz w:val="18"/>
                <w:szCs w:val="18"/>
              </w:rPr>
              <w:t>’’acquisizione della documentazione antimafia</w:t>
            </w:r>
            <w:r w:rsidR="00D34D65" w:rsidRPr="00400FF6">
              <w:rPr>
                <w:rFonts w:ascii="Titillium" w:hAnsi="Titillium" w:cs="Calibri"/>
                <w:i/>
                <w:iCs/>
                <w:sz w:val="18"/>
                <w:szCs w:val="18"/>
              </w:rPr>
              <w:t xml:space="preserve"> non è condizione necessaria ex ante per disporre l’aggiudicazione, essendo</w:t>
            </w:r>
            <w:r w:rsidRPr="00400FF6">
              <w:rPr>
                <w:rFonts w:ascii="Titillium" w:hAnsi="Titillium" w:cs="Calibri"/>
                <w:i/>
                <w:iCs/>
                <w:sz w:val="18"/>
                <w:szCs w:val="18"/>
              </w:rPr>
              <w:t xml:space="preserve"> funzionale alla fase di stipula/conclusione del contratto</w:t>
            </w:r>
            <w:r w:rsidR="00D34D65" w:rsidRPr="0012671C">
              <w:rPr>
                <w:rFonts w:ascii="Titillium" w:hAnsi="Titillium" w:cs="Calibri"/>
                <w:sz w:val="18"/>
                <w:szCs w:val="18"/>
              </w:rPr>
              <w:t>.</w:t>
            </w:r>
            <w:r w:rsidR="00D34D65">
              <w:rPr>
                <w:rFonts w:ascii="Titillium" w:hAnsi="Titillium" w:cs="Calibri"/>
                <w:sz w:val="18"/>
                <w:szCs w:val="18"/>
              </w:rPr>
              <w:t xml:space="preserve"> </w:t>
            </w:r>
          </w:p>
        </w:tc>
      </w:tr>
    </w:tbl>
    <w:p w14:paraId="492B767A" w14:textId="77777777" w:rsidR="00883DA5" w:rsidRDefault="00883DA5" w:rsidP="00883DA5">
      <w:pPr>
        <w:spacing w:before="60" w:after="60"/>
        <w:rPr>
          <w:rFonts w:ascii="Titillium" w:hAnsi="Titillium" w:cs="Calibri"/>
          <w:sz w:val="18"/>
          <w:szCs w:val="18"/>
        </w:rPr>
      </w:pPr>
    </w:p>
    <w:p w14:paraId="4824C0DB" w14:textId="7666BB37" w:rsidR="006842EE" w:rsidRDefault="00EE01A0">
      <w:pPr>
        <w:spacing w:before="60" w:after="60"/>
        <w:rPr>
          <w:rFonts w:ascii="Titillium" w:hAnsi="Titillium" w:cs="Calibri"/>
          <w:sz w:val="18"/>
          <w:szCs w:val="18"/>
        </w:rPr>
      </w:pPr>
      <w:r w:rsidRPr="00B30858">
        <w:rPr>
          <w:rFonts w:ascii="Titillium" w:hAnsi="Titillium" w:cs="Calibri"/>
          <w:sz w:val="18"/>
          <w:szCs w:val="18"/>
        </w:rPr>
        <w:t xml:space="preserve">Sono sottoposti alla verifica del possesso dei requisiti, oltre al concorrente risultato primo, </w:t>
      </w:r>
      <w:r w:rsidRPr="00B30858">
        <w:rPr>
          <w:rFonts w:ascii="Titillium" w:hAnsi="Titillium" w:cs="Calibri"/>
          <w:b/>
          <w:bCs/>
          <w:sz w:val="18"/>
          <w:szCs w:val="18"/>
        </w:rPr>
        <w:t>[</w:t>
      </w:r>
      <w:r w:rsidRPr="00400FF6">
        <w:rPr>
          <w:rFonts w:ascii="Titillium" w:hAnsi="Titillium" w:cs="Calibri"/>
          <w:b/>
          <w:bCs/>
          <w:i/>
          <w:iCs/>
          <w:sz w:val="18"/>
          <w:szCs w:val="18"/>
        </w:rPr>
        <w:t>Facoltativo</w:t>
      </w:r>
      <w:r w:rsidRPr="00B30858">
        <w:rPr>
          <w:rFonts w:ascii="Titillium" w:hAnsi="Titillium" w:cs="Calibri"/>
          <w:b/>
          <w:bCs/>
          <w:sz w:val="18"/>
          <w:szCs w:val="18"/>
        </w:rPr>
        <w:t>]</w:t>
      </w:r>
      <w:r w:rsidRPr="00B30858">
        <w:rPr>
          <w:rFonts w:ascii="Titillium" w:hAnsi="Titillium" w:cs="Calibri"/>
          <w:sz w:val="18"/>
          <w:szCs w:val="18"/>
        </w:rPr>
        <w:t>, il secondo in graduatoria e n. … [</w:t>
      </w:r>
      <w:r w:rsidRPr="00400FF6">
        <w:rPr>
          <w:rFonts w:ascii="Titillium" w:hAnsi="Titillium" w:cs="Calibri"/>
          <w:i/>
          <w:iCs/>
          <w:sz w:val="18"/>
          <w:szCs w:val="18"/>
        </w:rPr>
        <w:t>indicare il n</w:t>
      </w:r>
      <w:r w:rsidR="00226930" w:rsidRPr="00400FF6">
        <w:rPr>
          <w:rFonts w:ascii="Titillium" w:hAnsi="Titillium" w:cs="Calibri"/>
          <w:i/>
          <w:iCs/>
          <w:sz w:val="18"/>
          <w:szCs w:val="18"/>
        </w:rPr>
        <w:t xml:space="preserve">umero dei </w:t>
      </w:r>
      <w:r w:rsidRPr="00400FF6">
        <w:rPr>
          <w:rFonts w:ascii="Titillium" w:hAnsi="Titillium" w:cs="Calibri"/>
          <w:i/>
          <w:iCs/>
          <w:sz w:val="18"/>
          <w:szCs w:val="18"/>
        </w:rPr>
        <w:t>concorrenti che saranno sottoposti a controllo</w:t>
      </w:r>
      <w:r w:rsidRPr="00B30858">
        <w:rPr>
          <w:rFonts w:ascii="Titillium" w:hAnsi="Titillium" w:cs="Calibri"/>
          <w:sz w:val="18"/>
          <w:szCs w:val="18"/>
        </w:rPr>
        <w:t>] concorrenti, sorteggiati [</w:t>
      </w:r>
      <w:r w:rsidRPr="00400FF6">
        <w:rPr>
          <w:rFonts w:ascii="Titillium" w:hAnsi="Titillium" w:cs="Calibri"/>
          <w:i/>
          <w:iCs/>
          <w:sz w:val="18"/>
          <w:szCs w:val="18"/>
        </w:rPr>
        <w:t>indicare le modalità del sorteggio, ad esempio automaticamente mediante apposita funzione della PAD</w:t>
      </w:r>
      <w:r w:rsidRPr="00B30858">
        <w:rPr>
          <w:rFonts w:ascii="Titillium" w:hAnsi="Titillium" w:cs="Calibri"/>
          <w:sz w:val="18"/>
          <w:szCs w:val="18"/>
        </w:rPr>
        <w:t>], ai sensi dell’articolo 71 del decreto del Presidente della Repubblica n. 445/2000.</w:t>
      </w:r>
    </w:p>
    <w:p w14:paraId="41786D86" w14:textId="77777777" w:rsidR="00015C30" w:rsidRPr="00B30858" w:rsidRDefault="00015C30" w:rsidP="00015C30">
      <w:pPr>
        <w:spacing w:before="60" w:after="60"/>
        <w:rPr>
          <w:rFonts w:ascii="Titillium" w:hAnsi="Titillium" w:cs="Calibri"/>
          <w:sz w:val="18"/>
          <w:szCs w:val="18"/>
        </w:rPr>
      </w:pPr>
      <w:r w:rsidRPr="00B30858">
        <w:rPr>
          <w:rFonts w:ascii="Titillium" w:hAnsi="Titillium" w:cs="Calibri"/>
          <w:sz w:val="18"/>
          <w:szCs w:val="18"/>
        </w:rPr>
        <w:t>Gli eventuali provvedimenti di esclusione dalla procedura di gara sono comunicati entro cinque giorni dalla loro adozione.</w:t>
      </w:r>
    </w:p>
    <w:p w14:paraId="4ACED726" w14:textId="440E7396" w:rsidR="00015C30" w:rsidRDefault="00015C30" w:rsidP="00015C30">
      <w:pPr>
        <w:spacing w:before="60" w:after="60"/>
        <w:rPr>
          <w:rFonts w:ascii="Titillium" w:hAnsi="Titillium" w:cs="Calibri"/>
          <w:sz w:val="18"/>
          <w:szCs w:val="18"/>
        </w:rPr>
      </w:pPr>
      <w:r w:rsidRPr="00B30858">
        <w:rPr>
          <w:rFonts w:ascii="Titillium" w:hAnsi="Titillium" w:cs="Calibri"/>
          <w:sz w:val="18"/>
          <w:szCs w:val="18"/>
        </w:rPr>
        <w:t>È fatta salva la possibilità di chiedere agli offerenti, in qualsiasi momento nel corso della procedura, di presentare tutti i documenti complementari o parte di essi, qualora questo sia necessario per assicurare il corretto svolgimento della procedura.</w:t>
      </w:r>
    </w:p>
    <w:p w14:paraId="15CA64B6" w14:textId="6C665BEB" w:rsidR="00AA29F9" w:rsidRPr="008562AB" w:rsidRDefault="00015C30">
      <w:pPr>
        <w:spacing w:before="60" w:after="60"/>
        <w:rPr>
          <w:rFonts w:ascii="Titillium" w:hAnsi="Titillium" w:cs="Calibri"/>
          <w:sz w:val="18"/>
          <w:szCs w:val="18"/>
        </w:rPr>
      </w:pPr>
      <w:r w:rsidRPr="00B30858">
        <w:rPr>
          <w:rFonts w:ascii="Titillium" w:hAnsi="Titillium" w:cs="Calibri"/>
          <w:sz w:val="18"/>
          <w:szCs w:val="18"/>
        </w:rPr>
        <w:t xml:space="preserve">La verifica è effettuata </w:t>
      </w:r>
      <w:r w:rsidRPr="00910E18">
        <w:rPr>
          <w:rFonts w:ascii="Titillium" w:hAnsi="Titillium" w:cs="Calibri"/>
          <w:sz w:val="18"/>
          <w:szCs w:val="18"/>
        </w:rPr>
        <w:t>tramite il FVOE.</w:t>
      </w:r>
      <w:r>
        <w:rPr>
          <w:rFonts w:ascii="Titillium" w:hAnsi="Titillium" w:cs="Calibri"/>
          <w:color w:val="FF0000"/>
          <w:sz w:val="18"/>
          <w:szCs w:val="18"/>
        </w:rPr>
        <w:t xml:space="preserve"> </w:t>
      </w:r>
      <w:r w:rsidR="00AA29F9" w:rsidRPr="008562AB">
        <w:rPr>
          <w:rFonts w:ascii="Titillium" w:hAnsi="Titillium" w:cs="Calibri"/>
          <w:sz w:val="18"/>
          <w:szCs w:val="18"/>
        </w:rPr>
        <w:t xml:space="preserve">In caso di malfunzionamento, anche parziale, del fascicolo virtuale dell’operatore economico o delle piattaforme, banche dati o sistemi di interoperabilità ad esso connessi, la stazione appaltante si riserva di aggiudicare dopo che sono trascorsi trenta giorni </w:t>
      </w:r>
      <w:r w:rsidR="00AA29F9" w:rsidRPr="00811057">
        <w:rPr>
          <w:rFonts w:ascii="Titillium" w:hAnsi="Titillium" w:cs="Calibri"/>
          <w:sz w:val="18"/>
          <w:szCs w:val="18"/>
        </w:rPr>
        <w:t>dalla proposta di aggiudicazione. In</w:t>
      </w:r>
      <w:r w:rsidR="00AA29F9" w:rsidRPr="008562AB">
        <w:rPr>
          <w:rFonts w:ascii="Titillium" w:hAnsi="Titillium" w:cs="Calibri"/>
          <w:sz w:val="18"/>
          <w:szCs w:val="18"/>
        </w:rPr>
        <w:t xml:space="preserve"> tal caso richiede un’autocertificazione all’offerente, resa ai sensi del d.P.R. 28 dicembre 2000, n. 445, che attesti il possesso dei requisiti e l’assenza delle cause di esclusione che, a causa del predetto malfunzionamento, non è stato possibile verificare.</w:t>
      </w:r>
    </w:p>
    <w:p w14:paraId="7185FF40" w14:textId="25DE38B1" w:rsidR="00015C30" w:rsidRDefault="00AA29F9" w:rsidP="00883DA5">
      <w:pPr>
        <w:spacing w:before="60" w:after="60"/>
        <w:rPr>
          <w:rFonts w:ascii="Titillium" w:hAnsi="Titillium" w:cs="Calibri"/>
          <w:sz w:val="18"/>
          <w:szCs w:val="18"/>
        </w:rPr>
      </w:pPr>
      <w:r w:rsidRPr="00F40445">
        <w:rPr>
          <w:rFonts w:ascii="Titillium" w:hAnsi="Titillium" w:cs="Calibri"/>
          <w:sz w:val="18"/>
          <w:szCs w:val="18"/>
        </w:rPr>
        <w:t>Per le certificazioni che, allo stato, non sono ancora verificabili tramite il fascicolo virtuale dell’operatore economico, la stazione appaltante procede direttamente alla verifica presso gli Enti certificatori e, decorsi inutilmente 30 giorni dalla richiesta, si riserva di aggiudicare previa acquisizione di un’autocertificazione dall’operatore economico, resa ai sensi del d.P.R. 28 dicembre 2000, n. 445, che attesti il possesso dei requisiti e l’assenza delle cause di esclusione che non è stato possibile verificare.</w:t>
      </w:r>
      <w:r w:rsidR="00883DA5">
        <w:rPr>
          <w:rFonts w:ascii="Titillium" w:hAnsi="Titillium" w:cs="Calibri"/>
          <w:sz w:val="18"/>
          <w:szCs w:val="18"/>
        </w:rPr>
        <w:t xml:space="preserve"> </w:t>
      </w:r>
    </w:p>
    <w:p w14:paraId="6C3DED74" w14:textId="77777777" w:rsidR="00883DA5" w:rsidRDefault="00883DA5">
      <w:pPr>
        <w:spacing w:before="60" w:after="60"/>
        <w:rPr>
          <w:rFonts w:ascii="Titillium" w:hAnsi="Titillium" w:cs="Calibri"/>
          <w:sz w:val="18"/>
          <w:szCs w:val="18"/>
        </w:rPr>
      </w:pPr>
    </w:p>
    <w:tbl>
      <w:tblPr>
        <w:tblStyle w:val="Grigliatabella"/>
        <w:tblW w:w="0" w:type="auto"/>
        <w:tblLook w:val="04A0" w:firstRow="1" w:lastRow="0" w:firstColumn="1" w:lastColumn="0" w:noHBand="0" w:noVBand="1"/>
      </w:tblPr>
      <w:tblGrid>
        <w:gridCol w:w="9214"/>
      </w:tblGrid>
      <w:tr w:rsidR="00015C30" w14:paraId="6DFBEB7E" w14:textId="77777777" w:rsidTr="00015C30">
        <w:tc>
          <w:tcPr>
            <w:tcW w:w="9214" w:type="dxa"/>
          </w:tcPr>
          <w:p w14:paraId="230766B5" w14:textId="0812AE72" w:rsidR="00015C30" w:rsidRPr="00400FF6" w:rsidRDefault="00015C30">
            <w:pPr>
              <w:spacing w:before="60" w:after="60"/>
              <w:rPr>
                <w:rFonts w:ascii="Titillium" w:hAnsi="Titillium" w:cs="Calibri"/>
                <w:i/>
                <w:iCs/>
                <w:sz w:val="18"/>
                <w:szCs w:val="18"/>
              </w:rPr>
            </w:pPr>
            <w:r w:rsidRPr="00400FF6">
              <w:rPr>
                <w:rFonts w:ascii="Titillium" w:hAnsi="Titillium" w:cs="Calibri"/>
                <w:i/>
                <w:iCs/>
                <w:sz w:val="18"/>
                <w:szCs w:val="18"/>
              </w:rPr>
              <w:t xml:space="preserve">N.B. La lista dei requisiti non ancora verificabili tramite FVOE è allegata al Comunicato del Presidente del 16 aprile </w:t>
            </w:r>
            <w:r w:rsidR="000772B9" w:rsidRPr="00400FF6">
              <w:rPr>
                <w:rFonts w:ascii="Titillium" w:hAnsi="Titillium" w:cs="Calibri"/>
                <w:i/>
                <w:iCs/>
                <w:sz w:val="18"/>
                <w:szCs w:val="18"/>
              </w:rPr>
              <w:t>2025 ed</w:t>
            </w:r>
            <w:r w:rsidRPr="00400FF6">
              <w:rPr>
                <w:rFonts w:ascii="Titillium" w:hAnsi="Titillium" w:cs="Calibri"/>
                <w:i/>
                <w:iCs/>
                <w:sz w:val="18"/>
                <w:szCs w:val="18"/>
              </w:rPr>
              <w:t xml:space="preserve"> è consultabile sul sito dell’Anac al seguente link: https://www.anticorruzione.it/en/-/comunicato-del-presidente-del-16-aprile-2025-fvoe. La lista viene aggiornata a mano a mano che vengono attivati nuovi collegamenti in regime di interoperabilità con gli enti certificatori.</w:t>
            </w:r>
          </w:p>
        </w:tc>
      </w:tr>
    </w:tbl>
    <w:p w14:paraId="1AEDC011" w14:textId="77777777" w:rsidR="00015C30" w:rsidRDefault="00015C30">
      <w:pPr>
        <w:spacing w:before="60" w:after="60"/>
        <w:rPr>
          <w:rFonts w:ascii="Titillium" w:hAnsi="Titillium" w:cs="Calibri"/>
          <w:sz w:val="18"/>
          <w:szCs w:val="18"/>
        </w:rPr>
      </w:pPr>
    </w:p>
    <w:tbl>
      <w:tblPr>
        <w:tblStyle w:val="Grigliatabella"/>
        <w:tblW w:w="0" w:type="auto"/>
        <w:tblLook w:val="04A0" w:firstRow="1" w:lastRow="0" w:firstColumn="1" w:lastColumn="0" w:noHBand="0" w:noVBand="1"/>
      </w:tblPr>
      <w:tblGrid>
        <w:gridCol w:w="9214"/>
      </w:tblGrid>
      <w:tr w:rsidR="00CA5C86" w14:paraId="697B6B10" w14:textId="77777777" w:rsidTr="00CA5C86">
        <w:tc>
          <w:tcPr>
            <w:tcW w:w="9214" w:type="dxa"/>
          </w:tcPr>
          <w:p w14:paraId="5D92F2DA" w14:textId="44D144AB" w:rsidR="00CA5C86" w:rsidRPr="00400FF6" w:rsidRDefault="00CA5C86">
            <w:pPr>
              <w:spacing w:before="60" w:after="60"/>
              <w:rPr>
                <w:rFonts w:ascii="Titillium" w:hAnsi="Titillium" w:cs="Calibri"/>
                <w:i/>
                <w:iCs/>
                <w:sz w:val="18"/>
                <w:szCs w:val="18"/>
              </w:rPr>
            </w:pPr>
            <w:r w:rsidRPr="00400FF6">
              <w:rPr>
                <w:rFonts w:ascii="Titillium" w:hAnsi="Titillium" w:cs="Calibri"/>
                <w:i/>
                <w:iCs/>
                <w:sz w:val="18"/>
                <w:szCs w:val="18"/>
              </w:rPr>
              <w:t>N.B. L’avvenuta stipula del contratto non esime la stazione appaltante dal concludere entro un congruo termine la verifica dei requisiti autocertificati che non è stato possibile verificare entro i termini sopra indicati.</w:t>
            </w:r>
          </w:p>
        </w:tc>
      </w:tr>
    </w:tbl>
    <w:p w14:paraId="46960A0F" w14:textId="77777777" w:rsidR="00CA5C86" w:rsidRPr="008562AB" w:rsidRDefault="00CA5C86">
      <w:pPr>
        <w:spacing w:before="60" w:after="60"/>
        <w:rPr>
          <w:rFonts w:ascii="Titillium" w:hAnsi="Titillium" w:cs="Calibri"/>
          <w:sz w:val="18"/>
          <w:szCs w:val="18"/>
        </w:rPr>
      </w:pPr>
    </w:p>
    <w:p w14:paraId="6E121A39" w14:textId="72151AFB" w:rsidR="00E052A2" w:rsidRPr="00E052A2" w:rsidRDefault="00AA29F9" w:rsidP="00E052A2">
      <w:pPr>
        <w:spacing w:before="60" w:after="60"/>
        <w:rPr>
          <w:rFonts w:ascii="Titillium" w:hAnsi="Titillium" w:cs="Calibri"/>
          <w:sz w:val="18"/>
          <w:szCs w:val="18"/>
        </w:rPr>
      </w:pPr>
      <w:r w:rsidRPr="0012671C">
        <w:rPr>
          <w:rFonts w:ascii="Titillium" w:hAnsi="Titillium" w:cs="Calibri"/>
          <w:sz w:val="18"/>
          <w:szCs w:val="18"/>
        </w:rPr>
        <w:t>In caso di esito negativo delle verifiche, si procede all’esclusione</w:t>
      </w:r>
      <w:r w:rsidR="002E4264" w:rsidRPr="0012671C">
        <w:rPr>
          <w:rFonts w:ascii="Titillium" w:hAnsi="Titillium" w:cs="Calibri"/>
          <w:sz w:val="18"/>
          <w:szCs w:val="18"/>
        </w:rPr>
        <w:t xml:space="preserve"> ed </w:t>
      </w:r>
      <w:r w:rsidRPr="0012671C">
        <w:rPr>
          <w:rFonts w:ascii="Titillium" w:hAnsi="Titillium" w:cs="Calibri"/>
          <w:sz w:val="18"/>
          <w:szCs w:val="18"/>
        </w:rPr>
        <w:t xml:space="preserve">alla </w:t>
      </w:r>
      <w:r w:rsidR="00442B11" w:rsidRPr="0012671C">
        <w:rPr>
          <w:rFonts w:ascii="Titillium" w:hAnsi="Titillium" w:cs="Calibri"/>
          <w:sz w:val="18"/>
          <w:szCs w:val="18"/>
        </w:rPr>
        <w:t xml:space="preserve">eventuale </w:t>
      </w:r>
      <w:r w:rsidRPr="0012671C">
        <w:rPr>
          <w:rFonts w:ascii="Titillium" w:hAnsi="Titillium" w:cs="Calibri"/>
          <w:sz w:val="18"/>
          <w:szCs w:val="18"/>
        </w:rPr>
        <w:t>segnalazione all’ANAC</w:t>
      </w:r>
      <w:r w:rsidR="00442B11" w:rsidRPr="0012671C">
        <w:rPr>
          <w:rFonts w:ascii="Titillium" w:hAnsi="Titillium" w:cs="Calibri"/>
          <w:sz w:val="18"/>
          <w:szCs w:val="18"/>
        </w:rPr>
        <w:t xml:space="preserve"> quando </w:t>
      </w:r>
      <w:r w:rsidR="00B2744D" w:rsidRPr="0012671C">
        <w:rPr>
          <w:rFonts w:ascii="Titillium" w:hAnsi="Titillium" w:cs="Calibri"/>
          <w:sz w:val="18"/>
          <w:szCs w:val="18"/>
        </w:rPr>
        <w:t>ricorrono le</w:t>
      </w:r>
      <w:r w:rsidR="00442B11" w:rsidRPr="0012671C">
        <w:rPr>
          <w:rFonts w:ascii="Titillium" w:hAnsi="Titillium" w:cs="Calibri"/>
          <w:sz w:val="18"/>
          <w:szCs w:val="18"/>
        </w:rPr>
        <w:t xml:space="preserve"> condizioni di cui all’art</w:t>
      </w:r>
      <w:r w:rsidR="00B9062D" w:rsidRPr="0012671C">
        <w:rPr>
          <w:rFonts w:ascii="Titillium" w:hAnsi="Titillium" w:cs="Calibri"/>
          <w:sz w:val="18"/>
          <w:szCs w:val="18"/>
        </w:rPr>
        <w:t>icolo</w:t>
      </w:r>
      <w:r w:rsidR="00442B11" w:rsidRPr="0012671C">
        <w:rPr>
          <w:rFonts w:ascii="Titillium" w:hAnsi="Titillium" w:cs="Calibri"/>
          <w:sz w:val="18"/>
          <w:szCs w:val="18"/>
        </w:rPr>
        <w:t xml:space="preserve"> 96 comma 15</w:t>
      </w:r>
      <w:r w:rsidR="00F73DF4">
        <w:rPr>
          <w:rFonts w:ascii="Titillium" w:hAnsi="Titillium" w:cs="Calibri"/>
          <w:sz w:val="18"/>
          <w:szCs w:val="18"/>
        </w:rPr>
        <w:t xml:space="preserve"> del Codice</w:t>
      </w:r>
      <w:r w:rsidR="00354292" w:rsidRPr="0012671C">
        <w:rPr>
          <w:rFonts w:ascii="Titillium" w:hAnsi="Titillium" w:cs="Calibri"/>
          <w:sz w:val="18"/>
          <w:szCs w:val="18"/>
        </w:rPr>
        <w:t>. [</w:t>
      </w:r>
      <w:r w:rsidR="00354292" w:rsidRPr="00400FF6">
        <w:rPr>
          <w:rFonts w:ascii="Titillium" w:hAnsi="Titillium" w:cs="Calibri"/>
          <w:b/>
          <w:bCs/>
          <w:i/>
          <w:iCs/>
          <w:sz w:val="18"/>
          <w:szCs w:val="18"/>
        </w:rPr>
        <w:t xml:space="preserve">Nel caso in cui sia dovuta la cauzione </w:t>
      </w:r>
      <w:r w:rsidR="00226930" w:rsidRPr="00400FF6">
        <w:rPr>
          <w:rFonts w:ascii="Titillium" w:hAnsi="Titillium" w:cs="Calibri"/>
          <w:b/>
          <w:bCs/>
          <w:i/>
          <w:iCs/>
          <w:sz w:val="18"/>
          <w:szCs w:val="18"/>
        </w:rPr>
        <w:t>provvisoria</w:t>
      </w:r>
      <w:r w:rsidR="00400FF6" w:rsidRPr="0012671C">
        <w:rPr>
          <w:rFonts w:ascii="Titillium" w:hAnsi="Titillium" w:cs="Calibri"/>
          <w:sz w:val="18"/>
          <w:szCs w:val="18"/>
        </w:rPr>
        <w:t>]:</w:t>
      </w:r>
      <w:r w:rsidR="00400FF6">
        <w:rPr>
          <w:rFonts w:ascii="Titillium" w:hAnsi="Titillium" w:cs="Calibri"/>
          <w:sz w:val="18"/>
          <w:szCs w:val="18"/>
        </w:rPr>
        <w:t xml:space="preserve"> </w:t>
      </w:r>
      <w:r w:rsidR="00E052A2" w:rsidRPr="0012671C">
        <w:rPr>
          <w:rFonts w:ascii="Titillium" w:hAnsi="Titillium" w:cs="Calibri"/>
          <w:sz w:val="18"/>
          <w:szCs w:val="18"/>
        </w:rPr>
        <w:t>ove ne ricorrono le condizioni, si procede altresì all’incameramento della garanzia provvisoria.</w:t>
      </w:r>
    </w:p>
    <w:p w14:paraId="5A05F91A" w14:textId="4784E096" w:rsidR="00AA29F9" w:rsidRPr="002E4264" w:rsidRDefault="00AA29F9">
      <w:pPr>
        <w:spacing w:before="60" w:after="60"/>
        <w:rPr>
          <w:rFonts w:ascii="Titillium" w:hAnsi="Titillium" w:cs="Calibri"/>
          <w:strike/>
          <w:color w:val="EE0000"/>
          <w:sz w:val="18"/>
          <w:szCs w:val="18"/>
        </w:rPr>
      </w:pPr>
    </w:p>
    <w:p w14:paraId="45076148" w14:textId="496F7925" w:rsidR="006842EE" w:rsidRPr="00CA5C86" w:rsidRDefault="008F2625">
      <w:pPr>
        <w:spacing w:before="60" w:after="60"/>
        <w:rPr>
          <w:rFonts w:ascii="Titillium" w:hAnsi="Titillium" w:cs="Calibri"/>
          <w:strike/>
          <w:sz w:val="18"/>
          <w:szCs w:val="18"/>
        </w:rPr>
      </w:pPr>
      <w:r w:rsidRPr="00D87860">
        <w:rPr>
          <w:rFonts w:ascii="Titillium" w:hAnsi="Titillium" w:cs="Calibri"/>
          <w:sz w:val="18"/>
          <w:szCs w:val="18"/>
        </w:rPr>
        <w:t>Successivamente si procede a ricalcolare i punteggi e a riformulare la graduatoria procedendo altresì, alle verifiche nei termini sopra indicati. Nell’ipotesi di ulteriore esito negativo delle verifiche si procede nei termini sopra detti</w:t>
      </w:r>
      <w:r w:rsidR="00910E18" w:rsidRPr="00D87860">
        <w:rPr>
          <w:rFonts w:ascii="Titillium" w:hAnsi="Titillium" w:cs="Calibri"/>
          <w:sz w:val="18"/>
          <w:szCs w:val="18"/>
        </w:rPr>
        <w:t>.</w:t>
      </w:r>
      <w:r>
        <w:rPr>
          <w:rFonts w:ascii="Titillium" w:hAnsi="Titillium" w:cs="Calibri"/>
          <w:sz w:val="18"/>
          <w:szCs w:val="18"/>
        </w:rPr>
        <w:t xml:space="preserve"> </w:t>
      </w:r>
    </w:p>
    <w:p w14:paraId="472BEB2F" w14:textId="1A30F677" w:rsidR="006842EE" w:rsidRDefault="008F2625">
      <w:pPr>
        <w:spacing w:before="60" w:after="60"/>
      </w:pPr>
      <w:r>
        <w:rPr>
          <w:rFonts w:ascii="Titillium" w:hAnsi="Titillium" w:cs="Calibri"/>
          <w:sz w:val="18"/>
          <w:szCs w:val="18"/>
        </w:rPr>
        <w:t xml:space="preserve">Il contratto è stipulato non prima </w:t>
      </w:r>
      <w:r w:rsidR="00B511CF">
        <w:rPr>
          <w:rFonts w:ascii="Titillium" w:hAnsi="Titillium" w:cs="Calibri"/>
          <w:sz w:val="18"/>
          <w:szCs w:val="18"/>
        </w:rPr>
        <w:t xml:space="preserve">di 32 </w:t>
      </w:r>
      <w:r>
        <w:rPr>
          <w:rFonts w:ascii="Titillium" w:hAnsi="Titillium" w:cs="Calibri"/>
          <w:sz w:val="18"/>
          <w:szCs w:val="18"/>
        </w:rPr>
        <w:t>giorni dall’invio dell’ultima delle comunicazioni del provvedimento di aggiudicazione e comunque entro … [</w:t>
      </w:r>
      <w:r>
        <w:rPr>
          <w:rFonts w:ascii="Titillium" w:hAnsi="Titillium" w:cs="Calibri"/>
          <w:i/>
          <w:sz w:val="18"/>
          <w:szCs w:val="18"/>
        </w:rPr>
        <w:t>di norma 60 giorni, la stazione appaltante può stabilire un termine diverso</w:t>
      </w:r>
      <w:r>
        <w:rPr>
          <w:rFonts w:ascii="Titillium" w:hAnsi="Titillium" w:cs="Calibri"/>
          <w:sz w:val="18"/>
          <w:szCs w:val="18"/>
        </w:rPr>
        <w:t xml:space="preserve">] giorni dall’aggiudicazione, salvo quanto previsto dall’articolo 18 comma 2 del Codice. </w:t>
      </w:r>
    </w:p>
    <w:p w14:paraId="7AEA56B8" w14:textId="77777777" w:rsidR="006842EE" w:rsidRDefault="008F2625">
      <w:pPr>
        <w:spacing w:before="60" w:after="60"/>
        <w:rPr>
          <w:rFonts w:ascii="Titillium" w:hAnsi="Titillium" w:cs="Calibri"/>
          <w:sz w:val="18"/>
          <w:szCs w:val="18"/>
        </w:rPr>
      </w:pPr>
      <w:r>
        <w:rPr>
          <w:rFonts w:ascii="Titillium" w:hAnsi="Titillium" w:cs="Calibri"/>
          <w:sz w:val="18"/>
          <w:szCs w:val="18"/>
        </w:rPr>
        <w:t>[</w:t>
      </w:r>
      <w:r>
        <w:rPr>
          <w:rFonts w:ascii="Titillium" w:hAnsi="Titillium" w:cs="Calibri"/>
          <w:b/>
          <w:i/>
          <w:sz w:val="18"/>
          <w:szCs w:val="18"/>
        </w:rPr>
        <w:t>Facoltativo</w:t>
      </w:r>
      <w:r>
        <w:rPr>
          <w:rFonts w:ascii="Titillium" w:hAnsi="Titillium" w:cs="Calibri"/>
          <w:sz w:val="18"/>
          <w:szCs w:val="18"/>
        </w:rPr>
        <w:t>] A seguito di richiesta motivata proveniente dall’aggiudicatario la data di stipula del contratto può essere differita purché ritenuta compatibile con la sollecita esecuzione del contratto stesso.</w:t>
      </w:r>
    </w:p>
    <w:p w14:paraId="0B0DB939" w14:textId="2D34D1EE" w:rsidR="006842EE" w:rsidRDefault="00D13FDD">
      <w:pPr>
        <w:spacing w:before="60" w:after="60"/>
        <w:rPr>
          <w:rFonts w:ascii="Titillium" w:hAnsi="Titillium" w:cs="Calibri"/>
          <w:sz w:val="18"/>
          <w:szCs w:val="18"/>
        </w:rPr>
      </w:pPr>
      <w:r w:rsidRPr="00085CCE">
        <w:rPr>
          <w:rFonts w:ascii="Titillium" w:hAnsi="Titillium" w:cs="Calibri"/>
          <w:b/>
          <w:bCs/>
          <w:sz w:val="18"/>
          <w:szCs w:val="18"/>
        </w:rPr>
        <w:t>[</w:t>
      </w:r>
      <w:r w:rsidRPr="00953FB3">
        <w:rPr>
          <w:rFonts w:ascii="Titillium" w:hAnsi="Titillium" w:cs="Calibri"/>
          <w:b/>
          <w:bCs/>
          <w:i/>
          <w:iCs/>
          <w:sz w:val="18"/>
          <w:szCs w:val="18"/>
        </w:rPr>
        <w:t>Nel caso in cui è dovuta</w:t>
      </w:r>
      <w:r w:rsidRPr="00085CCE">
        <w:rPr>
          <w:rFonts w:ascii="Titillium" w:hAnsi="Titillium" w:cs="Calibri"/>
          <w:b/>
          <w:bCs/>
          <w:sz w:val="18"/>
          <w:szCs w:val="18"/>
        </w:rPr>
        <w:t>]</w:t>
      </w:r>
      <w:r w:rsidRPr="00085CCE">
        <w:rPr>
          <w:rFonts w:ascii="Titillium" w:hAnsi="Titillium" w:cs="Calibri"/>
          <w:sz w:val="18"/>
          <w:szCs w:val="18"/>
        </w:rPr>
        <w:t xml:space="preserve"> </w:t>
      </w:r>
      <w:r w:rsidR="008F2625">
        <w:rPr>
          <w:rFonts w:ascii="Titillium" w:hAnsi="Titillium" w:cs="Calibri"/>
          <w:sz w:val="18"/>
          <w:szCs w:val="18"/>
        </w:rPr>
        <w:t>La garanzia provvisoria dell’aggiudicatario è svincolata automaticamente al momento della stipula del contratto; la garanzia provvisoria degli altri concorrenti è svincolata con il provvedimento di aggiudicazione e perde, in ogni caso, efficacia entro 30 giorni dall’aggiudicazione.</w:t>
      </w:r>
    </w:p>
    <w:p w14:paraId="7CF1C658" w14:textId="77777777" w:rsidR="00EE6086" w:rsidRDefault="008F2625" w:rsidP="00EE6086">
      <w:pPr>
        <w:spacing w:before="60" w:after="60"/>
      </w:pPr>
      <w:r>
        <w:rPr>
          <w:rFonts w:ascii="Titillium" w:hAnsi="Titillium" w:cs="Calibri"/>
          <w:sz w:val="18"/>
          <w:szCs w:val="18"/>
        </w:rPr>
        <w:t xml:space="preserve">All’atto della stipulazione del contratto, l’aggiudicatario deve </w:t>
      </w:r>
      <w:r w:rsidRPr="00D14C42">
        <w:rPr>
          <w:rFonts w:ascii="Titillium" w:hAnsi="Titillium" w:cs="Calibri"/>
          <w:sz w:val="18"/>
          <w:szCs w:val="18"/>
        </w:rPr>
        <w:t xml:space="preserve">presentare la garanzia definitiva </w:t>
      </w:r>
      <w:r w:rsidRPr="008D56D2">
        <w:rPr>
          <w:rFonts w:ascii="Titillium" w:hAnsi="Titillium" w:cs="Calibri"/>
          <w:sz w:val="18"/>
          <w:szCs w:val="18"/>
        </w:rPr>
        <w:t>da calcolare sull’importo contrattuale, secondo le misure e le modalità previste dall’articolo 117 del Codice.</w:t>
      </w:r>
      <w:r w:rsidR="00EE6086" w:rsidRPr="00EE6086">
        <w:t xml:space="preserve"> </w:t>
      </w:r>
    </w:p>
    <w:tbl>
      <w:tblPr>
        <w:tblStyle w:val="Grigliatabella"/>
        <w:tblW w:w="9498" w:type="dxa"/>
        <w:tblInd w:w="-147" w:type="dxa"/>
        <w:tblLook w:val="04A0" w:firstRow="1" w:lastRow="0" w:firstColumn="1" w:lastColumn="0" w:noHBand="0" w:noVBand="1"/>
      </w:tblPr>
      <w:tblGrid>
        <w:gridCol w:w="9498"/>
      </w:tblGrid>
      <w:tr w:rsidR="00EE6086" w:rsidRPr="00EE6086" w14:paraId="43098C00" w14:textId="77777777" w:rsidTr="00400FF6">
        <w:tc>
          <w:tcPr>
            <w:tcW w:w="9498" w:type="dxa"/>
          </w:tcPr>
          <w:p w14:paraId="286B9A42" w14:textId="31E1D71C" w:rsidR="00EE6086" w:rsidRPr="00400FF6" w:rsidRDefault="00EE6086" w:rsidP="00EE6086">
            <w:pPr>
              <w:spacing w:before="60" w:after="60"/>
              <w:rPr>
                <w:rFonts w:ascii="Titillium" w:hAnsi="Titillium" w:cs="Calibri"/>
                <w:i/>
                <w:iCs/>
                <w:sz w:val="18"/>
                <w:szCs w:val="18"/>
                <w:highlight w:val="cyan"/>
              </w:rPr>
            </w:pPr>
            <w:r w:rsidRPr="00400FF6">
              <w:rPr>
                <w:rFonts w:ascii="Titillium" w:hAnsi="Titillium" w:cs="Calibri"/>
                <w:i/>
                <w:iCs/>
                <w:sz w:val="18"/>
                <w:szCs w:val="18"/>
              </w:rPr>
              <w:t>Ai fini del calcolo dell’importo della garanzia definitiva – come chiarito anche dal parere MIT n. 3850 del 2.03.2026 – la percentuale di ribasso da prendere a riferimento corrisponde alla riparametrazione sul valore complessivo dell’affidamento della percentuale di ribasso proposta dall’operatore economico sulla sola quota ribassabile del 35%.</w:t>
            </w:r>
          </w:p>
        </w:tc>
      </w:tr>
    </w:tbl>
    <w:p w14:paraId="6F82E1EF" w14:textId="64E76466" w:rsidR="006842EE" w:rsidRPr="00B30858" w:rsidRDefault="008F2625" w:rsidP="00400FF6">
      <w:pPr>
        <w:pBdr>
          <w:top w:val="single" w:sz="4" w:space="1" w:color="000000"/>
          <w:left w:val="single" w:sz="4" w:space="4" w:color="000000"/>
          <w:bottom w:val="single" w:sz="4" w:space="1" w:color="000000"/>
          <w:right w:val="single" w:sz="4" w:space="8" w:color="000000"/>
        </w:pBdr>
        <w:spacing w:before="60" w:after="60"/>
        <w:rPr>
          <w:rFonts w:ascii="Titillium" w:hAnsi="Titillium" w:cs="Calibri"/>
          <w:i/>
          <w:iCs/>
          <w:sz w:val="18"/>
          <w:szCs w:val="18"/>
        </w:rPr>
      </w:pPr>
      <w:r w:rsidRPr="00B30858">
        <w:rPr>
          <w:rFonts w:ascii="Titillium" w:hAnsi="Titillium" w:cs="Calibri"/>
          <w:i/>
          <w:iCs/>
          <w:sz w:val="18"/>
          <w:szCs w:val="18"/>
        </w:rPr>
        <w:t>N.B.  Ai sensi dell’articolo 117, comma 14, del Codice, qualora l’appalto debba essere eseguito da operatori economici di comprovata solidità, l'esonero dalla prestazione della garanzia è possibile previa adeguata motivazione ed è subordinato ad un miglioramento del prezzo di aggiudicazione ovvero delle condizioni di esecuzione</w:t>
      </w:r>
      <w:r w:rsidR="00953FB3">
        <w:rPr>
          <w:rFonts w:ascii="Titillium" w:hAnsi="Titillium" w:cs="Calibri"/>
          <w:i/>
          <w:iCs/>
          <w:sz w:val="18"/>
          <w:szCs w:val="18"/>
        </w:rPr>
        <w:t>.</w:t>
      </w:r>
    </w:p>
    <w:p w14:paraId="0B227A40" w14:textId="77777777" w:rsidR="006842EE" w:rsidRDefault="006842EE">
      <w:pPr>
        <w:spacing w:before="60" w:after="60"/>
        <w:rPr>
          <w:rFonts w:ascii="Titillium" w:hAnsi="Titillium" w:cs="Calibri"/>
          <w:sz w:val="18"/>
          <w:szCs w:val="18"/>
        </w:rPr>
      </w:pPr>
    </w:p>
    <w:p w14:paraId="44B8966F" w14:textId="77777777" w:rsidR="006842EE" w:rsidRDefault="008F2625">
      <w:pPr>
        <w:spacing w:before="60" w:after="60"/>
        <w:rPr>
          <w:rFonts w:ascii="Titillium" w:hAnsi="Titillium" w:cs="Calibri"/>
          <w:sz w:val="18"/>
          <w:szCs w:val="18"/>
        </w:rPr>
      </w:pPr>
      <w:r>
        <w:rPr>
          <w:rFonts w:ascii="Titillium" w:hAnsi="Titillium" w:cs="Calibri"/>
          <w:sz w:val="18"/>
          <w:szCs w:val="18"/>
        </w:rPr>
        <w:t xml:space="preserve">Se la stipula del contratto non avviene nel termine per fatto della stazione appaltante, l’aggiudicatario può farne constatare il silenzio inadempimento o, in alternativa, può sciogliersi da ogni vincolo mediante atto notificato. All’aggiudicatario non spetta alcun indennizzo, salvo il rimborso delle spese contrattuali. </w:t>
      </w:r>
    </w:p>
    <w:p w14:paraId="786FE81A" w14:textId="77777777" w:rsidR="006842EE" w:rsidRDefault="008F2625">
      <w:pPr>
        <w:spacing w:before="60" w:after="60"/>
        <w:rPr>
          <w:rFonts w:ascii="Titillium" w:hAnsi="Titillium" w:cs="Calibri"/>
          <w:sz w:val="18"/>
          <w:szCs w:val="18"/>
        </w:rPr>
      </w:pPr>
      <w:r>
        <w:rPr>
          <w:rFonts w:ascii="Titillium" w:hAnsi="Titillium" w:cs="Calibri"/>
          <w:sz w:val="18"/>
          <w:szCs w:val="18"/>
        </w:rPr>
        <w:t xml:space="preserve">Se la stipula del contratto non avviene nel termine fissato per fatto dell’aggiudicatario può costituire motivo di revoca dell’aggiudicazione. </w:t>
      </w:r>
    </w:p>
    <w:p w14:paraId="78282E18" w14:textId="77777777" w:rsidR="006842EE" w:rsidRDefault="008F2625">
      <w:pPr>
        <w:spacing w:before="60" w:after="60"/>
        <w:rPr>
          <w:rFonts w:ascii="Titillium" w:hAnsi="Titillium" w:cs="Calibri"/>
          <w:sz w:val="18"/>
          <w:szCs w:val="18"/>
        </w:rPr>
      </w:pPr>
      <w:r>
        <w:rPr>
          <w:rFonts w:ascii="Titillium" w:hAnsi="Titillium" w:cs="Calibri"/>
          <w:sz w:val="18"/>
          <w:szCs w:val="18"/>
        </w:rPr>
        <w:t>La mancata o tardiva stipula del contratto al di fuori delle ipotesi predette, costituisce violazione del dovere di buona fede, anche in pendenza di contenzioso.</w:t>
      </w:r>
    </w:p>
    <w:p w14:paraId="387D4A47" w14:textId="77777777" w:rsidR="006842EE" w:rsidRDefault="008F2625">
      <w:pPr>
        <w:spacing w:before="60" w:after="60"/>
        <w:rPr>
          <w:rFonts w:ascii="Titillium" w:hAnsi="Titillium" w:cs="Calibri"/>
          <w:sz w:val="18"/>
          <w:szCs w:val="18"/>
        </w:rPr>
      </w:pPr>
      <w:r>
        <w:rPr>
          <w:rFonts w:ascii="Titillium" w:hAnsi="Titillium" w:cs="Calibri"/>
          <w:b/>
          <w:bCs/>
          <w:i/>
          <w:iCs/>
          <w:sz w:val="18"/>
          <w:szCs w:val="18"/>
        </w:rPr>
        <w:t>[Nel caso in cui sia prevista l’approvazione del contratto]</w:t>
      </w:r>
      <w:r>
        <w:rPr>
          <w:rFonts w:ascii="Titillium" w:hAnsi="Titillium" w:cs="Calibri"/>
          <w:sz w:val="18"/>
          <w:szCs w:val="18"/>
        </w:rPr>
        <w:t xml:space="preserve"> Il contratto è sottoposto alla condizione risolutiva dell’esito negativo della sua approvazione da effettuarsi entro trenta giorni dalla stipula. Decorso tale termine, il contratto si intende approvato. </w:t>
      </w:r>
    </w:p>
    <w:p w14:paraId="39974D80" w14:textId="5B0A10B8" w:rsidR="006842EE" w:rsidRDefault="008F2625">
      <w:pPr>
        <w:spacing w:before="60" w:after="60"/>
        <w:rPr>
          <w:rFonts w:ascii="Titillium" w:hAnsi="Titillium" w:cs="Calibri"/>
          <w:sz w:val="18"/>
          <w:szCs w:val="18"/>
        </w:rPr>
      </w:pPr>
      <w:r w:rsidRPr="00305799">
        <w:rPr>
          <w:rFonts w:ascii="Titillium" w:hAnsi="Titillium" w:cs="Calibri"/>
          <w:sz w:val="18"/>
          <w:szCs w:val="18"/>
        </w:rPr>
        <w:t>All’atto della stipulazione del contratto</w:t>
      </w:r>
      <w:r w:rsidRPr="00305799">
        <w:rPr>
          <w:rFonts w:ascii="Titillium" w:hAnsi="Titillium" w:cs="Calibri"/>
          <w:color w:val="44546A" w:themeColor="text2"/>
          <w:sz w:val="18"/>
          <w:szCs w:val="18"/>
        </w:rPr>
        <w:t xml:space="preserve">, </w:t>
      </w:r>
      <w:r w:rsidRPr="00305799">
        <w:rPr>
          <w:rFonts w:ascii="Titillium" w:hAnsi="Titillium" w:cs="Calibri"/>
          <w:sz w:val="18"/>
          <w:szCs w:val="18"/>
        </w:rPr>
        <w:t>l’aggiudicatario trasmette alla stazione appaltante copia autentica, ai sensi dell’articolo 18 del decreto del Presidente della Repubblica n. 445/2000, della polizza di responsabilità civile professionale a copertura dei rischi derivanti dallo svolgimento della propria attività</w:t>
      </w:r>
      <w:r w:rsidR="00CC7C2F">
        <w:rPr>
          <w:rFonts w:ascii="Titillium" w:hAnsi="Titillium" w:cs="Calibri"/>
          <w:sz w:val="18"/>
          <w:szCs w:val="18"/>
        </w:rPr>
        <w:t>.</w:t>
      </w:r>
    </w:p>
    <w:p w14:paraId="7C84FAD1" w14:textId="06114457" w:rsidR="006842EE" w:rsidRPr="00305799" w:rsidRDefault="008F2625">
      <w:pPr>
        <w:spacing w:before="60" w:after="60"/>
        <w:rPr>
          <w:rFonts w:ascii="Titillium" w:hAnsi="Titillium" w:cs="Calibri"/>
          <w:sz w:val="18"/>
          <w:szCs w:val="18"/>
        </w:rPr>
      </w:pPr>
      <w:r w:rsidRPr="00F341E1">
        <w:rPr>
          <w:rFonts w:ascii="Titillium" w:hAnsi="Titillium" w:cs="Calibri"/>
          <w:b/>
          <w:i/>
          <w:iCs/>
          <w:sz w:val="18"/>
          <w:szCs w:val="18"/>
        </w:rPr>
        <w:t>[In alternativa]</w:t>
      </w:r>
      <w:r w:rsidRPr="00F341E1">
        <w:rPr>
          <w:rFonts w:ascii="Titillium" w:hAnsi="Titillium" w:cs="Calibri"/>
          <w:i/>
          <w:iCs/>
          <w:sz w:val="18"/>
          <w:szCs w:val="18"/>
        </w:rPr>
        <w:t>,</w:t>
      </w:r>
      <w:r w:rsidRPr="00305799">
        <w:rPr>
          <w:rFonts w:ascii="Titillium" w:hAnsi="Titillium" w:cs="Calibri"/>
          <w:sz w:val="18"/>
          <w:szCs w:val="18"/>
        </w:rPr>
        <w:t xml:space="preserve"> l’aggiudicatario trasmette copia informatica di documento analogico (scansione di documento cartaceo) secondo le modalità previste dall’articolo 22, commi 1 e 2, del decreto legislativo n. 82/2005. </w:t>
      </w:r>
    </w:p>
    <w:p w14:paraId="14972388" w14:textId="77777777" w:rsidR="006842EE" w:rsidRPr="00305799" w:rsidRDefault="008F2625">
      <w:pPr>
        <w:spacing w:before="60" w:after="60"/>
        <w:rPr>
          <w:rFonts w:ascii="Titillium" w:hAnsi="Titillium" w:cs="Calibri"/>
          <w:sz w:val="18"/>
          <w:szCs w:val="18"/>
        </w:rPr>
      </w:pPr>
      <w:r w:rsidRPr="00305799">
        <w:rPr>
          <w:rFonts w:ascii="Titillium" w:hAnsi="Titillium" w:cs="Calibri"/>
          <w:sz w:val="18"/>
          <w:szCs w:val="18"/>
        </w:rPr>
        <w:t>Ogni successiva variazione alla citata polizza deve essere comunicata alla stazione appaltante ai sensi dell’articolo 5 del decreto del Presidente della Repubblica n. 7 agosto 2012 n. 137.</w:t>
      </w:r>
    </w:p>
    <w:p w14:paraId="053AD8C6" w14:textId="77777777" w:rsidR="006842EE" w:rsidRPr="00305799" w:rsidRDefault="008F2625">
      <w:pPr>
        <w:spacing w:before="60" w:after="60"/>
        <w:rPr>
          <w:rFonts w:ascii="Titillium" w:hAnsi="Titillium" w:cs="Calibri"/>
          <w:sz w:val="18"/>
          <w:szCs w:val="18"/>
        </w:rPr>
      </w:pPr>
      <w:r w:rsidRPr="00305799">
        <w:rPr>
          <w:rFonts w:ascii="Titillium" w:hAnsi="Titillium" w:cs="Calibri"/>
          <w:sz w:val="18"/>
          <w:szCs w:val="18"/>
        </w:rPr>
        <w:t>La polizza si estende anche alla copertura dei danni causati da collaboratori, dipendenti e praticanti.</w:t>
      </w:r>
    </w:p>
    <w:p w14:paraId="3D9AD888" w14:textId="77777777" w:rsidR="006842EE" w:rsidRPr="00305799" w:rsidRDefault="008F2625">
      <w:pPr>
        <w:spacing w:before="60" w:after="60"/>
        <w:rPr>
          <w:rFonts w:ascii="Titillium" w:hAnsi="Titillium" w:cs="Calibri"/>
          <w:sz w:val="18"/>
          <w:szCs w:val="18"/>
        </w:rPr>
      </w:pPr>
      <w:r w:rsidRPr="00305799">
        <w:rPr>
          <w:rFonts w:ascii="Titillium" w:hAnsi="Titillium" w:cs="Calibri"/>
          <w:sz w:val="18"/>
          <w:szCs w:val="18"/>
        </w:rPr>
        <w:t>La polizza delle associazioni di professionisti prevede espressamente la copertura assicurativa anche degli associati e dei consulenti.</w:t>
      </w:r>
    </w:p>
    <w:p w14:paraId="7871A083" w14:textId="02F2530C" w:rsidR="006842EE" w:rsidRPr="00305799" w:rsidRDefault="008F2625">
      <w:pPr>
        <w:spacing w:before="60" w:after="60"/>
        <w:rPr>
          <w:rFonts w:ascii="Titillium" w:hAnsi="Titillium" w:cs="Calibri"/>
          <w:sz w:val="18"/>
          <w:szCs w:val="18"/>
        </w:rPr>
      </w:pPr>
      <w:r w:rsidRPr="00305799">
        <w:rPr>
          <w:rFonts w:ascii="Titillium" w:hAnsi="Titillium" w:cs="Calibri"/>
          <w:sz w:val="18"/>
          <w:szCs w:val="18"/>
        </w:rPr>
        <w:t>Qualora l’aggiudicatario sia una società, trasmette la polizza di assicurazione di cui all’articolo 1, comma 148 della legge 4 agosto 2017 n. 124.</w:t>
      </w:r>
    </w:p>
    <w:p w14:paraId="3A27A9E4" w14:textId="77777777" w:rsidR="006842EE" w:rsidRPr="00305799" w:rsidRDefault="008F2625">
      <w:pPr>
        <w:spacing w:before="60" w:after="60"/>
        <w:rPr>
          <w:rFonts w:ascii="Titillium" w:hAnsi="Titillium" w:cs="Calibri"/>
          <w:sz w:val="18"/>
          <w:szCs w:val="18"/>
        </w:rPr>
      </w:pPr>
      <w:r w:rsidRPr="00D14C42">
        <w:rPr>
          <w:rFonts w:ascii="Titillium" w:hAnsi="Titillium" w:cs="Calibri"/>
          <w:sz w:val="18"/>
          <w:szCs w:val="18"/>
        </w:rPr>
        <w:t>[</w:t>
      </w:r>
      <w:r w:rsidRPr="00400FF6">
        <w:rPr>
          <w:rFonts w:ascii="Titillium" w:hAnsi="Titillium" w:cs="Calibri"/>
          <w:b/>
          <w:i/>
          <w:iCs/>
          <w:sz w:val="18"/>
          <w:szCs w:val="18"/>
        </w:rPr>
        <w:t>In caso di incarichi di progettazione</w:t>
      </w:r>
      <w:r w:rsidRPr="00D14C42">
        <w:rPr>
          <w:rFonts w:ascii="Titillium" w:hAnsi="Titillium" w:cs="Calibri"/>
          <w:sz w:val="18"/>
          <w:szCs w:val="18"/>
        </w:rPr>
        <w:t>]</w:t>
      </w:r>
      <w:r w:rsidRPr="00305799">
        <w:rPr>
          <w:rFonts w:ascii="Titillium" w:hAnsi="Titillium" w:cs="Calibri"/>
          <w:sz w:val="18"/>
          <w:szCs w:val="18"/>
        </w:rPr>
        <w:t xml:space="preserve"> La polizza, oltre ai danni subiti dalle stazioni appaltanti in conseguenza di errori o di omissioni della progettazione, copre anche i rischi derivanti da errori od omissioni nella redazione del progetto esecutivo che possano determinare a carico della stazione appaltante nuove spese di progettazione e/o maggiori costi.</w:t>
      </w:r>
    </w:p>
    <w:p w14:paraId="1EAD63AD" w14:textId="77777777" w:rsidR="006842EE" w:rsidRPr="00305799" w:rsidRDefault="008F2625">
      <w:pPr>
        <w:spacing w:before="60" w:after="60"/>
        <w:rPr>
          <w:rFonts w:ascii="Titillium" w:hAnsi="Titillium" w:cs="Calibri"/>
          <w:sz w:val="18"/>
          <w:szCs w:val="18"/>
        </w:rPr>
      </w:pPr>
      <w:r w:rsidRPr="00305799">
        <w:rPr>
          <w:rFonts w:ascii="Titillium" w:hAnsi="Titillium" w:cs="Calibri"/>
          <w:sz w:val="18"/>
          <w:szCs w:val="18"/>
        </w:rPr>
        <w:t>La mancata presentazione da parte dei progettisti della polizza di garanzia esonera le amministrazioni pubbliche dal pagamento del corrispettivo.</w:t>
      </w:r>
    </w:p>
    <w:p w14:paraId="7CD5A123" w14:textId="2568AFD4" w:rsidR="006842EE" w:rsidRDefault="008F2625">
      <w:pPr>
        <w:spacing w:before="60" w:after="60"/>
        <w:rPr>
          <w:rFonts w:ascii="Titillium" w:hAnsi="Titillium" w:cs="Calibri"/>
          <w:sz w:val="18"/>
          <w:szCs w:val="18"/>
        </w:rPr>
      </w:pPr>
      <w:r w:rsidRPr="00305799">
        <w:rPr>
          <w:rFonts w:ascii="Titillium" w:hAnsi="Titillium" w:cs="Calibri"/>
          <w:sz w:val="18"/>
          <w:szCs w:val="18"/>
        </w:rPr>
        <w:t>Il progettista, contestualmente alla sottoscrizione del contratto, è tenuto a produrre una dichiarazione di un’impresa di assicurazione autorizzata all’esercizio del ramo “responsabilità civile generale” contenente l’impegno a rilasciare la polizza di responsabilità civile professionale con specifico riferimento ai lavori progettati. La polizza decorre dalla data di inizio dei lavori e ha termine alla data di emissione del certificato di collaudo provvisorio. La mancata presentazione della dichiarazione determina la decadenza dall’incarico, e autorizza la sostituzione dell’affidatario. Nel caso di appalto di progettazione ed esecuzione la polizza decorre dalla stipula del contratto con l’affidatario.</w:t>
      </w:r>
    </w:p>
    <w:p w14:paraId="0D7704E5" w14:textId="4B9B5EB3" w:rsidR="00AA31CE" w:rsidRPr="00AA31CE" w:rsidRDefault="00AA31CE" w:rsidP="00AA31CE">
      <w:pPr>
        <w:spacing w:before="60" w:after="60"/>
        <w:rPr>
          <w:rFonts w:ascii="Titillium" w:hAnsi="Titillium" w:cs="Calibri"/>
          <w:sz w:val="18"/>
          <w:szCs w:val="18"/>
        </w:rPr>
      </w:pPr>
      <w:r w:rsidRPr="00AA31CE">
        <w:rPr>
          <w:rFonts w:ascii="Titillium" w:hAnsi="Titillium" w:cs="Calibri"/>
          <w:b/>
          <w:bCs/>
          <w:i/>
          <w:iCs/>
          <w:sz w:val="18"/>
          <w:szCs w:val="18"/>
        </w:rPr>
        <w:t>[Nel caso in cui sia prevista l’approvazione del contratto]</w:t>
      </w:r>
      <w:r w:rsidRPr="00AA31CE">
        <w:rPr>
          <w:rFonts w:ascii="Titillium" w:hAnsi="Titillium" w:cs="Calibri"/>
          <w:sz w:val="18"/>
          <w:szCs w:val="18"/>
        </w:rPr>
        <w:t xml:space="preserve"> Il contratto è sottoposto alla condizione risolutiva dell’esito negativo della sua approvazione da effettuarsi entro trenta giorni dalla stipula. Decorso tale termine, il contratto si intende approvato. </w:t>
      </w:r>
    </w:p>
    <w:p w14:paraId="3DE209CB" w14:textId="2A039032" w:rsidR="00AA31CE" w:rsidRDefault="00AA31CE" w:rsidP="00AA31CE">
      <w:pPr>
        <w:spacing w:before="60" w:after="60"/>
        <w:rPr>
          <w:rFonts w:ascii="Titillium" w:hAnsi="Titillium" w:cs="Calibri"/>
          <w:sz w:val="18"/>
          <w:szCs w:val="18"/>
        </w:rPr>
      </w:pPr>
      <w:r w:rsidRPr="00AA31CE">
        <w:rPr>
          <w:rFonts w:ascii="Titillium" w:hAnsi="Titillium" w:cs="Calibri"/>
          <w:sz w:val="18"/>
          <w:szCs w:val="18"/>
        </w:rPr>
        <w:t>L’aggiudicatario deposita, prima o contestualmente alla sottoscrizione del contratto di appalto, i contratti continuativi di cooperazione, servizio e/o fornitura di cui all’articolo 119, comma 3, lett. d) del Codice.</w:t>
      </w:r>
    </w:p>
    <w:p w14:paraId="2A93ABE2" w14:textId="77777777" w:rsidR="006842EE" w:rsidRDefault="008F2625">
      <w:pPr>
        <w:spacing w:before="60" w:after="60"/>
        <w:rPr>
          <w:rFonts w:ascii="Titillium" w:hAnsi="Titillium" w:cs="Calibri"/>
          <w:sz w:val="18"/>
          <w:szCs w:val="18"/>
        </w:rPr>
      </w:pPr>
      <w:r>
        <w:rPr>
          <w:rFonts w:ascii="Titillium" w:hAnsi="Titillium" w:cs="Calibri"/>
          <w:sz w:val="18"/>
          <w:szCs w:val="18"/>
        </w:rPr>
        <w:t>L’aggiudicatario deposita, prima o contestualmente alla sottoscrizione del contratto di appalto, i contratti continuativi di cooperazione, servizio e/o fornitura di cui all’articolo 119, comma 3, lettera d) del Codice.</w:t>
      </w:r>
    </w:p>
    <w:p w14:paraId="720AF2A7" w14:textId="77777777" w:rsidR="006842EE" w:rsidRDefault="008F2625">
      <w:pPr>
        <w:spacing w:before="60" w:after="60"/>
      </w:pPr>
      <w:r>
        <w:rPr>
          <w:rFonts w:ascii="Titillium" w:hAnsi="Titillium" w:cs="Calibri"/>
          <w:sz w:val="18"/>
          <w:szCs w:val="18"/>
        </w:rPr>
        <w:t>L’affidatario comunica, per ogni sub-contratto che non costituisce subappalto, l’importo e l’oggetto del medesimo, nonché il nome del sub-contraente, prima dell’inizio della prestazione.</w:t>
      </w:r>
    </w:p>
    <w:p w14:paraId="290BDDB1" w14:textId="4965E52F" w:rsidR="006842EE" w:rsidRDefault="008F2625">
      <w:pPr>
        <w:spacing w:before="60" w:after="60"/>
        <w:rPr>
          <w:rFonts w:ascii="Titillium" w:hAnsi="Titillium" w:cs="Calibri"/>
          <w:i/>
          <w:sz w:val="18"/>
          <w:szCs w:val="18"/>
        </w:rPr>
      </w:pPr>
      <w:r>
        <w:rPr>
          <w:rFonts w:ascii="Titillium" w:hAnsi="Titillium" w:cs="Calibri"/>
          <w:sz w:val="18"/>
          <w:szCs w:val="18"/>
        </w:rPr>
        <w:t xml:space="preserve">Il contratto è stipulato mediante … </w:t>
      </w:r>
      <w:r>
        <w:rPr>
          <w:rFonts w:ascii="Titillium" w:hAnsi="Titillium" w:cs="Calibri"/>
          <w:i/>
          <w:sz w:val="18"/>
          <w:szCs w:val="18"/>
        </w:rPr>
        <w:t xml:space="preserve">[indicare una delle modalità individuate dall’articolo 18 del </w:t>
      </w:r>
      <w:r w:rsidR="00953FB3">
        <w:rPr>
          <w:rFonts w:ascii="Titillium" w:hAnsi="Titillium" w:cs="Calibri"/>
          <w:i/>
          <w:sz w:val="18"/>
          <w:szCs w:val="18"/>
        </w:rPr>
        <w:t>C</w:t>
      </w:r>
      <w:r>
        <w:rPr>
          <w:rFonts w:ascii="Titillium" w:hAnsi="Titillium" w:cs="Calibri"/>
          <w:i/>
          <w:sz w:val="18"/>
          <w:szCs w:val="18"/>
        </w:rPr>
        <w:t>odice</w:t>
      </w:r>
      <w:r w:rsidR="00953FB3" w:rsidRPr="00953FB3">
        <w:rPr>
          <w:rFonts w:ascii="Titillium" w:hAnsi="Titillium" w:cs="Calibri"/>
          <w:i/>
          <w:iCs/>
          <w:sz w:val="18"/>
          <w:szCs w:val="18"/>
        </w:rPr>
        <w:t>]</w:t>
      </w:r>
      <w:r>
        <w:rPr>
          <w:rFonts w:ascii="Titillium" w:hAnsi="Titillium" w:cs="Calibri"/>
          <w:i/>
          <w:sz w:val="18"/>
          <w:szCs w:val="18"/>
        </w:rPr>
        <w:t>.</w:t>
      </w:r>
    </w:p>
    <w:p w14:paraId="47448DDE" w14:textId="77777777" w:rsidR="006842EE" w:rsidRDefault="008F2625">
      <w:pPr>
        <w:rPr>
          <w:rFonts w:ascii="Titillium" w:hAnsi="Titillium" w:cstheme="minorHAnsi"/>
          <w:sz w:val="18"/>
          <w:szCs w:val="18"/>
        </w:rPr>
      </w:pPr>
      <w:r>
        <w:rPr>
          <w:rFonts w:ascii="Titillium" w:hAnsi="Titillium" w:cstheme="minorHAnsi"/>
          <w:sz w:val="18"/>
          <w:szCs w:val="18"/>
        </w:rPr>
        <w:t>Sono a carico dell’aggiudicatario tutte le spese contrattuali, gli oneri fiscali quali imposte e tasse - ivi comprese quelle di registro ove dovute - relative alla stipulazione del contratto.</w:t>
      </w:r>
    </w:p>
    <w:p w14:paraId="67F274A0" w14:textId="53AF0A9F" w:rsidR="00492E85" w:rsidRPr="00D14C42" w:rsidRDefault="00492E85">
      <w:pPr>
        <w:rPr>
          <w:rFonts w:ascii="Titillium" w:hAnsi="Titillium" w:cstheme="minorHAnsi"/>
          <w:sz w:val="18"/>
          <w:szCs w:val="18"/>
        </w:rPr>
      </w:pPr>
      <w:r w:rsidRPr="00D14C42">
        <w:rPr>
          <w:rFonts w:ascii="Titillium" w:hAnsi="Titillium" w:cstheme="minorHAnsi"/>
          <w:sz w:val="18"/>
          <w:szCs w:val="18"/>
        </w:rPr>
        <w:t>[</w:t>
      </w:r>
      <w:r w:rsidRPr="00D14C42">
        <w:rPr>
          <w:rFonts w:ascii="Titillium" w:hAnsi="Titillium" w:cstheme="minorHAnsi"/>
          <w:b/>
          <w:bCs/>
          <w:i/>
          <w:iCs/>
          <w:sz w:val="18"/>
          <w:szCs w:val="18"/>
        </w:rPr>
        <w:t>Se richiesto l’uso dei metodi e strumenti di gestione informativa digitale delle costruzioni</w:t>
      </w:r>
      <w:r w:rsidRPr="00D14C42">
        <w:rPr>
          <w:rFonts w:ascii="Titillium" w:hAnsi="Titillium" w:cstheme="minorHAnsi"/>
          <w:sz w:val="18"/>
          <w:szCs w:val="18"/>
        </w:rPr>
        <w:t xml:space="preserve">] </w:t>
      </w:r>
    </w:p>
    <w:p w14:paraId="38627F43" w14:textId="19F3E786" w:rsidR="006606C0" w:rsidRPr="00D14C42" w:rsidRDefault="00492E85">
      <w:pPr>
        <w:rPr>
          <w:rFonts w:ascii="Titillium" w:hAnsi="Titillium" w:cstheme="minorHAnsi"/>
          <w:sz w:val="18"/>
          <w:szCs w:val="18"/>
        </w:rPr>
      </w:pPr>
      <w:r w:rsidRPr="00D14C42">
        <w:rPr>
          <w:rFonts w:ascii="Titillium" w:hAnsi="Titillium" w:cstheme="minorHAnsi"/>
          <w:sz w:val="18"/>
          <w:szCs w:val="18"/>
        </w:rPr>
        <w:t>Ai sensi di quanto previsto dall’Allegato 1.9</w:t>
      </w:r>
      <w:r w:rsidR="006C302B">
        <w:rPr>
          <w:rFonts w:ascii="Titillium" w:hAnsi="Titillium" w:cstheme="minorHAnsi"/>
          <w:sz w:val="18"/>
          <w:szCs w:val="18"/>
        </w:rPr>
        <w:t xml:space="preserve"> del Codice</w:t>
      </w:r>
      <w:r w:rsidRPr="00D14C42">
        <w:rPr>
          <w:rFonts w:ascii="Titillium" w:hAnsi="Titillium" w:cstheme="minorHAnsi"/>
          <w:sz w:val="18"/>
          <w:szCs w:val="18"/>
        </w:rPr>
        <w:t xml:space="preserve"> </w:t>
      </w:r>
      <w:r w:rsidR="006606C0" w:rsidRPr="00D14C42">
        <w:rPr>
          <w:rFonts w:ascii="Titillium" w:hAnsi="Titillium" w:cstheme="minorHAnsi"/>
          <w:sz w:val="18"/>
          <w:szCs w:val="18"/>
        </w:rPr>
        <w:t xml:space="preserve">l’aggiudicatario dopo la sottoscrizione del contratto e prima dell’esecuzione dello stesso sottopone alla stazione appaltante </w:t>
      </w:r>
      <w:r w:rsidRPr="00D14C42">
        <w:rPr>
          <w:rFonts w:ascii="Titillium" w:hAnsi="Titillium" w:cstheme="minorHAnsi"/>
          <w:sz w:val="18"/>
          <w:szCs w:val="18"/>
        </w:rPr>
        <w:t xml:space="preserve">il piano di gestione informativa redatto sulla base dell’offerta di gestione informativa, </w:t>
      </w:r>
      <w:r w:rsidR="006606C0" w:rsidRPr="00D14C42">
        <w:rPr>
          <w:rFonts w:ascii="Titillium" w:hAnsi="Titillium" w:cstheme="minorHAnsi"/>
          <w:sz w:val="18"/>
          <w:szCs w:val="18"/>
        </w:rPr>
        <w:t xml:space="preserve">che </w:t>
      </w:r>
      <w:r w:rsidRPr="00D14C42">
        <w:rPr>
          <w:rFonts w:ascii="Titillium" w:hAnsi="Titillium" w:cstheme="minorHAnsi"/>
          <w:sz w:val="18"/>
          <w:szCs w:val="18"/>
        </w:rPr>
        <w:t xml:space="preserve">può essere aggiornato nel corso dell’esecuzione del contratto. </w:t>
      </w:r>
    </w:p>
    <w:p w14:paraId="7F739A21" w14:textId="7477A10C" w:rsidR="00492E85" w:rsidRDefault="00492E85">
      <w:pPr>
        <w:rPr>
          <w:rFonts w:ascii="Titillium" w:hAnsi="Titillium" w:cstheme="minorHAnsi"/>
          <w:sz w:val="18"/>
          <w:szCs w:val="18"/>
        </w:rPr>
      </w:pPr>
      <w:r w:rsidRPr="00D14C42">
        <w:rPr>
          <w:rFonts w:ascii="Titillium" w:hAnsi="Titillium" w:cstheme="minorHAnsi"/>
          <w:sz w:val="18"/>
          <w:szCs w:val="18"/>
        </w:rPr>
        <w:t xml:space="preserve">Nel caso </w:t>
      </w:r>
      <w:r w:rsidR="00910E18" w:rsidRPr="00D14C42">
        <w:rPr>
          <w:rFonts w:ascii="Titillium" w:hAnsi="Titillium" w:cstheme="minorHAnsi"/>
          <w:sz w:val="18"/>
          <w:szCs w:val="18"/>
        </w:rPr>
        <w:t>di avvio</w:t>
      </w:r>
      <w:r w:rsidRPr="00D14C42">
        <w:rPr>
          <w:rFonts w:ascii="Titillium" w:hAnsi="Titillium" w:cstheme="minorHAnsi"/>
          <w:sz w:val="18"/>
          <w:szCs w:val="18"/>
        </w:rPr>
        <w:t xml:space="preserve"> dell’esecuzione del contratto in via di urgenza ai sensi dell’</w:t>
      </w:r>
      <w:r w:rsidR="00C63C5B" w:rsidRPr="00D14C42">
        <w:rPr>
          <w:rFonts w:ascii="Titillium" w:hAnsi="Titillium" w:cstheme="minorHAnsi"/>
          <w:sz w:val="18"/>
          <w:szCs w:val="18"/>
        </w:rPr>
        <w:t>articolo</w:t>
      </w:r>
      <w:r w:rsidRPr="00D14C42">
        <w:rPr>
          <w:rFonts w:ascii="Titillium" w:hAnsi="Titillium" w:cstheme="minorHAnsi"/>
          <w:sz w:val="18"/>
          <w:szCs w:val="18"/>
        </w:rPr>
        <w:t>17 commi 8 e 9 del Codice, la stazione appaltante può richiedere la consegna del piano di gestione informativa prima della stipula del contratto</w:t>
      </w:r>
      <w:r w:rsidR="00910E18" w:rsidRPr="00D14C42">
        <w:rPr>
          <w:rFonts w:ascii="Titillium" w:hAnsi="Titillium" w:cstheme="minorHAnsi"/>
          <w:sz w:val="18"/>
          <w:szCs w:val="18"/>
        </w:rPr>
        <w:t>.</w:t>
      </w:r>
    </w:p>
    <w:p w14:paraId="38E533BE" w14:textId="3D1BB66E" w:rsidR="00CC2A5D" w:rsidRPr="008562AB" w:rsidRDefault="00CC2A5D">
      <w:pPr>
        <w:rPr>
          <w:rFonts w:ascii="Titillium" w:hAnsi="Titillium" w:cstheme="minorHAnsi"/>
          <w:sz w:val="18"/>
          <w:szCs w:val="18"/>
        </w:rPr>
      </w:pPr>
      <w:r w:rsidRPr="0012671C">
        <w:rPr>
          <w:rFonts w:ascii="Titillium" w:hAnsi="Titillium" w:cstheme="minorHAnsi"/>
          <w:sz w:val="18"/>
          <w:szCs w:val="18"/>
        </w:rPr>
        <w:t>In caso di interpello a seguito di risoluzione/recesso</w:t>
      </w:r>
      <w:r w:rsidR="00E15C35" w:rsidRPr="0012671C">
        <w:rPr>
          <w:rFonts w:ascii="Titillium" w:hAnsi="Titillium" w:cstheme="minorHAnsi"/>
          <w:sz w:val="18"/>
          <w:szCs w:val="18"/>
        </w:rPr>
        <w:t xml:space="preserve">/dichiarazione giudiziale di inefficacia del contratto in corso di esecuzione </w:t>
      </w:r>
      <w:r w:rsidR="005C36DB" w:rsidRPr="0012671C">
        <w:rPr>
          <w:rFonts w:ascii="Titillium" w:hAnsi="Titillium" w:cstheme="minorHAnsi"/>
          <w:sz w:val="18"/>
          <w:szCs w:val="18"/>
        </w:rPr>
        <w:t xml:space="preserve">il nuovo affidamento avviene alle medesime condizioni proposte dall'originario aggiudicatario in sede in offerta.  </w:t>
      </w:r>
      <w:r w:rsidR="005C36DB" w:rsidRPr="0012671C">
        <w:rPr>
          <w:rFonts w:ascii="Titillium" w:hAnsi="Titillium" w:cstheme="minorHAnsi"/>
          <w:b/>
          <w:bCs/>
          <w:sz w:val="18"/>
          <w:szCs w:val="18"/>
        </w:rPr>
        <w:t>[</w:t>
      </w:r>
      <w:r w:rsidR="005C36DB" w:rsidRPr="0012671C">
        <w:rPr>
          <w:rFonts w:ascii="Titillium" w:hAnsi="Titillium" w:cstheme="minorHAnsi"/>
          <w:b/>
          <w:bCs/>
          <w:i/>
          <w:iCs/>
          <w:sz w:val="18"/>
          <w:szCs w:val="18"/>
        </w:rPr>
        <w:t>Facoltativo ed in alternativa</w:t>
      </w:r>
      <w:r w:rsidR="005C36DB" w:rsidRPr="0012671C">
        <w:rPr>
          <w:rFonts w:ascii="Titillium" w:hAnsi="Titillium" w:cstheme="minorHAnsi"/>
          <w:b/>
          <w:bCs/>
          <w:sz w:val="18"/>
          <w:szCs w:val="18"/>
        </w:rPr>
        <w:t>]</w:t>
      </w:r>
      <w:r w:rsidR="005C36DB" w:rsidRPr="0012671C">
        <w:rPr>
          <w:rFonts w:ascii="Titillium" w:hAnsi="Titillium" w:cstheme="minorHAnsi"/>
          <w:sz w:val="18"/>
          <w:szCs w:val="18"/>
        </w:rPr>
        <w:t xml:space="preserve"> L’affidamento </w:t>
      </w:r>
      <w:r w:rsidRPr="0012671C">
        <w:rPr>
          <w:rFonts w:ascii="Titillium" w:hAnsi="Titillium" w:cstheme="minorHAnsi"/>
          <w:sz w:val="18"/>
          <w:szCs w:val="18"/>
        </w:rPr>
        <w:t>avviene alle condizioni proposte dall’operatore economico interpellato</w:t>
      </w:r>
      <w:r w:rsidR="005C36DB" w:rsidRPr="0012671C">
        <w:rPr>
          <w:rFonts w:ascii="Titillium" w:hAnsi="Titillium" w:cstheme="minorHAnsi"/>
          <w:sz w:val="18"/>
          <w:szCs w:val="18"/>
        </w:rPr>
        <w:t xml:space="preserve">. </w:t>
      </w:r>
    </w:p>
    <w:p w14:paraId="2C034AD3" w14:textId="46A8AB5E" w:rsidR="006842EE" w:rsidRPr="00A36142" w:rsidRDefault="008F2625" w:rsidP="00D26F03">
      <w:pPr>
        <w:pStyle w:val="Titolo2"/>
        <w:numPr>
          <w:ilvl w:val="0"/>
          <w:numId w:val="55"/>
        </w:numPr>
        <w:ind w:left="357" w:hanging="357"/>
        <w:rPr>
          <w:rFonts w:ascii="Titillium" w:hAnsi="Titillium"/>
          <w:caps w:val="0"/>
          <w:sz w:val="18"/>
          <w:szCs w:val="18"/>
        </w:rPr>
      </w:pPr>
      <w:bookmarkStart w:id="2943" w:name="_Toc227921659"/>
      <w:r w:rsidRPr="00A36142">
        <w:rPr>
          <w:rFonts w:ascii="Titillium" w:hAnsi="Titillium"/>
          <w:caps w:val="0"/>
          <w:sz w:val="18"/>
          <w:szCs w:val="18"/>
        </w:rPr>
        <w:t>OBBLIGHI RELATIVI ALLA TRACCIABILITÀ DEI FLUSSI FINANZIARI</w:t>
      </w:r>
      <w:bookmarkEnd w:id="2943"/>
      <w:r w:rsidRPr="00A36142">
        <w:rPr>
          <w:rFonts w:ascii="Titillium" w:hAnsi="Titillium"/>
          <w:caps w:val="0"/>
          <w:sz w:val="18"/>
          <w:szCs w:val="18"/>
        </w:rPr>
        <w:t xml:space="preserve"> </w:t>
      </w:r>
    </w:p>
    <w:p w14:paraId="155A5DF1" w14:textId="4BC9E054" w:rsidR="006842EE" w:rsidRDefault="008F2625">
      <w:pPr>
        <w:rPr>
          <w:rFonts w:ascii="Titillium" w:hAnsi="Titillium"/>
          <w:sz w:val="18"/>
          <w:szCs w:val="18"/>
        </w:rPr>
      </w:pPr>
      <w:r>
        <w:rPr>
          <w:rFonts w:ascii="Titillium" w:hAnsi="Titillium"/>
          <w:sz w:val="18"/>
          <w:szCs w:val="18"/>
        </w:rPr>
        <w:t xml:space="preserve">Il contratto d’appalto </w:t>
      </w:r>
      <w:r w:rsidR="005C11FA" w:rsidRPr="008562AB">
        <w:rPr>
          <w:rFonts w:ascii="Titillium" w:hAnsi="Titillium"/>
          <w:sz w:val="18"/>
          <w:szCs w:val="18"/>
        </w:rPr>
        <w:t xml:space="preserve">gli eventuali contratti di </w:t>
      </w:r>
      <w:r w:rsidR="005C11FA" w:rsidRPr="00D14C42">
        <w:rPr>
          <w:rFonts w:ascii="Titillium" w:hAnsi="Titillium"/>
          <w:sz w:val="18"/>
          <w:szCs w:val="18"/>
        </w:rPr>
        <w:t xml:space="preserve">subappalto e i </w:t>
      </w:r>
      <w:r w:rsidR="009D3261" w:rsidRPr="00D14C42">
        <w:rPr>
          <w:rFonts w:ascii="Titillium" w:hAnsi="Titillium"/>
          <w:sz w:val="18"/>
          <w:szCs w:val="18"/>
        </w:rPr>
        <w:t>subcontratti</w:t>
      </w:r>
      <w:r w:rsidR="009D3261">
        <w:rPr>
          <w:rFonts w:ascii="Titillium" w:hAnsi="Titillium"/>
          <w:sz w:val="18"/>
          <w:szCs w:val="18"/>
        </w:rPr>
        <w:t xml:space="preserve"> </w:t>
      </w:r>
      <w:r w:rsidR="005C11FA" w:rsidRPr="008562AB">
        <w:rPr>
          <w:rFonts w:ascii="Titillium" w:hAnsi="Titillium"/>
          <w:sz w:val="18"/>
          <w:szCs w:val="18"/>
        </w:rPr>
        <w:t xml:space="preserve">sono soggetti </w:t>
      </w:r>
      <w:r>
        <w:rPr>
          <w:rFonts w:ascii="Titillium" w:hAnsi="Titillium"/>
          <w:sz w:val="18"/>
          <w:szCs w:val="18"/>
        </w:rPr>
        <w:t>agli obblighi in tema di tracciabilità dei flussi finanziari di cui alla legge 13 agosto 2010, n. 136.</w:t>
      </w:r>
    </w:p>
    <w:p w14:paraId="46D29F7F" w14:textId="77777777" w:rsidR="006842EE" w:rsidRDefault="008F2625">
      <w:pPr>
        <w:rPr>
          <w:rFonts w:ascii="Titillium" w:hAnsi="Titillium"/>
          <w:sz w:val="18"/>
          <w:szCs w:val="18"/>
        </w:rPr>
      </w:pPr>
      <w:r>
        <w:rPr>
          <w:rFonts w:ascii="Titillium" w:hAnsi="Titillium"/>
          <w:sz w:val="18"/>
          <w:szCs w:val="18"/>
        </w:rPr>
        <w:t>L’affidatario deve comunicare alla stazione appaltante:</w:t>
      </w:r>
    </w:p>
    <w:p w14:paraId="193DA6C7" w14:textId="77777777" w:rsidR="006842EE" w:rsidRDefault="008F2625" w:rsidP="00D26F03">
      <w:pPr>
        <w:pStyle w:val="Paragrafoelenco"/>
        <w:numPr>
          <w:ilvl w:val="0"/>
          <w:numId w:val="16"/>
        </w:numPr>
        <w:rPr>
          <w:rFonts w:ascii="Titillium" w:hAnsi="Titillium"/>
          <w:sz w:val="18"/>
          <w:szCs w:val="18"/>
        </w:rPr>
      </w:pPr>
      <w:r>
        <w:rPr>
          <w:rFonts w:ascii="Titillium" w:hAnsi="Titillium"/>
          <w:sz w:val="18"/>
          <w:szCs w:val="18"/>
        </w:rPr>
        <w:t>gli estremi identificativi dei conti correnti bancari o postali dedicati, con l'indicazione dell'opera/servizio/fornitura alla quale sono dedicati;</w:t>
      </w:r>
    </w:p>
    <w:p w14:paraId="6D33D963" w14:textId="77777777" w:rsidR="006842EE" w:rsidRDefault="008F2625" w:rsidP="00D26F03">
      <w:pPr>
        <w:pStyle w:val="Paragrafoelenco"/>
        <w:numPr>
          <w:ilvl w:val="0"/>
          <w:numId w:val="16"/>
        </w:numPr>
        <w:rPr>
          <w:rFonts w:ascii="Titillium" w:hAnsi="Titillium"/>
          <w:sz w:val="18"/>
          <w:szCs w:val="18"/>
        </w:rPr>
      </w:pPr>
      <w:r>
        <w:rPr>
          <w:rFonts w:ascii="Titillium" w:hAnsi="Titillium"/>
          <w:sz w:val="18"/>
          <w:szCs w:val="18"/>
        </w:rPr>
        <w:t>le generalità e il codice fiscale delle persone delegate ad operare sugli stessi;</w:t>
      </w:r>
    </w:p>
    <w:p w14:paraId="79279489" w14:textId="77777777" w:rsidR="006842EE" w:rsidRDefault="008F2625" w:rsidP="00D26F03">
      <w:pPr>
        <w:pStyle w:val="Paragrafoelenco"/>
        <w:numPr>
          <w:ilvl w:val="0"/>
          <w:numId w:val="16"/>
        </w:numPr>
        <w:rPr>
          <w:rFonts w:ascii="Titillium" w:hAnsi="Titillium"/>
          <w:sz w:val="18"/>
          <w:szCs w:val="18"/>
        </w:rPr>
      </w:pPr>
      <w:r>
        <w:rPr>
          <w:rFonts w:ascii="Titillium" w:hAnsi="Titillium"/>
          <w:sz w:val="18"/>
          <w:szCs w:val="18"/>
        </w:rPr>
        <w:t xml:space="preserve">ogni modifica relativa ai dati trasmessi. </w:t>
      </w:r>
    </w:p>
    <w:p w14:paraId="7E7A496C" w14:textId="77777777" w:rsidR="006842EE" w:rsidRDefault="008F2625">
      <w:pPr>
        <w:rPr>
          <w:rFonts w:ascii="Titillium" w:hAnsi="Titillium"/>
          <w:sz w:val="18"/>
          <w:szCs w:val="18"/>
        </w:rPr>
      </w:pPr>
      <w:r>
        <w:rPr>
          <w:rFonts w:ascii="Titillium" w:hAnsi="Titillium"/>
          <w:sz w:val="18"/>
          <w:szCs w:val="18"/>
        </w:rPr>
        <w:t xml:space="preserve">La comunicazione deve essere effettuata entro sette giorni dall'accensione del conto corrente ovvero, nel caso di conti correnti già esistenti, dalla loro prima utilizzazione in operazioni finanziarie relative ad una commessa pubblica. In caso di persone giuridiche, la comunicazione de quo deve essere sottoscritta da un legale rappresentante ovvero da un soggetto munito di apposita procura. L'omessa, tardiva o incompleta comunicazione degli elementi informativi comporta, a carico del soggetto inadempiente, l'applicazione di una sanzione amministrativa pecuniaria da 500 a 3.000 euro. </w:t>
      </w:r>
    </w:p>
    <w:p w14:paraId="345FA59A" w14:textId="77777777" w:rsidR="006842EE" w:rsidRDefault="008F2625">
      <w:pPr>
        <w:rPr>
          <w:rFonts w:ascii="Titillium" w:hAnsi="Titillium"/>
          <w:sz w:val="18"/>
          <w:szCs w:val="18"/>
        </w:rPr>
      </w:pPr>
      <w:r>
        <w:rPr>
          <w:rFonts w:ascii="Titillium" w:hAnsi="Titillium"/>
          <w:sz w:val="18"/>
          <w:szCs w:val="18"/>
        </w:rPr>
        <w:t xml:space="preserve">Il mancato adempimento agli obblighi previsti per la tracciabilità dei flussi finanziari relativi all’appalto comporta la risoluzione di diritto del contratto. </w:t>
      </w:r>
    </w:p>
    <w:p w14:paraId="5460D80A" w14:textId="77777777" w:rsidR="006842EE" w:rsidRDefault="008F2625">
      <w:pPr>
        <w:rPr>
          <w:rFonts w:ascii="Titillium" w:hAnsi="Titillium"/>
          <w:sz w:val="18"/>
          <w:szCs w:val="18"/>
        </w:rPr>
      </w:pPr>
      <w:r>
        <w:rPr>
          <w:rFonts w:ascii="Titillium" w:hAnsi="Titillium"/>
          <w:sz w:val="18"/>
          <w:szCs w:val="18"/>
        </w:rPr>
        <w:t>In occasione di ogni pagamento all’appaltatore o di interventi di controllo ulteriori si procede alla verifica dell’assolvimento degli obblighi relativi alla tracciabilità dei flussi finanziari.</w:t>
      </w:r>
    </w:p>
    <w:p w14:paraId="224CE255" w14:textId="77777777" w:rsidR="006842EE" w:rsidRDefault="008F2625">
      <w:pPr>
        <w:rPr>
          <w:rFonts w:ascii="Titillium" w:hAnsi="Titillium"/>
          <w:sz w:val="18"/>
          <w:szCs w:val="18"/>
        </w:rPr>
      </w:pPr>
      <w:r>
        <w:rPr>
          <w:rFonts w:ascii="Titillium" w:hAnsi="Titillium"/>
          <w:sz w:val="18"/>
          <w:szCs w:val="18"/>
        </w:rPr>
        <w:t>Il contratto è sottoposto alla condizione risolutiva in tutti i casi in cui le transazioni siano state eseguite senza avvalersi di banche o di Società Poste Italiane S.p.a. o anche senza strumenti diversi dal bonifico bancario o postale che siano idonei a garantire la piena tracciabilità delle operazioni per il corrispettivo dovuto in dipendenza del presente contratto.</w:t>
      </w:r>
    </w:p>
    <w:p w14:paraId="7A93A387" w14:textId="77777777" w:rsidR="006842EE" w:rsidRPr="00A36142" w:rsidRDefault="008F2625" w:rsidP="00D26F03">
      <w:pPr>
        <w:pStyle w:val="Titolo2"/>
        <w:numPr>
          <w:ilvl w:val="0"/>
          <w:numId w:val="55"/>
        </w:numPr>
        <w:ind w:left="357" w:hanging="357"/>
        <w:rPr>
          <w:rFonts w:ascii="Titillium" w:hAnsi="Titillium"/>
          <w:caps w:val="0"/>
          <w:sz w:val="18"/>
          <w:szCs w:val="18"/>
        </w:rPr>
      </w:pPr>
      <w:bookmarkStart w:id="2944" w:name="_Toc227921660"/>
      <w:r w:rsidRPr="00A36142">
        <w:rPr>
          <w:rFonts w:ascii="Titillium" w:hAnsi="Titillium"/>
          <w:caps w:val="0"/>
          <w:sz w:val="18"/>
          <w:szCs w:val="18"/>
        </w:rPr>
        <w:t>CODICE DI COMPORTAMENTO</w:t>
      </w:r>
      <w:bookmarkEnd w:id="2944"/>
      <w:r w:rsidRPr="00A36142">
        <w:rPr>
          <w:rFonts w:ascii="Titillium" w:hAnsi="Titillium"/>
          <w:caps w:val="0"/>
          <w:sz w:val="18"/>
          <w:szCs w:val="18"/>
        </w:rPr>
        <w:t xml:space="preserve">  </w:t>
      </w:r>
    </w:p>
    <w:p w14:paraId="0CF56B48" w14:textId="3D05BF98" w:rsidR="006842EE" w:rsidRDefault="008F2625">
      <w:pPr>
        <w:widowControl w:val="0"/>
        <w:spacing w:line="280" w:lineRule="exact"/>
      </w:pPr>
      <w:r>
        <w:rPr>
          <w:rFonts w:ascii="Titillium" w:hAnsi="Titillium"/>
          <w:sz w:val="18"/>
          <w:szCs w:val="18"/>
          <w:lang w:eastAsia="it-IT"/>
        </w:rPr>
        <w:t xml:space="preserve">Nello svolgimento delle attività oggetto del contratto di appalto, l’aggiudicatario </w:t>
      </w:r>
      <w:r>
        <w:rPr>
          <w:rFonts w:ascii="Titillium" w:hAnsi="Titillium"/>
          <w:i/>
          <w:sz w:val="18"/>
          <w:szCs w:val="18"/>
          <w:lang w:eastAsia="it-IT"/>
        </w:rPr>
        <w:t>[nel caso di più lotti: di ciascun lotto]</w:t>
      </w:r>
      <w:r>
        <w:rPr>
          <w:rFonts w:ascii="Titillium" w:hAnsi="Titillium"/>
          <w:sz w:val="18"/>
          <w:szCs w:val="18"/>
          <w:lang w:eastAsia="it-IT"/>
        </w:rPr>
        <w:t xml:space="preserve"> deve uniformarsi ai principi e, per quanto compatibili, ai doveri di condotta richiamati nel Decreto del Presidente della Repubblica 16 aprile 2013 n. 62  e nel codice di comportamento di questa stazione appaltante e </w:t>
      </w:r>
      <w:r>
        <w:rPr>
          <w:rFonts w:ascii="Titillium" w:hAnsi="Titillium"/>
          <w:i/>
          <w:sz w:val="18"/>
          <w:szCs w:val="18"/>
          <w:lang w:eastAsia="it-IT"/>
        </w:rPr>
        <w:t>[per le pubbliche amministrazioni]</w:t>
      </w:r>
      <w:r>
        <w:rPr>
          <w:rFonts w:ascii="Titillium" w:hAnsi="Titillium"/>
          <w:sz w:val="18"/>
          <w:szCs w:val="18"/>
          <w:lang w:eastAsia="it-IT"/>
        </w:rPr>
        <w:t xml:space="preserve"> n</w:t>
      </w:r>
      <w:r>
        <w:rPr>
          <w:rFonts w:ascii="Titillium" w:hAnsi="Titillium"/>
          <w:iCs/>
          <w:sz w:val="18"/>
          <w:szCs w:val="18"/>
          <w:lang w:eastAsia="it-IT"/>
        </w:rPr>
        <w:t>el Piano Triennale di Prevenzione della Corruzione e della Trasparenza</w:t>
      </w:r>
      <w:r>
        <w:rPr>
          <w:rFonts w:ascii="Titillium" w:hAnsi="Titillium"/>
          <w:i/>
          <w:iCs/>
          <w:sz w:val="18"/>
          <w:szCs w:val="18"/>
          <w:lang w:eastAsia="it-IT"/>
        </w:rPr>
        <w:t xml:space="preserve">, nonché [per le amministrazioni tenute alla redazione del PIAO]  </w:t>
      </w:r>
      <w:r>
        <w:rPr>
          <w:rFonts w:ascii="Titillium" w:hAnsi="Titillium"/>
          <w:iCs/>
          <w:sz w:val="18"/>
          <w:szCs w:val="18"/>
          <w:lang w:eastAsia="it-IT"/>
        </w:rPr>
        <w:t>nella sottosezione Rischi corruttivi e trasparenza del PIAO</w:t>
      </w:r>
      <w:r>
        <w:rPr>
          <w:rFonts w:ascii="Titillium" w:hAnsi="Titillium"/>
          <w:i/>
          <w:iCs/>
          <w:sz w:val="18"/>
          <w:szCs w:val="18"/>
          <w:lang w:eastAsia="it-IT"/>
        </w:rPr>
        <w:t xml:space="preserve"> [negli altri casi </w:t>
      </w:r>
      <w:r>
        <w:rPr>
          <w:rFonts w:ascii="Titillium" w:hAnsi="Titillium"/>
          <w:i/>
          <w:sz w:val="18"/>
          <w:szCs w:val="18"/>
          <w:lang w:eastAsia="it-IT"/>
        </w:rPr>
        <w:t>nel Modello di organizzazione, gestione e controllo adottato dalla medesima ai sensi del decreto legislativo n. 231/01]</w:t>
      </w:r>
      <w:r>
        <w:rPr>
          <w:rFonts w:ascii="Titillium" w:hAnsi="Titillium"/>
          <w:sz w:val="18"/>
          <w:szCs w:val="18"/>
          <w:lang w:eastAsia="it-IT"/>
        </w:rPr>
        <w:t xml:space="preserve">. </w:t>
      </w:r>
    </w:p>
    <w:p w14:paraId="3E2158BC" w14:textId="77777777" w:rsidR="006842EE" w:rsidRDefault="008F2625">
      <w:pPr>
        <w:widowControl w:val="0"/>
        <w:spacing w:line="280" w:lineRule="exact"/>
      </w:pPr>
      <w:r>
        <w:rPr>
          <w:rFonts w:ascii="Titillium" w:hAnsi="Titillium"/>
          <w:sz w:val="18"/>
          <w:szCs w:val="18"/>
          <w:lang w:eastAsia="it-IT"/>
        </w:rPr>
        <w:t xml:space="preserve">In seguito alla comunicazione di aggiudicazione e prima della stipula del contratto, l’aggiudicatario </w:t>
      </w:r>
      <w:r>
        <w:rPr>
          <w:rFonts w:ascii="Titillium" w:hAnsi="Titillium"/>
          <w:i/>
          <w:sz w:val="18"/>
          <w:szCs w:val="18"/>
          <w:lang w:eastAsia="it-IT"/>
        </w:rPr>
        <w:t>[nel caso di più lotti: di ciascun lotto]</w:t>
      </w:r>
      <w:r>
        <w:rPr>
          <w:rFonts w:ascii="Titillium" w:hAnsi="Titillium"/>
          <w:sz w:val="18"/>
          <w:szCs w:val="18"/>
          <w:lang w:eastAsia="it-IT"/>
        </w:rPr>
        <w:t xml:space="preserve"> ha l’onere di prendere visione dei predetti documenti pubblicati sul sito della stazione </w:t>
      </w:r>
      <w:r w:rsidRPr="006C302B">
        <w:rPr>
          <w:rFonts w:ascii="Titillium" w:hAnsi="Titillium"/>
          <w:iCs/>
          <w:sz w:val="18"/>
          <w:szCs w:val="18"/>
          <w:lang w:eastAsia="it-IT"/>
        </w:rPr>
        <w:t xml:space="preserve">appaltante </w:t>
      </w:r>
      <w:r>
        <w:rPr>
          <w:rFonts w:ascii="Titillium" w:hAnsi="Titillium"/>
          <w:i/>
          <w:sz w:val="18"/>
          <w:szCs w:val="18"/>
          <w:lang w:eastAsia="it-IT"/>
        </w:rPr>
        <w:t>[</w:t>
      </w:r>
      <w:r>
        <w:rPr>
          <w:rFonts w:ascii="Titillium" w:hAnsi="Titillium"/>
          <w:i/>
          <w:iCs/>
          <w:sz w:val="18"/>
          <w:szCs w:val="18"/>
          <w:lang w:eastAsia="it-IT"/>
        </w:rPr>
        <w:t>indicare il link dove è possibile leggere i predetti documenti</w:t>
      </w:r>
      <w:r>
        <w:rPr>
          <w:rFonts w:ascii="Titillium" w:hAnsi="Titillium"/>
          <w:i/>
          <w:sz w:val="18"/>
          <w:szCs w:val="18"/>
          <w:lang w:eastAsia="it-IT"/>
        </w:rPr>
        <w:t>]</w:t>
      </w:r>
      <w:r>
        <w:rPr>
          <w:rFonts w:ascii="Titillium" w:hAnsi="Titillium"/>
          <w:sz w:val="18"/>
          <w:szCs w:val="18"/>
          <w:lang w:eastAsia="it-IT"/>
        </w:rPr>
        <w:t>.</w:t>
      </w:r>
    </w:p>
    <w:p w14:paraId="20560B40" w14:textId="77777777" w:rsidR="006842EE" w:rsidRPr="00A36142" w:rsidRDefault="008F2625" w:rsidP="00D26F03">
      <w:pPr>
        <w:pStyle w:val="Titolo2"/>
        <w:numPr>
          <w:ilvl w:val="0"/>
          <w:numId w:val="55"/>
        </w:numPr>
        <w:ind w:left="357" w:hanging="357"/>
        <w:rPr>
          <w:rFonts w:ascii="Titillium" w:hAnsi="Titillium"/>
          <w:caps w:val="0"/>
          <w:sz w:val="18"/>
          <w:szCs w:val="18"/>
        </w:rPr>
      </w:pPr>
      <w:bookmarkStart w:id="2945" w:name="_Toc227921661"/>
      <w:r w:rsidRPr="00A36142">
        <w:rPr>
          <w:rFonts w:ascii="Titillium" w:hAnsi="Titillium"/>
          <w:caps w:val="0"/>
          <w:sz w:val="18"/>
          <w:szCs w:val="18"/>
        </w:rPr>
        <w:t>ACCESSO AGLI ATTI</w:t>
      </w:r>
      <w:bookmarkEnd w:id="2945"/>
    </w:p>
    <w:p w14:paraId="10A784D9" w14:textId="0BF79E36" w:rsidR="005C11FA" w:rsidRPr="008562AB" w:rsidRDefault="005C11FA" w:rsidP="005C11FA">
      <w:pPr>
        <w:widowControl w:val="0"/>
        <w:spacing w:line="280" w:lineRule="exact"/>
        <w:rPr>
          <w:rFonts w:ascii="Titillium" w:hAnsi="Titillium"/>
          <w:sz w:val="18"/>
          <w:szCs w:val="18"/>
        </w:rPr>
      </w:pPr>
      <w:r w:rsidRPr="008562AB">
        <w:rPr>
          <w:rFonts w:ascii="Titillium" w:hAnsi="Titillium"/>
          <w:sz w:val="18"/>
          <w:szCs w:val="18"/>
        </w:rPr>
        <w:t>L’accesso agli atti della procedura è assicurato in modalità digitale mediante acquisizione diretta dei dati e delle informazioni inseriti nelle PAD a decorrere dalla comunicazione digitale dell’aggiudicazione.</w:t>
      </w:r>
    </w:p>
    <w:p w14:paraId="05A0317B" w14:textId="77777777" w:rsidR="005C11FA" w:rsidRPr="008562AB" w:rsidRDefault="005C11FA" w:rsidP="005C11FA">
      <w:pPr>
        <w:widowControl w:val="0"/>
        <w:spacing w:line="280" w:lineRule="exact"/>
        <w:rPr>
          <w:rFonts w:ascii="Titillium" w:hAnsi="Titillium"/>
          <w:sz w:val="18"/>
          <w:szCs w:val="18"/>
        </w:rPr>
      </w:pPr>
      <w:r w:rsidRPr="008562AB">
        <w:rPr>
          <w:rFonts w:ascii="Titillium" w:hAnsi="Titillium"/>
          <w:sz w:val="18"/>
          <w:szCs w:val="18"/>
        </w:rPr>
        <w:t>A tutti i partecipanti non esclusi in via definitiva sono messi a disposizione, mediante la PAD, l’offerta dell’operatore economico risultato aggiudicatario, i verbali di gara e gli atti, i dati e le informazioni che sono stati valutati ai fini dell’aggiudicazione. La disponibilità dei documenti è garantita ……………. [</w:t>
      </w:r>
      <w:r w:rsidRPr="00400FF6">
        <w:rPr>
          <w:rFonts w:ascii="Titillium" w:hAnsi="Titillium"/>
          <w:i/>
          <w:iCs/>
          <w:sz w:val="18"/>
          <w:szCs w:val="18"/>
        </w:rPr>
        <w:t>indicare le modalità utilizzate dalla PAD, ad esempio attraverso la creazione di un apposito contenitore accessibile a tutti i partecipanti secondo specifiche modalità</w:t>
      </w:r>
      <w:r w:rsidRPr="008562AB">
        <w:rPr>
          <w:rFonts w:ascii="Titillium" w:hAnsi="Titillium"/>
          <w:sz w:val="18"/>
          <w:szCs w:val="18"/>
        </w:rPr>
        <w:t>] e comunicata agli interessati ………. [</w:t>
      </w:r>
      <w:r w:rsidRPr="00400FF6">
        <w:rPr>
          <w:rFonts w:ascii="Titillium" w:hAnsi="Titillium"/>
          <w:i/>
          <w:iCs/>
          <w:sz w:val="18"/>
          <w:szCs w:val="18"/>
        </w:rPr>
        <w:t>indicare le modalità di comunicazione utilizzate dalla PAD</w:t>
      </w:r>
      <w:r w:rsidRPr="008562AB">
        <w:rPr>
          <w:rFonts w:ascii="Titillium" w:hAnsi="Titillium"/>
          <w:sz w:val="18"/>
          <w:szCs w:val="18"/>
        </w:rPr>
        <w:t xml:space="preserve">]. </w:t>
      </w:r>
    </w:p>
    <w:p w14:paraId="0C180BB5" w14:textId="77777777" w:rsidR="00E045AE" w:rsidRDefault="00E045AE" w:rsidP="005C11FA">
      <w:pPr>
        <w:widowControl w:val="0"/>
        <w:spacing w:line="280" w:lineRule="exact"/>
        <w:rPr>
          <w:rFonts w:ascii="Titillium" w:hAnsi="Titillium"/>
          <w:sz w:val="18"/>
          <w:szCs w:val="18"/>
        </w:rPr>
      </w:pPr>
    </w:p>
    <w:p w14:paraId="6D96FB72" w14:textId="5D93D9D1" w:rsidR="005C11FA" w:rsidRDefault="005C11FA" w:rsidP="005C11FA">
      <w:pPr>
        <w:widowControl w:val="0"/>
        <w:spacing w:line="280" w:lineRule="exact"/>
        <w:rPr>
          <w:rFonts w:ascii="Titillium" w:hAnsi="Titillium"/>
          <w:sz w:val="18"/>
          <w:szCs w:val="18"/>
        </w:rPr>
      </w:pPr>
      <w:r w:rsidRPr="008562AB">
        <w:rPr>
          <w:rFonts w:ascii="Titillium" w:hAnsi="Titillium"/>
          <w:sz w:val="18"/>
          <w:szCs w:val="18"/>
        </w:rPr>
        <w:t>Ai partecipanti collocatisi nei primi cinque posti della graduatoria sono rese disponibili, reciprocamente, le offerte presentate dagli stessi mediante</w:t>
      </w:r>
      <w:r w:rsidR="00BA752A">
        <w:rPr>
          <w:rFonts w:ascii="Titillium" w:hAnsi="Titillium"/>
          <w:sz w:val="18"/>
          <w:szCs w:val="18"/>
        </w:rPr>
        <w:t xml:space="preserve"> </w:t>
      </w:r>
      <w:r w:rsidRPr="008562AB">
        <w:rPr>
          <w:rFonts w:ascii="Titillium" w:hAnsi="Titillium"/>
          <w:sz w:val="18"/>
          <w:szCs w:val="18"/>
        </w:rPr>
        <w:t>……</w:t>
      </w:r>
      <w:r w:rsidR="00BA752A">
        <w:rPr>
          <w:rFonts w:ascii="Titillium" w:hAnsi="Titillium"/>
          <w:sz w:val="18"/>
          <w:szCs w:val="18"/>
        </w:rPr>
        <w:t xml:space="preserve"> </w:t>
      </w:r>
      <w:r w:rsidRPr="008562AB">
        <w:rPr>
          <w:rFonts w:ascii="Titillium" w:hAnsi="Titillium"/>
          <w:sz w:val="18"/>
          <w:szCs w:val="18"/>
        </w:rPr>
        <w:t>[</w:t>
      </w:r>
      <w:r w:rsidRPr="00400FF6">
        <w:rPr>
          <w:rFonts w:ascii="Titillium" w:hAnsi="Titillium"/>
          <w:i/>
          <w:iCs/>
          <w:sz w:val="18"/>
          <w:szCs w:val="18"/>
        </w:rPr>
        <w:t>indicare le modalità utilizzate dalla PAD, ad esempio attraverso la creazione di un apposito contenitore accessibile soltanto ai primi cinque classificati secondo specifiche modalità</w:t>
      </w:r>
      <w:r w:rsidRPr="008562AB">
        <w:rPr>
          <w:rFonts w:ascii="Titillium" w:hAnsi="Titillium"/>
          <w:sz w:val="18"/>
          <w:szCs w:val="18"/>
        </w:rPr>
        <w:t>]. La disponibilità della documentazione è comunicata agli interessati ………. [</w:t>
      </w:r>
      <w:r w:rsidRPr="00400FF6">
        <w:rPr>
          <w:rFonts w:ascii="Titillium" w:hAnsi="Titillium"/>
          <w:i/>
          <w:iCs/>
          <w:sz w:val="18"/>
          <w:szCs w:val="18"/>
        </w:rPr>
        <w:t>indicare le modalità di comunicazione utilizzate dalla PAD</w:t>
      </w:r>
      <w:r w:rsidRPr="008562AB">
        <w:rPr>
          <w:rFonts w:ascii="Titillium" w:hAnsi="Titillium"/>
          <w:sz w:val="18"/>
          <w:szCs w:val="18"/>
        </w:rPr>
        <w:t xml:space="preserve">].  </w:t>
      </w:r>
    </w:p>
    <w:p w14:paraId="0342F050" w14:textId="77777777" w:rsidR="004C15FF" w:rsidRDefault="004C15FF" w:rsidP="005C11FA">
      <w:pPr>
        <w:widowControl w:val="0"/>
        <w:spacing w:line="280" w:lineRule="exact"/>
        <w:rPr>
          <w:rFonts w:ascii="Titillium" w:hAnsi="Titillium"/>
          <w:sz w:val="18"/>
          <w:szCs w:val="18"/>
        </w:rPr>
      </w:pPr>
    </w:p>
    <w:p w14:paraId="5439345B" w14:textId="0EA8F81C" w:rsidR="005C11FA" w:rsidRPr="0069003D" w:rsidRDefault="005C11FA" w:rsidP="005C11FA">
      <w:pPr>
        <w:widowControl w:val="0"/>
        <w:spacing w:line="280" w:lineRule="exact"/>
        <w:rPr>
          <w:rFonts w:ascii="Titillium" w:hAnsi="Titillium"/>
          <w:sz w:val="18"/>
          <w:szCs w:val="18"/>
        </w:rPr>
      </w:pPr>
      <w:r w:rsidRPr="0069003D">
        <w:rPr>
          <w:rFonts w:ascii="Titillium" w:hAnsi="Titillium"/>
          <w:sz w:val="18"/>
          <w:szCs w:val="18"/>
        </w:rPr>
        <w:t>I partecipanti collocatisi oltre il quinto posto della graduatoria possono accedere alle offerte dei concorrenti diversi dal primo presentando apposita istanza ai sensi degli articoli 3 bis e 22 della legge n. 241/90. L’accesso è consentito …. [indicare le modalità utilizzate dalla PAD].</w:t>
      </w:r>
    </w:p>
    <w:p w14:paraId="0DB03783" w14:textId="216BA8E3" w:rsidR="00CF7456" w:rsidRPr="0069003D" w:rsidRDefault="0069003D" w:rsidP="005C11FA">
      <w:pPr>
        <w:widowControl w:val="0"/>
        <w:spacing w:line="280" w:lineRule="exact"/>
        <w:rPr>
          <w:rFonts w:ascii="Titillium" w:hAnsi="Titillium"/>
          <w:b/>
          <w:bCs/>
          <w:i/>
          <w:iCs/>
          <w:sz w:val="18"/>
          <w:szCs w:val="18"/>
        </w:rPr>
      </w:pPr>
      <w:r w:rsidRPr="0069003D">
        <w:rPr>
          <w:rFonts w:ascii="Titillium" w:hAnsi="Titillium"/>
          <w:b/>
          <w:bCs/>
          <w:i/>
          <w:iCs/>
          <w:sz w:val="18"/>
          <w:szCs w:val="18"/>
        </w:rPr>
        <w:t>[</w:t>
      </w:r>
      <w:r w:rsidR="00CF7456" w:rsidRPr="0069003D">
        <w:rPr>
          <w:rFonts w:ascii="Titillium" w:hAnsi="Titillium"/>
          <w:b/>
          <w:bCs/>
          <w:i/>
          <w:iCs/>
          <w:sz w:val="18"/>
          <w:szCs w:val="18"/>
        </w:rPr>
        <w:t>In</w:t>
      </w:r>
      <w:r w:rsidR="00096F39" w:rsidRPr="0069003D">
        <w:rPr>
          <w:rFonts w:ascii="Titillium" w:hAnsi="Titillium"/>
          <w:b/>
          <w:bCs/>
          <w:i/>
          <w:iCs/>
          <w:sz w:val="18"/>
          <w:szCs w:val="18"/>
        </w:rPr>
        <w:t xml:space="preserve"> alternativa in</w:t>
      </w:r>
      <w:r w:rsidR="00CF7456" w:rsidRPr="0069003D">
        <w:rPr>
          <w:rFonts w:ascii="Titillium" w:hAnsi="Titillium"/>
          <w:b/>
          <w:bCs/>
          <w:i/>
          <w:iCs/>
          <w:sz w:val="18"/>
          <w:szCs w:val="18"/>
        </w:rPr>
        <w:t xml:space="preserve"> caso di inversione procedimentale]</w:t>
      </w:r>
    </w:p>
    <w:p w14:paraId="6BFC806E" w14:textId="39CC47EF" w:rsidR="00CF7456" w:rsidRPr="0069003D" w:rsidRDefault="00CF7456" w:rsidP="00CF7456">
      <w:pPr>
        <w:widowControl w:val="0"/>
        <w:spacing w:line="280" w:lineRule="exact"/>
        <w:rPr>
          <w:rFonts w:ascii="Titillium" w:hAnsi="Titillium"/>
          <w:sz w:val="18"/>
          <w:szCs w:val="18"/>
        </w:rPr>
      </w:pPr>
      <w:r w:rsidRPr="0069003D">
        <w:rPr>
          <w:rFonts w:ascii="Titillium" w:hAnsi="Titillium"/>
          <w:sz w:val="18"/>
          <w:szCs w:val="18"/>
        </w:rPr>
        <w:t xml:space="preserve">Ai </w:t>
      </w:r>
      <w:r w:rsidR="0012481B" w:rsidRPr="0069003D">
        <w:rPr>
          <w:rFonts w:ascii="Titillium" w:hAnsi="Titillium"/>
          <w:sz w:val="18"/>
          <w:szCs w:val="18"/>
        </w:rPr>
        <w:t xml:space="preserve">partecipanti collocatisi nei primi cinque posti della graduatoria sono rese disponibili, reciprocamente, le offerte presentate dagli stessi ad eccezione della documentazione amministrativa degli offerenti collocati dal secondo al quinto posto della graduatoria, che non sia stata verificata dalla stazione </w:t>
      </w:r>
      <w:r w:rsidRPr="0069003D">
        <w:rPr>
          <w:rFonts w:ascii="Titillium" w:hAnsi="Titillium"/>
          <w:sz w:val="18"/>
          <w:szCs w:val="18"/>
        </w:rPr>
        <w:t>mediante ……………. [</w:t>
      </w:r>
      <w:r w:rsidRPr="0069003D">
        <w:rPr>
          <w:rFonts w:ascii="Titillium" w:hAnsi="Titillium"/>
          <w:i/>
          <w:iCs/>
          <w:sz w:val="18"/>
          <w:szCs w:val="18"/>
        </w:rPr>
        <w:t>indicare le modalità utilizzate dalla PAD, ad esempio attraverso la creazione di un apposito contenitore accessibile soltanto ai primi cinque classificati secondo specifiche modalità</w:t>
      </w:r>
      <w:r w:rsidRPr="0069003D">
        <w:rPr>
          <w:rFonts w:ascii="Titillium" w:hAnsi="Titillium"/>
          <w:sz w:val="18"/>
          <w:szCs w:val="18"/>
        </w:rPr>
        <w:t xml:space="preserve">]. La disponibilità della documentazione è comunicata agli interessati ………. </w:t>
      </w:r>
      <w:r w:rsidRPr="0069003D">
        <w:rPr>
          <w:rFonts w:ascii="Titillium" w:hAnsi="Titillium"/>
          <w:i/>
          <w:iCs/>
          <w:sz w:val="18"/>
          <w:szCs w:val="18"/>
        </w:rPr>
        <w:t>[indicare le modalità di comunicazione utilizzate dalla PAD</w:t>
      </w:r>
      <w:r w:rsidRPr="0069003D">
        <w:rPr>
          <w:rFonts w:ascii="Titillium" w:hAnsi="Titillium"/>
          <w:sz w:val="18"/>
          <w:szCs w:val="18"/>
        </w:rPr>
        <w:t xml:space="preserve">].  </w:t>
      </w:r>
    </w:p>
    <w:p w14:paraId="25313907" w14:textId="47B3CFD5" w:rsidR="00CF7456" w:rsidRPr="0069003D" w:rsidRDefault="002263E3" w:rsidP="00CF7456">
      <w:pPr>
        <w:widowControl w:val="0"/>
        <w:spacing w:line="280" w:lineRule="exact"/>
        <w:rPr>
          <w:rFonts w:ascii="Titillium" w:hAnsi="Titillium"/>
          <w:sz w:val="18"/>
          <w:szCs w:val="18"/>
        </w:rPr>
      </w:pPr>
      <w:r w:rsidRPr="004F3362">
        <w:rPr>
          <w:rFonts w:ascii="Titillium" w:hAnsi="Titillium"/>
          <w:sz w:val="18"/>
          <w:szCs w:val="18"/>
        </w:rPr>
        <w:t xml:space="preserve">Nei confronti della documentazione amministrativa che non è stata resa reciprocamente disponibile in quanto non verificata dalla stazione appaltante i primi cinque classificati possono avanzare richiesta di accesso ai sensi degli articoli 3 bis e 22 della legge n. 241/90. </w:t>
      </w:r>
      <w:r w:rsidR="00C6417D" w:rsidRPr="004F3362">
        <w:rPr>
          <w:rFonts w:ascii="Titillium" w:hAnsi="Titillium"/>
          <w:sz w:val="18"/>
          <w:szCs w:val="18"/>
        </w:rPr>
        <w:t xml:space="preserve">La stessa modalità di accesso ai sensi dei richiamati articoli della legge n. 241/90 è utilizzata dai partecipanti </w:t>
      </w:r>
      <w:r w:rsidR="00CF7456" w:rsidRPr="004F3362">
        <w:rPr>
          <w:rFonts w:ascii="Titillium" w:hAnsi="Titillium"/>
          <w:sz w:val="18"/>
          <w:szCs w:val="18"/>
        </w:rPr>
        <w:t xml:space="preserve">collocatisi oltre il quinto posto della graduatoria </w:t>
      </w:r>
      <w:r w:rsidR="00C6417D" w:rsidRPr="004F3362">
        <w:rPr>
          <w:rFonts w:ascii="Titillium" w:hAnsi="Titillium"/>
          <w:sz w:val="18"/>
          <w:szCs w:val="18"/>
        </w:rPr>
        <w:t>fini dell’acquisizione delle of</w:t>
      </w:r>
      <w:r w:rsidR="00CF7456" w:rsidRPr="004F3362">
        <w:rPr>
          <w:rFonts w:ascii="Titillium" w:hAnsi="Titillium"/>
          <w:sz w:val="18"/>
          <w:szCs w:val="18"/>
        </w:rPr>
        <w:t>ferte dei concorrenti diversi dal primo. L’accesso è consentito …. [</w:t>
      </w:r>
      <w:r w:rsidR="00CF7456" w:rsidRPr="004F3362">
        <w:rPr>
          <w:rFonts w:ascii="Titillium" w:hAnsi="Titillium"/>
          <w:i/>
          <w:iCs/>
          <w:sz w:val="18"/>
          <w:szCs w:val="18"/>
        </w:rPr>
        <w:t>indicare le modalità utilizzate dalla PAD</w:t>
      </w:r>
      <w:r w:rsidR="00CF7456" w:rsidRPr="004F3362">
        <w:rPr>
          <w:rFonts w:ascii="Titillium" w:hAnsi="Titillium"/>
          <w:sz w:val="18"/>
          <w:szCs w:val="18"/>
        </w:rPr>
        <w:t>].</w:t>
      </w:r>
    </w:p>
    <w:p w14:paraId="57A23ECD" w14:textId="77777777" w:rsidR="00E045AE" w:rsidRDefault="00E045AE" w:rsidP="005C11FA">
      <w:pPr>
        <w:widowControl w:val="0"/>
        <w:spacing w:line="280" w:lineRule="exact"/>
        <w:rPr>
          <w:rFonts w:ascii="Titillium" w:hAnsi="Titillium"/>
          <w:sz w:val="18"/>
          <w:szCs w:val="18"/>
        </w:rPr>
      </w:pPr>
    </w:p>
    <w:p w14:paraId="20C08273" w14:textId="0AEF3306" w:rsidR="0012671C" w:rsidRDefault="005C11FA" w:rsidP="0012671C">
      <w:pPr>
        <w:widowControl w:val="0"/>
        <w:spacing w:line="280" w:lineRule="exact"/>
        <w:rPr>
          <w:rFonts w:ascii="Titillium" w:hAnsi="Titillium"/>
          <w:sz w:val="18"/>
          <w:szCs w:val="18"/>
        </w:rPr>
      </w:pPr>
      <w:r w:rsidRPr="00B1036D">
        <w:rPr>
          <w:rFonts w:ascii="Titillium" w:hAnsi="Titillium"/>
          <w:sz w:val="18"/>
          <w:szCs w:val="18"/>
        </w:rPr>
        <w:t xml:space="preserve">Nel caso in cui sia richiesto l’oscuramento di parti delle offerte e dei giustificativi, le decisioni in ordine all’accoglimento o al rigetto della richiesta sono rese note dal Responsabile unico di progetto al momento della comunicazione digitale dell’aggiudicazione.  Le decisioni di cui sopra possono essere impugnate innanzi al Tribunale </w:t>
      </w:r>
      <w:r w:rsidR="006C302B">
        <w:rPr>
          <w:rFonts w:ascii="Titillium" w:hAnsi="Titillium"/>
          <w:sz w:val="18"/>
          <w:szCs w:val="18"/>
        </w:rPr>
        <w:t>A</w:t>
      </w:r>
      <w:r w:rsidRPr="00B1036D">
        <w:rPr>
          <w:rFonts w:ascii="Titillium" w:hAnsi="Titillium"/>
          <w:sz w:val="18"/>
          <w:szCs w:val="18"/>
        </w:rPr>
        <w:t>mministrativo di competenza nel termine di dieci giorni dalla comunicazione. Prima del decorso di tale termine le offerte e i giustificativi dei primi cinque classificati sono messi reciprocamente a disposizione, con le modalità suindicate, nella versione oscurata.</w:t>
      </w:r>
    </w:p>
    <w:p w14:paraId="3F5870E1" w14:textId="1C025696" w:rsidR="00711938" w:rsidRPr="0016066B" w:rsidRDefault="00711938" w:rsidP="0012671C">
      <w:pPr>
        <w:widowControl w:val="0"/>
        <w:spacing w:line="280" w:lineRule="exact"/>
        <w:rPr>
          <w:strike/>
        </w:rPr>
      </w:pPr>
      <w:r w:rsidRPr="0016066B">
        <w:rPr>
          <w:strike/>
        </w:rPr>
        <w:t xml:space="preserve"> </w:t>
      </w:r>
    </w:p>
    <w:p w14:paraId="3D8C632A" w14:textId="062EA0CC" w:rsidR="00B511CF" w:rsidRPr="00711938" w:rsidRDefault="005C11FA" w:rsidP="005C11FA">
      <w:pPr>
        <w:widowControl w:val="0"/>
        <w:spacing w:line="280" w:lineRule="exact"/>
        <w:rPr>
          <w:rFonts w:ascii="Titillium" w:hAnsi="Titillium"/>
          <w:sz w:val="18"/>
          <w:szCs w:val="18"/>
        </w:rPr>
      </w:pPr>
      <w:r w:rsidRPr="00711938">
        <w:rPr>
          <w:rFonts w:ascii="Titillium" w:hAnsi="Titillium"/>
          <w:sz w:val="18"/>
          <w:szCs w:val="18"/>
        </w:rPr>
        <w:t xml:space="preserve">Fatti salvi i casi di esclusione di cui all’articolo 35, comma 4, del </w:t>
      </w:r>
      <w:r w:rsidR="006C302B">
        <w:rPr>
          <w:rFonts w:ascii="Titillium" w:hAnsi="Titillium"/>
          <w:sz w:val="18"/>
          <w:szCs w:val="18"/>
        </w:rPr>
        <w:t>C</w:t>
      </w:r>
      <w:r w:rsidRPr="00711938">
        <w:rPr>
          <w:rFonts w:ascii="Titillium" w:hAnsi="Titillium"/>
          <w:sz w:val="18"/>
          <w:szCs w:val="18"/>
        </w:rPr>
        <w:t xml:space="preserve">odice, gli atti della procedura sono resi accessibili ai soggetti che presentino apposita istanza di accesso civico ai sensi dell’articolo 5 del decreto legislativo 14/3/2013, n. 33. L’esercizio del diritto di accesso è differito nei casi indicati al comma 2 dell’articolo 35 del </w:t>
      </w:r>
      <w:r w:rsidR="006C302B">
        <w:rPr>
          <w:rFonts w:ascii="Titillium" w:hAnsi="Titillium"/>
          <w:sz w:val="18"/>
          <w:szCs w:val="18"/>
        </w:rPr>
        <w:t>C</w:t>
      </w:r>
      <w:r w:rsidRPr="00711938">
        <w:rPr>
          <w:rFonts w:ascii="Titillium" w:hAnsi="Titillium"/>
          <w:sz w:val="18"/>
          <w:szCs w:val="18"/>
        </w:rPr>
        <w:t>odice.</w:t>
      </w:r>
    </w:p>
    <w:p w14:paraId="63385038" w14:textId="77777777" w:rsidR="006842EE" w:rsidRPr="00A36142" w:rsidRDefault="008F2625" w:rsidP="00D26F03">
      <w:pPr>
        <w:pStyle w:val="Titolo2"/>
        <w:numPr>
          <w:ilvl w:val="0"/>
          <w:numId w:val="55"/>
        </w:numPr>
        <w:ind w:left="357" w:hanging="357"/>
        <w:rPr>
          <w:rFonts w:ascii="Titillium" w:hAnsi="Titillium"/>
          <w:caps w:val="0"/>
          <w:sz w:val="18"/>
          <w:szCs w:val="18"/>
        </w:rPr>
      </w:pPr>
      <w:bookmarkStart w:id="2946" w:name="_Toc406058393"/>
      <w:bookmarkStart w:id="2947" w:name="_Toc403471285"/>
      <w:bookmarkStart w:id="2948" w:name="_Toc397422878"/>
      <w:bookmarkStart w:id="2949" w:name="_Toc397346837"/>
      <w:bookmarkStart w:id="2950" w:name="_Toc393706922"/>
      <w:bookmarkStart w:id="2951" w:name="_Toc393700849"/>
      <w:bookmarkStart w:id="2952" w:name="_Toc393283190"/>
      <w:bookmarkStart w:id="2953" w:name="_Toc393272674"/>
      <w:bookmarkStart w:id="2954" w:name="_Toc393272616"/>
      <w:bookmarkStart w:id="2955" w:name="_Toc393187860"/>
      <w:bookmarkStart w:id="2956" w:name="_Toc393112143"/>
      <w:bookmarkStart w:id="2957" w:name="_Toc393110579"/>
      <w:bookmarkStart w:id="2958" w:name="_Toc392577512"/>
      <w:bookmarkStart w:id="2959" w:name="_Toc391036071"/>
      <w:bookmarkStart w:id="2960" w:name="_Toc391035998"/>
      <w:bookmarkStart w:id="2961" w:name="_Toc380501885"/>
      <w:bookmarkStart w:id="2962" w:name="_Toc354038182"/>
      <w:bookmarkStart w:id="2963" w:name="_Toc416423377"/>
      <w:bookmarkStart w:id="2964" w:name="_Toc406754194"/>
      <w:bookmarkStart w:id="2965" w:name="_Toc227921662"/>
      <w:r w:rsidRPr="00A36142">
        <w:rPr>
          <w:rFonts w:ascii="Titillium" w:hAnsi="Titillium"/>
          <w:caps w:val="0"/>
          <w:sz w:val="18"/>
          <w:szCs w:val="18"/>
        </w:rPr>
        <w:t>DEFINIZIONE DELLE CONTROVERSIE</w:t>
      </w:r>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r w:rsidRPr="00A36142">
        <w:rPr>
          <w:rFonts w:ascii="Titillium" w:hAnsi="Titillium"/>
          <w:caps w:val="0"/>
          <w:sz w:val="18"/>
          <w:szCs w:val="18"/>
        </w:rPr>
        <w:t xml:space="preserve"> </w:t>
      </w:r>
    </w:p>
    <w:p w14:paraId="026A5DC6" w14:textId="77777777" w:rsidR="006842EE" w:rsidRDefault="008F2625">
      <w:pPr>
        <w:spacing w:before="60" w:after="60"/>
      </w:pPr>
      <w:r>
        <w:rPr>
          <w:rFonts w:ascii="Titillium" w:hAnsi="Titillium"/>
          <w:sz w:val="18"/>
          <w:szCs w:val="18"/>
          <w:lang w:eastAsia="it-IT"/>
        </w:rPr>
        <w:t xml:space="preserve">Per le controversie derivanti dalla presente procedura di gara è competente il Tribunale Amministrativo di ... </w:t>
      </w:r>
      <w:r>
        <w:rPr>
          <w:rFonts w:ascii="Titillium" w:hAnsi="Titillium"/>
          <w:i/>
          <w:sz w:val="18"/>
          <w:szCs w:val="18"/>
          <w:lang w:eastAsia="it-IT"/>
        </w:rPr>
        <w:t>[indicare il Tribunale competente]</w:t>
      </w:r>
      <w:r>
        <w:t>.</w:t>
      </w:r>
    </w:p>
    <w:p w14:paraId="459C17D9" w14:textId="77777777" w:rsidR="006842EE" w:rsidRDefault="008F2625">
      <w:pPr>
        <w:spacing w:before="60" w:after="60"/>
        <w:rPr>
          <w:rFonts w:ascii="Titillium" w:hAnsi="Titillium"/>
          <w:sz w:val="18"/>
          <w:szCs w:val="18"/>
          <w:lang w:eastAsia="it-IT"/>
        </w:rPr>
      </w:pPr>
      <w:r>
        <w:rPr>
          <w:rFonts w:ascii="Titillium" w:hAnsi="Titillium"/>
          <w:b/>
          <w:i/>
          <w:sz w:val="18"/>
          <w:szCs w:val="18"/>
          <w:lang w:eastAsia="it-IT"/>
        </w:rPr>
        <w:t>[Facoltativo, nel caso in cui si voglia prevedere la clausola compromissoria ex articolo 213 del Codice nel contratto]</w:t>
      </w:r>
      <w:r>
        <w:rPr>
          <w:rFonts w:ascii="Titillium" w:hAnsi="Titillium"/>
          <w:i/>
          <w:sz w:val="18"/>
          <w:szCs w:val="18"/>
          <w:lang w:eastAsia="it-IT"/>
        </w:rPr>
        <w:t xml:space="preserve"> </w:t>
      </w:r>
      <w:r>
        <w:rPr>
          <w:rFonts w:ascii="Titillium" w:hAnsi="Titillium"/>
          <w:sz w:val="18"/>
          <w:szCs w:val="18"/>
          <w:lang w:eastAsia="it-IT"/>
        </w:rPr>
        <w:t xml:space="preserve">Le controversie su diritti soggettivi, derivanti dall’esecuzione del contratto, comprese quelle conseguenti al mancato raggiungimento dell’accordo bonario di cui agli articoli 211 e 212 del Codice, sono risolte mediante arbitrato amministrativo dalla Camera arbitrale presso l’Autorità Nazionale Anticorruzione secondo gli articoli 213 e 214 del Codice. A tal fine il contratto contiene apposita clausola compromissoria, salvo rifiuto di quest’ultima da parte dell’aggiudicatario, da comunicare alla stazione appaltante entro venti giorni dalla conoscenza dell’aggiudicazione. Ai sensi dell’articolo 213, comma 3, del Codice, l’autorizzazione all’inserimento della clausola compromissoria è stata rilasciata con ... n. .... del .... </w:t>
      </w:r>
      <w:r>
        <w:rPr>
          <w:rFonts w:ascii="Titillium" w:hAnsi="Titillium"/>
          <w:i/>
          <w:sz w:val="18"/>
          <w:szCs w:val="18"/>
          <w:lang w:eastAsia="it-IT"/>
        </w:rPr>
        <w:t>[indicare il provvedimento, con numero e data, adottato dell’organo di governo, di autorizzazione all’inserimento della clausola compromissoria].</w:t>
      </w:r>
      <w:r>
        <w:rPr>
          <w:rFonts w:ascii="Titillium" w:hAnsi="Titillium"/>
          <w:sz w:val="18"/>
          <w:szCs w:val="18"/>
          <w:lang w:eastAsia="it-IT"/>
        </w:rPr>
        <w:t xml:space="preserve"> </w:t>
      </w:r>
    </w:p>
    <w:p w14:paraId="44CB5734" w14:textId="7D937C88" w:rsidR="00204D2A" w:rsidRPr="00204D2A" w:rsidRDefault="00204D2A" w:rsidP="00204D2A">
      <w:pPr>
        <w:spacing w:before="60" w:after="60"/>
        <w:rPr>
          <w:rFonts w:ascii="Titillium" w:hAnsi="Titillium"/>
          <w:sz w:val="18"/>
          <w:szCs w:val="18"/>
          <w:lang w:eastAsia="it-IT"/>
        </w:rPr>
      </w:pPr>
      <w:r w:rsidRPr="00B1036D">
        <w:rPr>
          <w:rFonts w:ascii="Titillium" w:hAnsi="Titillium"/>
          <w:b/>
          <w:bCs/>
          <w:sz w:val="18"/>
          <w:szCs w:val="18"/>
          <w:lang w:eastAsia="it-IT"/>
        </w:rPr>
        <w:t>[</w:t>
      </w:r>
      <w:r w:rsidRPr="00400FF6">
        <w:rPr>
          <w:rFonts w:ascii="Titillium" w:hAnsi="Titillium"/>
          <w:b/>
          <w:bCs/>
          <w:i/>
          <w:iCs/>
          <w:sz w:val="18"/>
          <w:szCs w:val="18"/>
          <w:lang w:eastAsia="it-IT"/>
        </w:rPr>
        <w:t>Facoltativo, nel caso si intenda costituire il collegio consultivo tecnico</w:t>
      </w:r>
      <w:r w:rsidRPr="00B1036D">
        <w:rPr>
          <w:rFonts w:ascii="Titillium" w:hAnsi="Titillium"/>
          <w:sz w:val="18"/>
          <w:szCs w:val="18"/>
          <w:lang w:eastAsia="it-IT"/>
        </w:rPr>
        <w:t>]</w:t>
      </w:r>
      <w:r w:rsidRPr="008773A7">
        <w:rPr>
          <w:rFonts w:ascii="Titillium" w:hAnsi="Titillium"/>
          <w:color w:val="EE0000"/>
          <w:sz w:val="18"/>
          <w:szCs w:val="18"/>
          <w:lang w:eastAsia="it-IT"/>
        </w:rPr>
        <w:t xml:space="preserve"> </w:t>
      </w:r>
      <w:r w:rsidRPr="008773A7">
        <w:rPr>
          <w:rFonts w:ascii="Titillium" w:hAnsi="Titillium"/>
          <w:sz w:val="18"/>
          <w:szCs w:val="18"/>
          <w:lang w:eastAsia="it-IT"/>
        </w:rPr>
        <w:t>T</w:t>
      </w:r>
      <w:r w:rsidRPr="00204D2A">
        <w:rPr>
          <w:rFonts w:ascii="Titillium" w:hAnsi="Titillium"/>
          <w:sz w:val="18"/>
          <w:szCs w:val="18"/>
          <w:lang w:eastAsia="it-IT"/>
        </w:rPr>
        <w:t>rova applicazione la disciplina di cui all’articolo 215 del Codice relativamente al collegio consultivo tecnico formato secondo le modalità di cui all’allegato V.2 del Codice, al fine di prevenire le controversie o consentire la rapida risoluzione delle stesse o delle dispute tecniche di ogni natura che possano insorgere nell'esecuzione del contratto. I costi sono ripartiti tra le parti.</w:t>
      </w:r>
    </w:p>
    <w:p w14:paraId="2F600002" w14:textId="069B4F32" w:rsidR="000C33B2" w:rsidRDefault="00204D2A" w:rsidP="00204D2A">
      <w:pPr>
        <w:spacing w:before="60" w:after="60"/>
        <w:rPr>
          <w:rFonts w:ascii="Titillium" w:hAnsi="Titillium"/>
          <w:sz w:val="18"/>
          <w:szCs w:val="18"/>
          <w:lang w:eastAsia="it-IT"/>
        </w:rPr>
      </w:pPr>
      <w:r w:rsidRPr="00204D2A">
        <w:rPr>
          <w:rFonts w:ascii="Titillium" w:hAnsi="Titillium"/>
          <w:sz w:val="18"/>
          <w:szCs w:val="18"/>
          <w:lang w:eastAsia="it-IT"/>
        </w:rPr>
        <w:t>Il collegio è costituito da n. …. [</w:t>
      </w:r>
      <w:r w:rsidRPr="00400FF6">
        <w:rPr>
          <w:rFonts w:ascii="Titillium" w:hAnsi="Titillium"/>
          <w:i/>
          <w:iCs/>
          <w:sz w:val="18"/>
          <w:szCs w:val="18"/>
          <w:lang w:eastAsia="it-IT"/>
        </w:rPr>
        <w:t>indicare il numero</w:t>
      </w:r>
      <w:r w:rsidRPr="00204D2A">
        <w:rPr>
          <w:rFonts w:ascii="Titillium" w:hAnsi="Titillium"/>
          <w:sz w:val="18"/>
          <w:szCs w:val="18"/>
          <w:lang w:eastAsia="it-IT"/>
        </w:rPr>
        <w:t>] membri.</w:t>
      </w:r>
    </w:p>
    <w:p w14:paraId="4FAA337D" w14:textId="3FA31D58" w:rsidR="006842EE" w:rsidRPr="00A36142" w:rsidRDefault="008F2625" w:rsidP="00D26F03">
      <w:pPr>
        <w:pStyle w:val="Titolo2"/>
        <w:numPr>
          <w:ilvl w:val="0"/>
          <w:numId w:val="55"/>
        </w:numPr>
        <w:ind w:left="357" w:hanging="357"/>
        <w:rPr>
          <w:rFonts w:ascii="Titillium" w:hAnsi="Titillium"/>
          <w:caps w:val="0"/>
          <w:sz w:val="18"/>
          <w:szCs w:val="18"/>
        </w:rPr>
      </w:pPr>
      <w:bookmarkStart w:id="2966" w:name="_Toc406058394"/>
      <w:bookmarkStart w:id="2967" w:name="_Toc403471286"/>
      <w:bookmarkStart w:id="2968" w:name="_Toc397422879"/>
      <w:bookmarkStart w:id="2969" w:name="_Toc397346838"/>
      <w:bookmarkStart w:id="2970" w:name="_Toc393706923"/>
      <w:bookmarkStart w:id="2971" w:name="_Toc393700850"/>
      <w:bookmarkStart w:id="2972" w:name="_Toc393283191"/>
      <w:bookmarkStart w:id="2973" w:name="_Toc393272675"/>
      <w:bookmarkStart w:id="2974" w:name="_Toc393272617"/>
      <w:bookmarkStart w:id="2975" w:name="_Toc393187861"/>
      <w:bookmarkStart w:id="2976" w:name="_Toc393112144"/>
      <w:bookmarkStart w:id="2977" w:name="_Toc393110580"/>
      <w:bookmarkStart w:id="2978" w:name="_Toc392577513"/>
      <w:bookmarkStart w:id="2979" w:name="_Toc391036072"/>
      <w:bookmarkStart w:id="2980" w:name="_Toc391035999"/>
      <w:bookmarkStart w:id="2981" w:name="_Toc380501886"/>
      <w:bookmarkStart w:id="2982" w:name="_Toc354038183"/>
      <w:bookmarkStart w:id="2983" w:name="_Toc416423378"/>
      <w:bookmarkStart w:id="2984" w:name="_Toc406754195"/>
      <w:bookmarkStart w:id="2985" w:name="_Ref132066072"/>
      <w:bookmarkStart w:id="2986" w:name="_Toc227921663"/>
      <w:r w:rsidRPr="00A36142">
        <w:rPr>
          <w:rFonts w:ascii="Titillium" w:hAnsi="Titillium"/>
          <w:caps w:val="0"/>
          <w:sz w:val="18"/>
          <w:szCs w:val="18"/>
        </w:rPr>
        <w:t>TRATTAMENTO DEI DATI PERSONALI</w:t>
      </w:r>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p>
    <w:p w14:paraId="4F862936" w14:textId="4F04F9CA" w:rsidR="006842EE" w:rsidRDefault="008F2625">
      <w:pPr>
        <w:spacing w:before="60" w:after="60"/>
        <w:rPr>
          <w:rFonts w:ascii="Titillium" w:hAnsi="Titillium" w:cs="Calibri"/>
          <w:sz w:val="18"/>
          <w:szCs w:val="18"/>
          <w:lang w:eastAsia="it-IT"/>
        </w:rPr>
      </w:pPr>
      <w:r>
        <w:rPr>
          <w:rFonts w:ascii="Titillium" w:hAnsi="Titillium" w:cs="Calibri"/>
          <w:sz w:val="18"/>
          <w:szCs w:val="18"/>
          <w:lang w:eastAsia="it-IT"/>
        </w:rPr>
        <w:t xml:space="preserve">I dati raccolti sono trattati e conservati ai sensi del Regolamento UE n. 2016/679 relativo alla protezione delle persone fisiche con riguardo al trattamento dei dati personali, nonché alla libera circolazione di tali dati, del decreto legislativo 30 giugno 2003, n.196 recante il “Codice in materia di protezione dei dati personali” e </w:t>
      </w:r>
      <w:r w:rsidR="006C302B">
        <w:rPr>
          <w:rFonts w:ascii="Titillium" w:hAnsi="Titillium" w:cs="Calibri"/>
          <w:sz w:val="18"/>
          <w:szCs w:val="18"/>
          <w:lang w:eastAsia="it-IT"/>
        </w:rPr>
        <w:t>ss.</w:t>
      </w:r>
      <w:r>
        <w:rPr>
          <w:rFonts w:ascii="Titillium" w:hAnsi="Titillium" w:cs="Calibri"/>
          <w:sz w:val="18"/>
          <w:szCs w:val="18"/>
          <w:lang w:eastAsia="it-IT"/>
        </w:rPr>
        <w:t xml:space="preserve"> mm e ii, del decreto della Presidenza del Consiglio dei Ministri n. 148/21 e dei relativi atti di attuazione. In particolare</w:t>
      </w:r>
      <w:r w:rsidR="00C26EA5">
        <w:rPr>
          <w:rFonts w:ascii="Titillium" w:hAnsi="Titillium" w:cs="Calibri"/>
          <w:sz w:val="18"/>
          <w:szCs w:val="18"/>
          <w:lang w:eastAsia="it-IT"/>
        </w:rPr>
        <w:t>,</w:t>
      </w:r>
      <w:r>
        <w:t xml:space="preserve"> </w:t>
      </w:r>
      <w:r>
        <w:rPr>
          <w:rFonts w:ascii="Titillium" w:hAnsi="Titillium" w:cs="Calibri"/>
          <w:sz w:val="18"/>
          <w:szCs w:val="18"/>
          <w:lang w:eastAsia="it-IT"/>
        </w:rPr>
        <w:t>si forniscono le seguenti informazioni sul trattamento dei dati personali</w:t>
      </w:r>
      <w:r>
        <w:t xml:space="preserve"> </w:t>
      </w:r>
      <w:r w:rsidRPr="00334A83">
        <w:rPr>
          <w:rFonts w:ascii="Titillium" w:hAnsi="Titillium"/>
          <w:sz w:val="18"/>
          <w:szCs w:val="18"/>
        </w:rPr>
        <w:t xml:space="preserve">… </w:t>
      </w:r>
      <w:r w:rsidRPr="000C37F8">
        <w:rPr>
          <w:rFonts w:ascii="Titillium" w:hAnsi="Titillium"/>
          <w:i/>
          <w:sz w:val="18"/>
          <w:szCs w:val="18"/>
        </w:rPr>
        <w:t>[</w:t>
      </w:r>
      <w:r>
        <w:rPr>
          <w:rFonts w:ascii="Titillium" w:hAnsi="Titillium" w:cs="Calibri"/>
          <w:i/>
          <w:sz w:val="18"/>
          <w:szCs w:val="18"/>
          <w:lang w:eastAsia="it-IT"/>
        </w:rPr>
        <w:t xml:space="preserve">indicare le informazioni sul trattamento dei dati personali dovute in considerazione delle specificità del singolo appalto, della stazione appaltante, dei suoi rapporti con il gestore della </w:t>
      </w:r>
      <w:r w:rsidR="00204D2A" w:rsidRPr="00B1036D">
        <w:rPr>
          <w:rFonts w:ascii="Titillium" w:hAnsi="Titillium" w:cs="Calibri"/>
          <w:i/>
          <w:sz w:val="18"/>
          <w:szCs w:val="18"/>
          <w:lang w:eastAsia="it-IT"/>
        </w:rPr>
        <w:t>PAD</w:t>
      </w:r>
      <w:r w:rsidR="00B1036D">
        <w:rPr>
          <w:rFonts w:ascii="Titillium" w:hAnsi="Titillium" w:cs="Calibri"/>
          <w:i/>
          <w:sz w:val="18"/>
          <w:szCs w:val="18"/>
          <w:lang w:eastAsia="it-IT"/>
        </w:rPr>
        <w:t>,</w:t>
      </w:r>
      <w:r>
        <w:rPr>
          <w:rFonts w:ascii="Titillium" w:hAnsi="Titillium" w:cs="Calibri"/>
          <w:i/>
          <w:sz w:val="18"/>
          <w:szCs w:val="18"/>
          <w:lang w:eastAsia="it-IT"/>
        </w:rPr>
        <w:t xml:space="preserve"> delle caratteristiche tecniche della </w:t>
      </w:r>
      <w:r w:rsidR="00204D2A" w:rsidRPr="003E196C">
        <w:rPr>
          <w:rFonts w:ascii="Titillium" w:hAnsi="Titillium" w:cs="Calibri"/>
          <w:i/>
          <w:sz w:val="18"/>
          <w:szCs w:val="18"/>
          <w:lang w:eastAsia="it-IT"/>
        </w:rPr>
        <w:t xml:space="preserve">PAD </w:t>
      </w:r>
      <w:r>
        <w:rPr>
          <w:rFonts w:ascii="Titillium" w:hAnsi="Titillium" w:cs="Calibri"/>
          <w:i/>
          <w:sz w:val="18"/>
          <w:szCs w:val="18"/>
          <w:lang w:eastAsia="it-IT"/>
        </w:rPr>
        <w:t>utilizzata. Tali informazioni devono riguardare, in particolare: a) la finalità del trattamento; b) la base giuridica e natura del conferimento dei dati; c) la natura dei dati trattati; d) le modalità del trattamento dei dati; e) l’ambito di comunicazione e di diffusione dei dati; f) l’ambito di comunicazione e di diffusione dei dati; g) periodo di conservazione dei dati; h) i diritti del concorrente/interessato; i) il titolare del trattamento e responsabile della protezione dei dati]</w:t>
      </w:r>
      <w:r>
        <w:rPr>
          <w:rFonts w:ascii="Titillium" w:hAnsi="Titillium" w:cs="Calibri"/>
          <w:sz w:val="18"/>
          <w:szCs w:val="18"/>
          <w:lang w:eastAsia="it-IT"/>
        </w:rPr>
        <w:t>.</w:t>
      </w:r>
    </w:p>
    <w:p w14:paraId="68E7DE8C" w14:textId="3E5E3093" w:rsidR="006842EE" w:rsidRDefault="008F2625">
      <w:pPr>
        <w:spacing w:before="60" w:after="60"/>
        <w:rPr>
          <w:rFonts w:ascii="Titillium" w:hAnsi="Titillium" w:cs="Calibri"/>
          <w:sz w:val="18"/>
          <w:szCs w:val="18"/>
          <w:lang w:eastAsia="it-IT"/>
        </w:rPr>
      </w:pPr>
      <w:r>
        <w:rPr>
          <w:rFonts w:ascii="Titillium" w:hAnsi="Titillium" w:cs="Calibri"/>
          <w:b/>
          <w:i/>
          <w:sz w:val="18"/>
          <w:szCs w:val="18"/>
          <w:lang w:eastAsia="it-IT"/>
        </w:rPr>
        <w:t>[In alternativa]</w:t>
      </w:r>
      <w:r>
        <w:rPr>
          <w:rFonts w:ascii="Titillium" w:hAnsi="Titillium" w:cs="Calibri"/>
          <w:b/>
          <w:sz w:val="18"/>
          <w:szCs w:val="18"/>
          <w:lang w:eastAsia="it-IT"/>
        </w:rPr>
        <w:t xml:space="preserve"> </w:t>
      </w:r>
      <w:r>
        <w:rPr>
          <w:rFonts w:ascii="Titillium" w:hAnsi="Titillium" w:cs="Calibri"/>
          <w:sz w:val="18"/>
          <w:szCs w:val="18"/>
          <w:lang w:eastAsia="it-IT"/>
        </w:rPr>
        <w:t>I dati raccolti</w:t>
      </w:r>
      <w:r w:rsidR="00204D2A">
        <w:rPr>
          <w:rFonts w:ascii="Titillium" w:hAnsi="Titillium" w:cs="Calibri"/>
          <w:sz w:val="18"/>
          <w:szCs w:val="18"/>
          <w:lang w:eastAsia="it-IT"/>
        </w:rPr>
        <w:t>,</w:t>
      </w:r>
      <w:r>
        <w:rPr>
          <w:rFonts w:ascii="Titillium" w:hAnsi="Titillium" w:cs="Calibri"/>
          <w:sz w:val="18"/>
          <w:szCs w:val="18"/>
          <w:lang w:eastAsia="it-IT"/>
        </w:rPr>
        <w:t xml:space="preserve"> </w:t>
      </w:r>
      <w:r w:rsidR="00204D2A" w:rsidRPr="00B1036D">
        <w:rPr>
          <w:rFonts w:ascii="Titillium" w:hAnsi="Titillium" w:cs="Calibri"/>
          <w:sz w:val="18"/>
          <w:szCs w:val="18"/>
          <w:lang w:eastAsia="it-IT"/>
        </w:rPr>
        <w:t xml:space="preserve">ivi inclusi quelli acquisiti tramite il FVOE </w:t>
      </w:r>
      <w:r>
        <w:rPr>
          <w:rFonts w:ascii="Titillium" w:hAnsi="Titillium" w:cs="Calibri"/>
          <w:sz w:val="18"/>
          <w:szCs w:val="18"/>
          <w:lang w:eastAsia="it-IT"/>
        </w:rPr>
        <w:t>sono trattati e conservati ai sensi del Regolamento UE n. 2016/679 relativo alla protezione delle persone fisiche con riguardo al trattamento dei dati personali, nonché alla libera circolazione di tali dati, del decreto legislativo 30 giugno 2003, n. 196 recante il “Codice in materia di protezione dei dati personali” e ss</w:t>
      </w:r>
      <w:r w:rsidR="00257E9E">
        <w:rPr>
          <w:rFonts w:ascii="Titillium" w:hAnsi="Titillium" w:cs="Calibri"/>
          <w:sz w:val="18"/>
          <w:szCs w:val="18"/>
          <w:lang w:eastAsia="it-IT"/>
        </w:rPr>
        <w:t>.</w:t>
      </w:r>
      <w:r>
        <w:rPr>
          <w:rFonts w:ascii="Titillium" w:hAnsi="Titillium" w:cs="Calibri"/>
          <w:sz w:val="18"/>
          <w:szCs w:val="18"/>
          <w:lang w:eastAsia="it-IT"/>
        </w:rPr>
        <w:t xml:space="preserve"> mm e ii, del decreto della Presidenza del Consiglio dei Ministri n. 148/21 e dei relativi atti di attuazione secondo quanto riportato nell’apposita scheda informativa allegata alla documentazione di gara sub … </w:t>
      </w:r>
      <w:r>
        <w:rPr>
          <w:rFonts w:ascii="Titillium" w:hAnsi="Titillium" w:cs="Calibri"/>
          <w:i/>
          <w:sz w:val="18"/>
          <w:szCs w:val="18"/>
          <w:lang w:eastAsia="it-IT"/>
        </w:rPr>
        <w:t>[indicare il numero dell’allegato].</w:t>
      </w:r>
    </w:p>
    <w:p w14:paraId="22518A36" w14:textId="77777777" w:rsidR="006842EE" w:rsidRDefault="006842EE">
      <w:pPr>
        <w:spacing w:before="60" w:after="60"/>
        <w:rPr>
          <w:rFonts w:ascii="Titillium" w:hAnsi="Titillium" w:cs="Calibri"/>
          <w:sz w:val="18"/>
          <w:szCs w:val="18"/>
          <w:lang w:eastAsia="it-IT"/>
        </w:rPr>
      </w:pPr>
    </w:p>
    <w:tbl>
      <w:tblPr>
        <w:tblW w:w="9210" w:type="dxa"/>
        <w:tblInd w:w="-108" w:type="dxa"/>
        <w:tblLayout w:type="fixed"/>
        <w:tblLook w:val="04A0" w:firstRow="1" w:lastRow="0" w:firstColumn="1" w:lastColumn="0" w:noHBand="0" w:noVBand="1"/>
      </w:tblPr>
      <w:tblGrid>
        <w:gridCol w:w="9210"/>
      </w:tblGrid>
      <w:tr w:rsidR="006842EE" w14:paraId="24E0A9C9" w14:textId="77777777">
        <w:tc>
          <w:tcPr>
            <w:tcW w:w="9210" w:type="dxa"/>
            <w:tcBorders>
              <w:top w:val="single" w:sz="4" w:space="0" w:color="000000"/>
              <w:left w:val="single" w:sz="4" w:space="0" w:color="000000"/>
              <w:bottom w:val="single" w:sz="4" w:space="0" w:color="000000"/>
              <w:right w:val="single" w:sz="4" w:space="0" w:color="000000"/>
            </w:tcBorders>
          </w:tcPr>
          <w:p w14:paraId="2D2FFBEE" w14:textId="77777777" w:rsidR="006842EE" w:rsidRDefault="008F2625">
            <w:pPr>
              <w:widowControl w:val="0"/>
              <w:spacing w:before="60" w:after="60"/>
              <w:rPr>
                <w:rFonts w:ascii="Titillium" w:hAnsi="Titillium" w:cs="Calibri"/>
                <w:sz w:val="18"/>
                <w:szCs w:val="18"/>
              </w:rPr>
            </w:pPr>
            <w:r w:rsidRPr="00B30858">
              <w:rPr>
                <w:rFonts w:ascii="Titillium" w:hAnsi="Titillium" w:cs="Calibri"/>
                <w:i/>
                <w:iCs/>
                <w:sz w:val="18"/>
                <w:szCs w:val="18"/>
              </w:rPr>
              <w:t>N.B. La stazione appaltante predispone la clausola in base agli indirizzi adottati al proprio interno per l’attuazione della normativa sulla privacy.</w:t>
            </w:r>
            <w:r>
              <w:rPr>
                <w:rFonts w:ascii="Titillium" w:hAnsi="Titillium" w:cs="Calibri"/>
                <w:sz w:val="18"/>
                <w:szCs w:val="18"/>
              </w:rPr>
              <w:t xml:space="preserve"> </w:t>
            </w:r>
          </w:p>
        </w:tc>
      </w:tr>
    </w:tbl>
    <w:p w14:paraId="59DE5311" w14:textId="77777777" w:rsidR="006842EE" w:rsidRDefault="006842EE">
      <w:pPr>
        <w:spacing w:before="60" w:after="60"/>
      </w:pPr>
    </w:p>
    <w:p w14:paraId="01562E9E" w14:textId="77777777" w:rsidR="00F041CA" w:rsidRDefault="00F041CA">
      <w:pPr>
        <w:spacing w:before="60" w:after="60"/>
      </w:pPr>
    </w:p>
    <w:p w14:paraId="04ECD81E" w14:textId="77777777" w:rsidR="00F041CA" w:rsidRPr="00C23EC5" w:rsidRDefault="00F041CA" w:rsidP="00F041CA"/>
    <w:p w14:paraId="0D2BAFC6" w14:textId="77777777" w:rsidR="00F041CA" w:rsidRPr="00F041CA" w:rsidRDefault="00F041CA" w:rsidP="00F041CA">
      <w:pPr>
        <w:rPr>
          <w:rFonts w:ascii="Titillium" w:hAnsi="Titillium"/>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8"/>
        <w:gridCol w:w="3266"/>
      </w:tblGrid>
      <w:tr w:rsidR="00F041CA" w:rsidRPr="00F041CA" w14:paraId="0FB91E14" w14:textId="77777777" w:rsidTr="0005185C">
        <w:trPr>
          <w:trHeight w:val="271"/>
        </w:trPr>
        <w:tc>
          <w:tcPr>
            <w:tcW w:w="6237" w:type="dxa"/>
          </w:tcPr>
          <w:p w14:paraId="6002ED3C" w14:textId="77777777" w:rsidR="00F041CA" w:rsidRPr="00F041CA" w:rsidRDefault="00F041CA" w:rsidP="0005185C">
            <w:pPr>
              <w:rPr>
                <w:rFonts w:ascii="Titillium" w:hAnsi="Titillium"/>
                <w:sz w:val="20"/>
                <w:szCs w:val="20"/>
              </w:rPr>
            </w:pPr>
          </w:p>
        </w:tc>
        <w:tc>
          <w:tcPr>
            <w:tcW w:w="3392" w:type="dxa"/>
            <w:shd w:val="clear" w:color="auto" w:fill="8496B0" w:themeFill="text2" w:themeFillTint="99"/>
            <w:vAlign w:val="center"/>
          </w:tcPr>
          <w:p w14:paraId="6B53FA60" w14:textId="77777777" w:rsidR="00F041CA" w:rsidRPr="00F041CA" w:rsidRDefault="00F041CA" w:rsidP="0005185C">
            <w:pPr>
              <w:pStyle w:val="Intfirma"/>
              <w:rPr>
                <w:sz w:val="20"/>
                <w:szCs w:val="20"/>
              </w:rPr>
            </w:pPr>
            <w:r w:rsidRPr="00F041CA">
              <w:rPr>
                <w:sz w:val="20"/>
                <w:szCs w:val="20"/>
              </w:rPr>
              <w:t>Il Presidente</w:t>
            </w:r>
          </w:p>
        </w:tc>
      </w:tr>
      <w:tr w:rsidR="00F041CA" w:rsidRPr="00F041CA" w14:paraId="113AB6BF" w14:textId="77777777" w:rsidTr="0005185C">
        <w:trPr>
          <w:trHeight w:val="192"/>
        </w:trPr>
        <w:tc>
          <w:tcPr>
            <w:tcW w:w="6237" w:type="dxa"/>
          </w:tcPr>
          <w:p w14:paraId="4BC399A4" w14:textId="77777777" w:rsidR="00F041CA" w:rsidRPr="00F041CA" w:rsidRDefault="00F041CA" w:rsidP="0005185C">
            <w:pPr>
              <w:rPr>
                <w:rFonts w:ascii="Titillium" w:hAnsi="Titillium"/>
                <w:sz w:val="20"/>
                <w:szCs w:val="20"/>
              </w:rPr>
            </w:pPr>
          </w:p>
        </w:tc>
        <w:tc>
          <w:tcPr>
            <w:tcW w:w="3392" w:type="dxa"/>
            <w:vAlign w:val="center"/>
          </w:tcPr>
          <w:p w14:paraId="29EA0125" w14:textId="77777777" w:rsidR="00F041CA" w:rsidRPr="00F041CA" w:rsidRDefault="00F041CA" w:rsidP="0005185C">
            <w:pPr>
              <w:pStyle w:val="firma"/>
              <w:rPr>
                <w:noProof w:val="0"/>
                <w:sz w:val="20"/>
                <w:szCs w:val="20"/>
              </w:rPr>
            </w:pPr>
            <w:r w:rsidRPr="00F041CA">
              <w:rPr>
                <w:noProof w:val="0"/>
                <w:sz w:val="20"/>
                <w:szCs w:val="20"/>
              </w:rPr>
              <w:t>Avv. Giuseppe Busia</w:t>
            </w:r>
          </w:p>
        </w:tc>
      </w:tr>
    </w:tbl>
    <w:p w14:paraId="148169BF" w14:textId="77777777" w:rsidR="00F041CA" w:rsidRPr="00F041CA" w:rsidRDefault="00F041CA" w:rsidP="00F041CA">
      <w:pPr>
        <w:pStyle w:val="FirmeDel"/>
        <w:rPr>
          <w:rFonts w:eastAsia="Arial Unicode MS"/>
          <w:noProof w:val="0"/>
          <w:sz w:val="20"/>
          <w:szCs w:val="20"/>
        </w:rPr>
      </w:pPr>
    </w:p>
    <w:p w14:paraId="05B654A8" w14:textId="46C9E258" w:rsidR="00F041CA" w:rsidRPr="00F041CA" w:rsidRDefault="00F041CA" w:rsidP="00F041CA">
      <w:pPr>
        <w:rPr>
          <w:rFonts w:ascii="Titillium" w:eastAsia="Arial Unicode MS" w:hAnsi="Titillium"/>
          <w:sz w:val="20"/>
          <w:szCs w:val="20"/>
        </w:rPr>
      </w:pPr>
      <w:r w:rsidRPr="00F041CA">
        <w:rPr>
          <w:rFonts w:ascii="Titillium" w:eastAsia="Arial Unicode MS" w:hAnsi="Titillium"/>
          <w:sz w:val="20"/>
          <w:szCs w:val="20"/>
        </w:rPr>
        <w:t>Depositato presso la Segreteria del Consiglio in data</w:t>
      </w:r>
      <w:r w:rsidR="008A4841">
        <w:rPr>
          <w:rFonts w:ascii="Titillium" w:eastAsia="Arial Unicode MS" w:hAnsi="Titillium"/>
          <w:sz w:val="20"/>
          <w:szCs w:val="20"/>
        </w:rPr>
        <w:t xml:space="preserve"> 4 maggio 2026</w:t>
      </w:r>
    </w:p>
    <w:p w14:paraId="3EDA7212" w14:textId="77777777" w:rsidR="00F041CA" w:rsidRDefault="00F041CA" w:rsidP="00F041CA">
      <w:pPr>
        <w:rPr>
          <w:rFonts w:ascii="Titillium" w:eastAsia="Arial Unicode MS" w:hAnsi="Titillium"/>
          <w:sz w:val="20"/>
          <w:szCs w:val="20"/>
        </w:rPr>
      </w:pPr>
      <w:r w:rsidRPr="00F041CA">
        <w:rPr>
          <w:rFonts w:ascii="Titillium" w:eastAsia="Arial Unicode MS" w:hAnsi="Titillium"/>
          <w:sz w:val="20"/>
          <w:szCs w:val="20"/>
        </w:rPr>
        <w:t>Il Segretario Valentina Angelucci</w:t>
      </w:r>
    </w:p>
    <w:p w14:paraId="124D4B9A" w14:textId="77777777" w:rsidR="008A4841" w:rsidRDefault="008A4841" w:rsidP="00F041CA">
      <w:pPr>
        <w:rPr>
          <w:rFonts w:ascii="Titillium" w:eastAsia="Arial Unicode MS" w:hAnsi="Titillium"/>
          <w:sz w:val="20"/>
          <w:szCs w:val="20"/>
        </w:rPr>
      </w:pPr>
    </w:p>
    <w:p w14:paraId="2DB4AC61" w14:textId="503392B7" w:rsidR="008A4841" w:rsidRPr="00F041CA" w:rsidRDefault="008A4841" w:rsidP="00F041CA">
      <w:pPr>
        <w:rPr>
          <w:rFonts w:ascii="Titillium" w:hAnsi="Titillium"/>
          <w:sz w:val="20"/>
          <w:szCs w:val="20"/>
        </w:rPr>
      </w:pPr>
      <w:r>
        <w:rPr>
          <w:rFonts w:ascii="Titillium" w:eastAsia="Arial Unicode MS" w:hAnsi="Titillium"/>
          <w:sz w:val="20"/>
          <w:szCs w:val="20"/>
        </w:rPr>
        <w:t>Firmato digitalmente</w:t>
      </w:r>
    </w:p>
    <w:p w14:paraId="3C0E1FF5" w14:textId="77777777" w:rsidR="00F041CA" w:rsidRDefault="00F041CA">
      <w:pPr>
        <w:spacing w:before="60" w:after="60"/>
      </w:pPr>
    </w:p>
    <w:sectPr w:rsidR="00F041CA">
      <w:type w:val="continuous"/>
      <w:pgSz w:w="11906" w:h="16838"/>
      <w:pgMar w:top="1418" w:right="1134" w:bottom="680" w:left="1548" w:header="851" w:footer="454"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87BBC" w14:textId="77777777" w:rsidR="003633B8" w:rsidRDefault="003633B8">
      <w:pPr>
        <w:spacing w:line="240" w:lineRule="auto"/>
      </w:pPr>
      <w:r>
        <w:separator/>
      </w:r>
    </w:p>
  </w:endnote>
  <w:endnote w:type="continuationSeparator" w:id="0">
    <w:p w14:paraId="40F0E20E" w14:textId="77777777" w:rsidR="003633B8" w:rsidRDefault="003633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tilium">
    <w:altName w:val="Times New Roman"/>
    <w:charset w:val="01"/>
    <w:family w:val="auto"/>
    <w:pitch w:val="default"/>
  </w:font>
  <w:font w:name="Titillium">
    <w:altName w:val="Calibri"/>
    <w:panose1 w:val="00000000000000000000"/>
    <w:charset w:val="00"/>
    <w:family w:val="modern"/>
    <w:notTrueType/>
    <w:pitch w:val="variable"/>
    <w:sig w:usb0="00000007" w:usb1="00000001" w:usb2="00000000" w:usb3="00000000" w:csb0="00000093" w:csb1="00000000"/>
  </w:font>
  <w:font w:name="Noto Sans Symbols">
    <w:altName w:val="Calibri"/>
    <w:charset w:val="00"/>
    <w:family w:val="auto"/>
    <w:pitch w:val="default"/>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0">
    <w:panose1 w:val="00000000000000000000"/>
    <w:charset w:val="00"/>
    <w:family w:val="roman"/>
    <w:notTrueType/>
    <w:pitch w:val="default"/>
  </w:font>
  <w:font w:name="Gotham Light">
    <w:altName w:val="Calibri"/>
    <w:panose1 w:val="00000000000000000000"/>
    <w:charset w:val="00"/>
    <w:family w:val="modern"/>
    <w:notTrueType/>
    <w:pitch w:val="variable"/>
    <w:sig w:usb0="A00000AF" w:usb1="50000048" w:usb2="00000000" w:usb3="00000000" w:csb0="00000111" w:csb1="00000000"/>
  </w:font>
  <w:font w:name="Gotham Book">
    <w:panose1 w:val="00000000000000000000"/>
    <w:charset w:val="00"/>
    <w:family w:val="modern"/>
    <w:notTrueType/>
    <w:pitch w:val="variable"/>
    <w:sig w:usb0="A00000AF" w:usb1="50000048" w:usb2="00000000" w:usb3="00000000" w:csb0="00000111" w:csb1="00000000"/>
  </w:font>
  <w:font w:name="Times New Roman (Corpo CS)">
    <w:altName w:val="Times New Roman"/>
    <w:panose1 w:val="00000000000000000000"/>
    <w:charset w:val="00"/>
    <w:family w:val="roman"/>
    <w:notTrueType/>
    <w:pitch w:val="default"/>
  </w:font>
  <w:font w:name="Gotham Medium">
    <w:altName w:val="Calibri"/>
    <w:charset w:val="00"/>
    <w:family w:val="auto"/>
    <w:pitch w:val="variable"/>
    <w:sig w:usb0="800000AF" w:usb1="40000048" w:usb2="00000000" w:usb3="00000000" w:csb0="0000011B" w:csb1="00000000"/>
  </w:font>
  <w:font w:name="Minion Pro">
    <w:altName w:val="Cambria"/>
    <w:panose1 w:val="00000000000000000000"/>
    <w:charset w:val="00"/>
    <w:family w:val="roman"/>
    <w:notTrueType/>
    <w:pitch w:val="variable"/>
    <w:sig w:usb0="60000287" w:usb1="00000001" w:usb2="00000000" w:usb3="00000000" w:csb0="0000019F" w:csb1="00000000"/>
  </w:font>
  <w:font w:name="OpenSymbol">
    <w:altName w:val="Segoe UI Symbol"/>
    <w:charset w:val="00"/>
    <w:family w:val="auto"/>
    <w:pitch w:val="variable"/>
    <w:sig w:usb0="800000AF" w:usb1="1001ECEA" w:usb2="00000000" w:usb3="00000000" w:csb0="80000001" w:csb1="00000000"/>
  </w:font>
  <w:font w:name="Lucida Sans">
    <w:panose1 w:val="020B0602030504020204"/>
    <w:charset w:val="00"/>
    <w:family w:val="swiss"/>
    <w:pitch w:val="variable"/>
    <w:sig w:usb0="00000003" w:usb1="00000000" w:usb2="00000000" w:usb3="00000000" w:csb0="00000001" w:csb1="00000000"/>
  </w:font>
  <w:font w:name="Book-Antiqua,Bold">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EUAlbertina">
    <w:altName w:val="Times New Roman"/>
    <w:charset w:val="00"/>
    <w:family w:val="roman"/>
    <w:pitch w:val="variable"/>
  </w:font>
  <w:font w:name="Liberation Mono">
    <w:altName w:val="Times New Roman"/>
    <w:charset w:val="00"/>
    <w:family w:val="modern"/>
    <w:pitch w:val="fixed"/>
    <w:sig w:usb0="E0000AFF" w:usb1="400078FF" w:usb2="00000001" w:usb3="00000000" w:csb0="000001B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210FF" w14:textId="55E4E7D3" w:rsidR="002D6C55" w:rsidRDefault="002D6C55">
    <w:pPr>
      <w:pStyle w:val="Pidipagina"/>
      <w:spacing w:after="100"/>
      <w:jc w:val="right"/>
    </w:pPr>
    <w:r>
      <w:rPr>
        <w:rFonts w:ascii="Titillium" w:hAnsi="Titillium"/>
        <w:sz w:val="16"/>
        <w:szCs w:val="16"/>
        <w:lang w:val="it-IT"/>
      </w:rPr>
      <w:t xml:space="preserve">Pag. </w:t>
    </w:r>
    <w:r>
      <w:rPr>
        <w:rFonts w:ascii="Titillium" w:hAnsi="Titillium"/>
        <w:b/>
        <w:bCs/>
        <w:sz w:val="16"/>
        <w:szCs w:val="16"/>
      </w:rPr>
      <w:fldChar w:fldCharType="begin"/>
    </w:r>
    <w:r>
      <w:rPr>
        <w:rFonts w:ascii="Titillium" w:hAnsi="Titillium"/>
        <w:b/>
        <w:bCs/>
        <w:sz w:val="16"/>
        <w:szCs w:val="16"/>
      </w:rPr>
      <w:instrText>PAGE</w:instrText>
    </w:r>
    <w:r>
      <w:rPr>
        <w:rFonts w:ascii="Titillium" w:hAnsi="Titillium"/>
        <w:b/>
        <w:bCs/>
        <w:sz w:val="16"/>
        <w:szCs w:val="16"/>
      </w:rPr>
      <w:fldChar w:fldCharType="separate"/>
    </w:r>
    <w:r w:rsidR="002C6CEC">
      <w:rPr>
        <w:rFonts w:ascii="Titillium" w:hAnsi="Titillium"/>
        <w:b/>
        <w:bCs/>
        <w:noProof/>
        <w:sz w:val="16"/>
        <w:szCs w:val="16"/>
      </w:rPr>
      <w:t>14</w:t>
    </w:r>
    <w:r>
      <w:rPr>
        <w:rFonts w:ascii="Titillium" w:hAnsi="Titillium"/>
        <w:b/>
        <w:bCs/>
        <w:sz w:val="16"/>
        <w:szCs w:val="16"/>
      </w:rPr>
      <w:fldChar w:fldCharType="end"/>
    </w:r>
    <w:r>
      <w:rPr>
        <w:rFonts w:ascii="Titillium" w:hAnsi="Titillium"/>
        <w:sz w:val="16"/>
        <w:szCs w:val="16"/>
        <w:lang w:val="it-IT"/>
      </w:rPr>
      <w:t xml:space="preserve"> a </w:t>
    </w:r>
    <w:r>
      <w:rPr>
        <w:rFonts w:ascii="Titillium" w:hAnsi="Titillium"/>
        <w:b/>
        <w:bCs/>
        <w:sz w:val="16"/>
        <w:szCs w:val="16"/>
      </w:rPr>
      <w:fldChar w:fldCharType="begin"/>
    </w:r>
    <w:r>
      <w:rPr>
        <w:rFonts w:ascii="Titillium" w:hAnsi="Titillium"/>
        <w:b/>
        <w:bCs/>
        <w:sz w:val="16"/>
        <w:szCs w:val="16"/>
      </w:rPr>
      <w:instrText>NUMPAGES</w:instrText>
    </w:r>
    <w:r>
      <w:rPr>
        <w:rFonts w:ascii="Titillium" w:hAnsi="Titillium"/>
        <w:b/>
        <w:bCs/>
        <w:sz w:val="16"/>
        <w:szCs w:val="16"/>
      </w:rPr>
      <w:fldChar w:fldCharType="separate"/>
    </w:r>
    <w:r w:rsidR="002C6CEC">
      <w:rPr>
        <w:rFonts w:ascii="Titillium" w:hAnsi="Titillium"/>
        <w:b/>
        <w:bCs/>
        <w:noProof/>
        <w:sz w:val="16"/>
        <w:szCs w:val="16"/>
      </w:rPr>
      <w:t>59</w:t>
    </w:r>
    <w:r>
      <w:rPr>
        <w:rFonts w:ascii="Titillium" w:hAnsi="Titillium"/>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E8999" w14:textId="77777777" w:rsidR="003633B8" w:rsidRDefault="003633B8">
      <w:pPr>
        <w:spacing w:line="240" w:lineRule="auto"/>
      </w:pPr>
      <w:r>
        <w:separator/>
      </w:r>
    </w:p>
  </w:footnote>
  <w:footnote w:type="continuationSeparator" w:id="0">
    <w:p w14:paraId="12319B9E" w14:textId="77777777" w:rsidR="003633B8" w:rsidRDefault="003633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2D900" w14:textId="77777777" w:rsidR="002D6C55" w:rsidRDefault="002D6C55">
    <w:pPr>
      <w:pStyle w:val="Intestazione"/>
      <w:spacing w:after="100"/>
    </w:pPr>
    <w:r>
      <w:rPr>
        <w:noProof/>
        <w:lang w:val="it-IT"/>
      </w:rPr>
      <w:drawing>
        <wp:anchor distT="0" distB="0" distL="114300" distR="114300" simplePos="0" relativeHeight="53" behindDoc="0" locked="0" layoutInCell="0" allowOverlap="1" wp14:anchorId="392EB7AD" wp14:editId="50493BFE">
          <wp:simplePos x="0" y="0"/>
          <wp:positionH relativeFrom="margin">
            <wp:posOffset>-426720</wp:posOffset>
          </wp:positionH>
          <wp:positionV relativeFrom="margin">
            <wp:posOffset>-490855</wp:posOffset>
          </wp:positionV>
          <wp:extent cx="2879725" cy="341630"/>
          <wp:effectExtent l="0" t="0" r="0" b="0"/>
          <wp:wrapSquare wrapText="bothSides"/>
          <wp:docPr id="86676871"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6"/>
                  <pic:cNvPicPr>
                    <a:picLocks noChangeAspect="1" noChangeArrowheads="1"/>
                  </pic:cNvPicPr>
                </pic:nvPicPr>
                <pic:blipFill>
                  <a:blip r:embed="rId1"/>
                  <a:stretch>
                    <a:fillRect/>
                  </a:stretch>
                </pic:blipFill>
                <pic:spPr bwMode="auto">
                  <a:xfrm>
                    <a:off x="0" y="0"/>
                    <a:ext cx="2879725" cy="3416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E0042"/>
    <w:multiLevelType w:val="hybridMultilevel"/>
    <w:tmpl w:val="46A81D3A"/>
    <w:lvl w:ilvl="0" w:tplc="F61AC74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C96137"/>
    <w:multiLevelType w:val="hybridMultilevel"/>
    <w:tmpl w:val="8172776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0CA67F1D"/>
    <w:multiLevelType w:val="multilevel"/>
    <w:tmpl w:val="A3E64F08"/>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D400B54"/>
    <w:multiLevelType w:val="hybridMultilevel"/>
    <w:tmpl w:val="2482E7A2"/>
    <w:lvl w:ilvl="0" w:tplc="F61AC74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E25417C"/>
    <w:multiLevelType w:val="hybridMultilevel"/>
    <w:tmpl w:val="E196C87C"/>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5" w15:restartNumberingAfterBreak="0">
    <w:nsid w:val="10525CBE"/>
    <w:multiLevelType w:val="hybridMultilevel"/>
    <w:tmpl w:val="9B4E81D8"/>
    <w:lvl w:ilvl="0" w:tplc="E0526714">
      <w:start w:val="1"/>
      <w:numFmt w:val="lowerLetter"/>
      <w:lvlText w:val="%1)"/>
      <w:lvlJc w:val="left"/>
      <w:pPr>
        <w:ind w:left="643" w:hanging="360"/>
      </w:pPr>
      <w:rPr>
        <w:rFonts w:hint="default"/>
        <w:i w:val="0"/>
        <w:iCs/>
        <w:color w:val="auto"/>
      </w:rPr>
    </w:lvl>
    <w:lvl w:ilvl="1" w:tplc="04100019" w:tentative="1">
      <w:start w:val="1"/>
      <w:numFmt w:val="lowerLetter"/>
      <w:lvlText w:val="%2."/>
      <w:lvlJc w:val="left"/>
      <w:pPr>
        <w:ind w:left="1363" w:hanging="360"/>
      </w:pPr>
    </w:lvl>
    <w:lvl w:ilvl="2" w:tplc="0410001B" w:tentative="1">
      <w:start w:val="1"/>
      <w:numFmt w:val="lowerRoman"/>
      <w:lvlText w:val="%3."/>
      <w:lvlJc w:val="right"/>
      <w:pPr>
        <w:ind w:left="2083" w:hanging="180"/>
      </w:pPr>
    </w:lvl>
    <w:lvl w:ilvl="3" w:tplc="0410000F" w:tentative="1">
      <w:start w:val="1"/>
      <w:numFmt w:val="decimal"/>
      <w:lvlText w:val="%4."/>
      <w:lvlJc w:val="left"/>
      <w:pPr>
        <w:ind w:left="2803" w:hanging="360"/>
      </w:pPr>
    </w:lvl>
    <w:lvl w:ilvl="4" w:tplc="04100019" w:tentative="1">
      <w:start w:val="1"/>
      <w:numFmt w:val="lowerLetter"/>
      <w:lvlText w:val="%5."/>
      <w:lvlJc w:val="left"/>
      <w:pPr>
        <w:ind w:left="3523" w:hanging="360"/>
      </w:pPr>
    </w:lvl>
    <w:lvl w:ilvl="5" w:tplc="0410001B" w:tentative="1">
      <w:start w:val="1"/>
      <w:numFmt w:val="lowerRoman"/>
      <w:lvlText w:val="%6."/>
      <w:lvlJc w:val="right"/>
      <w:pPr>
        <w:ind w:left="4243" w:hanging="180"/>
      </w:pPr>
    </w:lvl>
    <w:lvl w:ilvl="6" w:tplc="0410000F" w:tentative="1">
      <w:start w:val="1"/>
      <w:numFmt w:val="decimal"/>
      <w:lvlText w:val="%7."/>
      <w:lvlJc w:val="left"/>
      <w:pPr>
        <w:ind w:left="4963" w:hanging="360"/>
      </w:pPr>
    </w:lvl>
    <w:lvl w:ilvl="7" w:tplc="04100019" w:tentative="1">
      <w:start w:val="1"/>
      <w:numFmt w:val="lowerLetter"/>
      <w:lvlText w:val="%8."/>
      <w:lvlJc w:val="left"/>
      <w:pPr>
        <w:ind w:left="5683" w:hanging="360"/>
      </w:pPr>
    </w:lvl>
    <w:lvl w:ilvl="8" w:tplc="0410001B" w:tentative="1">
      <w:start w:val="1"/>
      <w:numFmt w:val="lowerRoman"/>
      <w:lvlText w:val="%9."/>
      <w:lvlJc w:val="right"/>
      <w:pPr>
        <w:ind w:left="6403" w:hanging="180"/>
      </w:pPr>
    </w:lvl>
  </w:abstractNum>
  <w:abstractNum w:abstractNumId="6" w15:restartNumberingAfterBreak="0">
    <w:nsid w:val="115E727E"/>
    <w:multiLevelType w:val="multilevel"/>
    <w:tmpl w:val="0FFA647E"/>
    <w:lvl w:ilvl="0">
      <w:start w:val="1"/>
      <w:numFmt w:val="decimal"/>
      <w:lvlText w:val="%1."/>
      <w:lvlJc w:val="left"/>
      <w:pPr>
        <w:tabs>
          <w:tab w:val="num" w:pos="0"/>
        </w:tabs>
        <w:ind w:left="720" w:hanging="360"/>
      </w:pPr>
      <w:rPr>
        <w:rFonts w:hint="default"/>
      </w:rPr>
    </w:lvl>
    <w:lvl w:ilvl="1">
      <w:start w:val="5"/>
      <w:numFmt w:val="bullet"/>
      <w:lvlText w:val="-"/>
      <w:lvlJc w:val="left"/>
      <w:pPr>
        <w:tabs>
          <w:tab w:val="num" w:pos="0"/>
        </w:tabs>
        <w:ind w:left="1440" w:hanging="360"/>
      </w:pPr>
      <w:rPr>
        <w:rFonts w:ascii="Titilium" w:hAnsi="Titilium" w:cs="Titilium" w:hint="default"/>
        <w:b/>
        <w:color w:val="auto"/>
        <w:sz w:val="18"/>
      </w:rPr>
    </w:lvl>
    <w:lvl w:ilvl="2">
      <w:start w:val="1"/>
      <w:numFmt w:val="lowerLetter"/>
      <w:lvlText w:val="%3)"/>
      <w:lvlJc w:val="left"/>
      <w:pPr>
        <w:tabs>
          <w:tab w:val="num" w:pos="567"/>
        </w:tabs>
        <w:ind w:left="927" w:hanging="360"/>
      </w:pPr>
      <w:rPr>
        <w:rFonts w:ascii="Titillium" w:eastAsia="Times New Roman" w:hAnsi="Titillium" w:hint="default"/>
        <w:i w:val="0"/>
        <w:strike w:val="0"/>
        <w:color w:val="auto"/>
        <w:sz w:val="18"/>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7" w15:restartNumberingAfterBreak="0">
    <w:nsid w:val="140F31E7"/>
    <w:multiLevelType w:val="multilevel"/>
    <w:tmpl w:val="63EE4040"/>
    <w:lvl w:ilvl="0">
      <w:start w:val="1"/>
      <w:numFmt w:val="none"/>
      <w:suff w:val="nothing"/>
      <w:lvlText w:val=""/>
      <w:lvlJc w:val="left"/>
      <w:pPr>
        <w:tabs>
          <w:tab w:val="num" w:pos="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501"/>
        </w:tabs>
        <w:ind w:left="501" w:hanging="360"/>
      </w:pPr>
      <w:rPr>
        <w:rFonts w:ascii="Titillium" w:hAnsi="Titillium"/>
        <w:sz w:val="18"/>
        <w:szCs w:val="1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56F0AC2"/>
    <w:multiLevelType w:val="hybridMultilevel"/>
    <w:tmpl w:val="DAD6E408"/>
    <w:lvl w:ilvl="0" w:tplc="F61AC74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6660EC9"/>
    <w:multiLevelType w:val="multilevel"/>
    <w:tmpl w:val="F3A4A45A"/>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sz w:val="24"/>
        <w:szCs w:val="24"/>
      </w:rPr>
    </w:lvl>
    <w:lvl w:ilvl="2">
      <w:start w:val="1"/>
      <w:numFmt w:val="lowerLetter"/>
      <w:lvlText w:val="%3)"/>
      <w:lvlJc w:val="left"/>
      <w:pPr>
        <w:tabs>
          <w:tab w:val="num" w:pos="0"/>
        </w:tabs>
        <w:ind w:left="4049" w:hanging="504"/>
      </w:pPr>
      <w:rPr>
        <w:b w:val="0"/>
        <w:i w:val="0"/>
        <w:strike w:val="0"/>
        <w:dstrike w:val="0"/>
        <w:sz w:val="18"/>
        <w:szCs w:val="18"/>
      </w:rPr>
    </w:lvl>
    <w:lvl w:ilvl="3">
      <w:start w:val="1"/>
      <w:numFmt w:val="decimal"/>
      <w:lvlText w:val="%1.%2.%3.%4."/>
      <w:lvlJc w:val="left"/>
      <w:pPr>
        <w:tabs>
          <w:tab w:val="num" w:pos="0"/>
        </w:tabs>
        <w:ind w:left="932" w:hanging="648"/>
      </w:pPr>
      <w:rPr>
        <w:b w:val="0"/>
        <w:strike w:val="0"/>
        <w:dstrike w:val="0"/>
        <w:color w:val="auto"/>
        <w:sz w:val="24"/>
        <w:szCs w:val="24"/>
      </w:rPr>
    </w:lvl>
    <w:lvl w:ilvl="4">
      <w:start w:val="1"/>
      <w:numFmt w:val="decimal"/>
      <w:lvlText w:val="%1.%2.%3.%4.%5."/>
      <w:lvlJc w:val="left"/>
      <w:pPr>
        <w:tabs>
          <w:tab w:val="num" w:pos="0"/>
        </w:tabs>
        <w:ind w:left="2069"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16881FC5"/>
    <w:multiLevelType w:val="multilevel"/>
    <w:tmpl w:val="D43241E4"/>
    <w:lvl w:ilvl="0">
      <w:start w:val="1"/>
      <w:numFmt w:val="decimal"/>
      <w:lvlText w:val="%1."/>
      <w:lvlJc w:val="left"/>
      <w:pPr>
        <w:tabs>
          <w:tab w:val="num" w:pos="0"/>
        </w:tabs>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Letter"/>
      <w:lvlText w:val="%3)"/>
      <w:lvlJc w:val="left"/>
      <w:pPr>
        <w:tabs>
          <w:tab w:val="num" w:pos="567"/>
        </w:tabs>
        <w:ind w:left="927" w:hanging="360"/>
      </w:pPr>
      <w:rPr>
        <w:rFonts w:ascii="Titillium" w:eastAsia="Times New Roman" w:hAnsi="Titillium" w:hint="default"/>
        <w:i w:val="0"/>
        <w:color w:val="auto"/>
        <w:sz w:val="18"/>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1" w15:restartNumberingAfterBreak="0">
    <w:nsid w:val="19410406"/>
    <w:multiLevelType w:val="multilevel"/>
    <w:tmpl w:val="043E293A"/>
    <w:lvl w:ilvl="0">
      <w:start w:val="1"/>
      <w:numFmt w:val="bullet"/>
      <w:lvlText w:val="▪"/>
      <w:lvlJc w:val="left"/>
      <w:pPr>
        <w:tabs>
          <w:tab w:val="num" w:pos="0"/>
        </w:tabs>
        <w:ind w:left="720" w:hanging="360"/>
      </w:pPr>
      <w:rPr>
        <w:rFonts w:ascii="Noto Sans Symbols" w:hAnsi="Noto Sans Symbols" w:cs="Noto Sans Symbols" w:hint="default"/>
        <w:sz w:val="18"/>
        <w:szCs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2" w15:restartNumberingAfterBreak="0">
    <w:nsid w:val="20E94997"/>
    <w:multiLevelType w:val="hybridMultilevel"/>
    <w:tmpl w:val="2056F3E8"/>
    <w:lvl w:ilvl="0" w:tplc="A4C8015A">
      <w:start w:val="1"/>
      <w:numFmt w:val="lowerLetter"/>
      <w:lvlText w:val="%1)"/>
      <w:lvlJc w:val="left"/>
      <w:pPr>
        <w:ind w:left="780" w:hanging="42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35A615D"/>
    <w:multiLevelType w:val="multilevel"/>
    <w:tmpl w:val="F8A8E71A"/>
    <w:lvl w:ilvl="0">
      <w:start w:val="7"/>
      <w:numFmt w:val="lowerLetter"/>
      <w:lvlText w:val="%1)"/>
      <w:lvlJc w:val="left"/>
      <w:pPr>
        <w:tabs>
          <w:tab w:val="num" w:pos="360"/>
        </w:tabs>
        <w:ind w:left="360" w:hanging="360"/>
      </w:pPr>
      <w:rPr>
        <w:sz w:val="18"/>
        <w:szCs w:val="18"/>
      </w:r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240"/>
        </w:tabs>
        <w:ind w:left="3240" w:hanging="360"/>
      </w:pPr>
    </w:lvl>
  </w:abstractNum>
  <w:abstractNum w:abstractNumId="14" w15:restartNumberingAfterBreak="0">
    <w:nsid w:val="238F69D2"/>
    <w:multiLevelType w:val="multilevel"/>
    <w:tmpl w:val="CE145888"/>
    <w:lvl w:ilvl="0">
      <w:start w:val="1"/>
      <w:numFmt w:val="lowerRoman"/>
      <w:lvlText w:val="%1."/>
      <w:lvlJc w:val="right"/>
      <w:pPr>
        <w:tabs>
          <w:tab w:val="num" w:pos="0"/>
        </w:tabs>
        <w:ind w:left="1637" w:hanging="360"/>
      </w:pPr>
      <w:rPr>
        <w:rFonts w:ascii="Titillium" w:hAnsi="Titillium"/>
        <w:b/>
        <w:color w:val="000000"/>
        <w:sz w:val="18"/>
        <w:szCs w:val="18"/>
      </w:rPr>
    </w:lvl>
    <w:lvl w:ilvl="1">
      <w:start w:val="1"/>
      <w:numFmt w:val="lowerLetter"/>
      <w:lvlText w:val="%2."/>
      <w:lvlJc w:val="left"/>
      <w:pPr>
        <w:tabs>
          <w:tab w:val="num" w:pos="0"/>
        </w:tabs>
        <w:ind w:left="2961" w:hanging="360"/>
      </w:pPr>
    </w:lvl>
    <w:lvl w:ilvl="2">
      <w:start w:val="1"/>
      <w:numFmt w:val="lowerRoman"/>
      <w:lvlText w:val="%3."/>
      <w:lvlJc w:val="right"/>
      <w:pPr>
        <w:tabs>
          <w:tab w:val="num" w:pos="0"/>
        </w:tabs>
        <w:ind w:left="3681" w:hanging="180"/>
      </w:pPr>
    </w:lvl>
    <w:lvl w:ilvl="3">
      <w:start w:val="1"/>
      <w:numFmt w:val="decimal"/>
      <w:lvlText w:val="%4."/>
      <w:lvlJc w:val="left"/>
      <w:pPr>
        <w:tabs>
          <w:tab w:val="num" w:pos="0"/>
        </w:tabs>
        <w:ind w:left="4401" w:hanging="360"/>
      </w:pPr>
    </w:lvl>
    <w:lvl w:ilvl="4">
      <w:start w:val="1"/>
      <w:numFmt w:val="lowerLetter"/>
      <w:lvlText w:val="%5."/>
      <w:lvlJc w:val="left"/>
      <w:pPr>
        <w:tabs>
          <w:tab w:val="num" w:pos="0"/>
        </w:tabs>
        <w:ind w:left="5121" w:hanging="360"/>
      </w:pPr>
    </w:lvl>
    <w:lvl w:ilvl="5">
      <w:start w:val="1"/>
      <w:numFmt w:val="lowerRoman"/>
      <w:lvlText w:val="%6."/>
      <w:lvlJc w:val="right"/>
      <w:pPr>
        <w:tabs>
          <w:tab w:val="num" w:pos="0"/>
        </w:tabs>
        <w:ind w:left="5841" w:hanging="180"/>
      </w:pPr>
    </w:lvl>
    <w:lvl w:ilvl="6">
      <w:start w:val="1"/>
      <w:numFmt w:val="decimal"/>
      <w:lvlText w:val="%7."/>
      <w:lvlJc w:val="left"/>
      <w:pPr>
        <w:tabs>
          <w:tab w:val="num" w:pos="0"/>
        </w:tabs>
        <w:ind w:left="6561" w:hanging="360"/>
      </w:pPr>
    </w:lvl>
    <w:lvl w:ilvl="7">
      <w:start w:val="1"/>
      <w:numFmt w:val="lowerLetter"/>
      <w:lvlText w:val="%8."/>
      <w:lvlJc w:val="left"/>
      <w:pPr>
        <w:tabs>
          <w:tab w:val="num" w:pos="0"/>
        </w:tabs>
        <w:ind w:left="7281" w:hanging="360"/>
      </w:pPr>
    </w:lvl>
    <w:lvl w:ilvl="8">
      <w:start w:val="1"/>
      <w:numFmt w:val="lowerRoman"/>
      <w:lvlText w:val="%9."/>
      <w:lvlJc w:val="right"/>
      <w:pPr>
        <w:tabs>
          <w:tab w:val="num" w:pos="0"/>
        </w:tabs>
        <w:ind w:left="8001" w:hanging="180"/>
      </w:pPr>
    </w:lvl>
  </w:abstractNum>
  <w:abstractNum w:abstractNumId="15" w15:restartNumberingAfterBreak="0">
    <w:nsid w:val="26024A94"/>
    <w:multiLevelType w:val="multilevel"/>
    <w:tmpl w:val="BDC015AA"/>
    <w:lvl w:ilvl="0">
      <w:start w:val="1"/>
      <w:numFmt w:val="decimal"/>
      <w:lvlText w:val="%1."/>
      <w:lvlJc w:val="left"/>
      <w:pPr>
        <w:tabs>
          <w:tab w:val="num" w:pos="0"/>
        </w:tabs>
        <w:ind w:left="360" w:hanging="360"/>
      </w:pPr>
    </w:lvl>
    <w:lvl w:ilvl="1">
      <w:start w:val="1"/>
      <w:numFmt w:val="lowerLetter"/>
      <w:lvlText w:val="%1.%2)"/>
      <w:lvlJc w:val="left"/>
      <w:pPr>
        <w:tabs>
          <w:tab w:val="num" w:pos="0"/>
        </w:tabs>
        <w:ind w:left="792" w:hanging="432"/>
      </w:pPr>
    </w:lvl>
    <w:lvl w:ilvl="2">
      <w:start w:val="1"/>
      <w:numFmt w:val="decimal"/>
      <w:lvlText w:val="%1.%2.%3."/>
      <w:lvlJc w:val="left"/>
      <w:pPr>
        <w:tabs>
          <w:tab w:val="num" w:pos="0"/>
        </w:tabs>
        <w:ind w:left="1497" w:hanging="504"/>
      </w:pPr>
      <w:rPr>
        <w:b w:val="0"/>
        <w:i w:val="0"/>
        <w:strike w:val="0"/>
        <w:dstrike w:val="0"/>
        <w:sz w:val="24"/>
        <w:szCs w:val="24"/>
      </w:rPr>
    </w:lvl>
    <w:lvl w:ilvl="3">
      <w:start w:val="1"/>
      <w:numFmt w:val="lowerLetter"/>
      <w:lvlText w:val="%4."/>
      <w:lvlJc w:val="left"/>
      <w:pPr>
        <w:tabs>
          <w:tab w:val="num" w:pos="0"/>
        </w:tabs>
        <w:ind w:left="932" w:hanging="648"/>
      </w:pPr>
      <w:rPr>
        <w:rFonts w:ascii="Titillium" w:hAnsi="Titillium"/>
        <w:b w:val="0"/>
        <w:strike w:val="0"/>
        <w:dstrike w:val="0"/>
        <w:color w:val="auto"/>
        <w:sz w:val="18"/>
        <w:szCs w:val="18"/>
      </w:rPr>
    </w:lvl>
    <w:lvl w:ilvl="4">
      <w:start w:val="1"/>
      <w:numFmt w:val="decimal"/>
      <w:lvlText w:val="%1.%2.%3.%4.%5."/>
      <w:lvlJc w:val="left"/>
      <w:pPr>
        <w:tabs>
          <w:tab w:val="num" w:pos="0"/>
        </w:tabs>
        <w:ind w:left="2069"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2EC565FE"/>
    <w:multiLevelType w:val="multilevel"/>
    <w:tmpl w:val="28EC4788"/>
    <w:lvl w:ilvl="0">
      <w:start w:val="1"/>
      <w:numFmt w:val="bullet"/>
      <w:lvlText w:val="-"/>
      <w:lvlJc w:val="left"/>
      <w:pPr>
        <w:tabs>
          <w:tab w:val="num" w:pos="0"/>
        </w:tabs>
        <w:ind w:left="720" w:hanging="360"/>
      </w:pPr>
      <w:rPr>
        <w:rFonts w:ascii="Garamond" w:hAnsi="Garamond" w:cs="Garamond" w:hint="default"/>
        <w:b/>
        <w:i w:val="0"/>
        <w:sz w:val="1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31357166"/>
    <w:multiLevelType w:val="hybridMultilevel"/>
    <w:tmpl w:val="3904CF0A"/>
    <w:lvl w:ilvl="0" w:tplc="F274040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51A65FE"/>
    <w:multiLevelType w:val="multilevel"/>
    <w:tmpl w:val="20E2CABC"/>
    <w:lvl w:ilvl="0">
      <w:start w:val="1"/>
      <w:numFmt w:val="bullet"/>
      <w:lvlText w:val="-"/>
      <w:lvlJc w:val="left"/>
      <w:pPr>
        <w:tabs>
          <w:tab w:val="num" w:pos="-60"/>
        </w:tabs>
        <w:ind w:left="360" w:hanging="360"/>
      </w:pPr>
      <w:rPr>
        <w:rFonts w:ascii="Garamond" w:hAnsi="Garamond" w:cs="Garamond" w:hint="default"/>
        <w:sz w:val="18"/>
      </w:rPr>
    </w:lvl>
    <w:lvl w:ilvl="1">
      <w:start w:val="1"/>
      <w:numFmt w:val="bullet"/>
      <w:lvlText w:val="o"/>
      <w:lvlJc w:val="left"/>
      <w:pPr>
        <w:tabs>
          <w:tab w:val="num" w:pos="0"/>
        </w:tabs>
        <w:ind w:left="1140" w:hanging="360"/>
      </w:pPr>
      <w:rPr>
        <w:rFonts w:ascii="Courier New" w:hAnsi="Courier New" w:cs="Courier New" w:hint="default"/>
      </w:rPr>
    </w:lvl>
    <w:lvl w:ilvl="2">
      <w:start w:val="1"/>
      <w:numFmt w:val="bullet"/>
      <w:lvlText w:val=""/>
      <w:lvlJc w:val="left"/>
      <w:pPr>
        <w:tabs>
          <w:tab w:val="num" w:pos="0"/>
        </w:tabs>
        <w:ind w:left="1860" w:hanging="360"/>
      </w:pPr>
      <w:rPr>
        <w:rFonts w:ascii="Wingdings" w:hAnsi="Wingdings" w:cs="Wingdings" w:hint="default"/>
      </w:rPr>
    </w:lvl>
    <w:lvl w:ilvl="3">
      <w:start w:val="1"/>
      <w:numFmt w:val="bullet"/>
      <w:lvlText w:val=""/>
      <w:lvlJc w:val="left"/>
      <w:pPr>
        <w:tabs>
          <w:tab w:val="num" w:pos="0"/>
        </w:tabs>
        <w:ind w:left="2580" w:hanging="360"/>
      </w:pPr>
      <w:rPr>
        <w:rFonts w:ascii="Symbol" w:hAnsi="Symbol" w:cs="Symbol" w:hint="default"/>
      </w:rPr>
    </w:lvl>
    <w:lvl w:ilvl="4">
      <w:start w:val="1"/>
      <w:numFmt w:val="bullet"/>
      <w:lvlText w:val="o"/>
      <w:lvlJc w:val="left"/>
      <w:pPr>
        <w:tabs>
          <w:tab w:val="num" w:pos="0"/>
        </w:tabs>
        <w:ind w:left="3300" w:hanging="360"/>
      </w:pPr>
      <w:rPr>
        <w:rFonts w:ascii="Courier New" w:hAnsi="Courier New" w:cs="Courier New" w:hint="default"/>
      </w:rPr>
    </w:lvl>
    <w:lvl w:ilvl="5">
      <w:start w:val="1"/>
      <w:numFmt w:val="bullet"/>
      <w:lvlText w:val=""/>
      <w:lvlJc w:val="left"/>
      <w:pPr>
        <w:tabs>
          <w:tab w:val="num" w:pos="0"/>
        </w:tabs>
        <w:ind w:left="4020" w:hanging="360"/>
      </w:pPr>
      <w:rPr>
        <w:rFonts w:ascii="Wingdings" w:hAnsi="Wingdings" w:cs="Wingdings" w:hint="default"/>
      </w:rPr>
    </w:lvl>
    <w:lvl w:ilvl="6">
      <w:start w:val="1"/>
      <w:numFmt w:val="bullet"/>
      <w:lvlText w:val=""/>
      <w:lvlJc w:val="left"/>
      <w:pPr>
        <w:tabs>
          <w:tab w:val="num" w:pos="0"/>
        </w:tabs>
        <w:ind w:left="4740" w:hanging="360"/>
      </w:pPr>
      <w:rPr>
        <w:rFonts w:ascii="Symbol" w:hAnsi="Symbol" w:cs="Symbol" w:hint="default"/>
      </w:rPr>
    </w:lvl>
    <w:lvl w:ilvl="7">
      <w:start w:val="1"/>
      <w:numFmt w:val="bullet"/>
      <w:lvlText w:val="o"/>
      <w:lvlJc w:val="left"/>
      <w:pPr>
        <w:tabs>
          <w:tab w:val="num" w:pos="0"/>
        </w:tabs>
        <w:ind w:left="5460" w:hanging="360"/>
      </w:pPr>
      <w:rPr>
        <w:rFonts w:ascii="Courier New" w:hAnsi="Courier New" w:cs="Courier New" w:hint="default"/>
      </w:rPr>
    </w:lvl>
    <w:lvl w:ilvl="8">
      <w:start w:val="1"/>
      <w:numFmt w:val="bullet"/>
      <w:lvlText w:val=""/>
      <w:lvlJc w:val="left"/>
      <w:pPr>
        <w:tabs>
          <w:tab w:val="num" w:pos="0"/>
        </w:tabs>
        <w:ind w:left="6180" w:hanging="360"/>
      </w:pPr>
      <w:rPr>
        <w:rFonts w:ascii="Wingdings" w:hAnsi="Wingdings" w:cs="Wingdings" w:hint="default"/>
      </w:rPr>
    </w:lvl>
  </w:abstractNum>
  <w:abstractNum w:abstractNumId="19" w15:restartNumberingAfterBreak="0">
    <w:nsid w:val="3AA5191B"/>
    <w:multiLevelType w:val="hybridMultilevel"/>
    <w:tmpl w:val="B4F0CB28"/>
    <w:lvl w:ilvl="0" w:tplc="04100001">
      <w:start w:val="1"/>
      <w:numFmt w:val="bullet"/>
      <w:lvlText w:val=""/>
      <w:lvlJc w:val="left"/>
      <w:pPr>
        <w:ind w:left="1506" w:hanging="360"/>
      </w:pPr>
      <w:rPr>
        <w:rFonts w:ascii="Symbol" w:hAnsi="Symbol" w:hint="default"/>
      </w:rPr>
    </w:lvl>
    <w:lvl w:ilvl="1" w:tplc="04100003" w:tentative="1">
      <w:start w:val="1"/>
      <w:numFmt w:val="bullet"/>
      <w:lvlText w:val="o"/>
      <w:lvlJc w:val="left"/>
      <w:pPr>
        <w:ind w:left="2226" w:hanging="360"/>
      </w:pPr>
      <w:rPr>
        <w:rFonts w:ascii="Courier New" w:hAnsi="Courier New" w:cs="Courier New" w:hint="default"/>
      </w:rPr>
    </w:lvl>
    <w:lvl w:ilvl="2" w:tplc="04100005" w:tentative="1">
      <w:start w:val="1"/>
      <w:numFmt w:val="bullet"/>
      <w:lvlText w:val=""/>
      <w:lvlJc w:val="left"/>
      <w:pPr>
        <w:ind w:left="2946" w:hanging="360"/>
      </w:pPr>
      <w:rPr>
        <w:rFonts w:ascii="Wingdings" w:hAnsi="Wingdings" w:hint="default"/>
      </w:rPr>
    </w:lvl>
    <w:lvl w:ilvl="3" w:tplc="04100001" w:tentative="1">
      <w:start w:val="1"/>
      <w:numFmt w:val="bullet"/>
      <w:lvlText w:val=""/>
      <w:lvlJc w:val="left"/>
      <w:pPr>
        <w:ind w:left="3666" w:hanging="360"/>
      </w:pPr>
      <w:rPr>
        <w:rFonts w:ascii="Symbol" w:hAnsi="Symbol" w:hint="default"/>
      </w:rPr>
    </w:lvl>
    <w:lvl w:ilvl="4" w:tplc="04100003" w:tentative="1">
      <w:start w:val="1"/>
      <w:numFmt w:val="bullet"/>
      <w:lvlText w:val="o"/>
      <w:lvlJc w:val="left"/>
      <w:pPr>
        <w:ind w:left="4386" w:hanging="360"/>
      </w:pPr>
      <w:rPr>
        <w:rFonts w:ascii="Courier New" w:hAnsi="Courier New" w:cs="Courier New" w:hint="default"/>
      </w:rPr>
    </w:lvl>
    <w:lvl w:ilvl="5" w:tplc="04100005" w:tentative="1">
      <w:start w:val="1"/>
      <w:numFmt w:val="bullet"/>
      <w:lvlText w:val=""/>
      <w:lvlJc w:val="left"/>
      <w:pPr>
        <w:ind w:left="5106" w:hanging="360"/>
      </w:pPr>
      <w:rPr>
        <w:rFonts w:ascii="Wingdings" w:hAnsi="Wingdings" w:hint="default"/>
      </w:rPr>
    </w:lvl>
    <w:lvl w:ilvl="6" w:tplc="04100001" w:tentative="1">
      <w:start w:val="1"/>
      <w:numFmt w:val="bullet"/>
      <w:lvlText w:val=""/>
      <w:lvlJc w:val="left"/>
      <w:pPr>
        <w:ind w:left="5826" w:hanging="360"/>
      </w:pPr>
      <w:rPr>
        <w:rFonts w:ascii="Symbol" w:hAnsi="Symbol" w:hint="default"/>
      </w:rPr>
    </w:lvl>
    <w:lvl w:ilvl="7" w:tplc="04100003" w:tentative="1">
      <w:start w:val="1"/>
      <w:numFmt w:val="bullet"/>
      <w:lvlText w:val="o"/>
      <w:lvlJc w:val="left"/>
      <w:pPr>
        <w:ind w:left="6546" w:hanging="360"/>
      </w:pPr>
      <w:rPr>
        <w:rFonts w:ascii="Courier New" w:hAnsi="Courier New" w:cs="Courier New" w:hint="default"/>
      </w:rPr>
    </w:lvl>
    <w:lvl w:ilvl="8" w:tplc="04100005" w:tentative="1">
      <w:start w:val="1"/>
      <w:numFmt w:val="bullet"/>
      <w:lvlText w:val=""/>
      <w:lvlJc w:val="left"/>
      <w:pPr>
        <w:ind w:left="7266" w:hanging="360"/>
      </w:pPr>
      <w:rPr>
        <w:rFonts w:ascii="Wingdings" w:hAnsi="Wingdings" w:hint="default"/>
      </w:rPr>
    </w:lvl>
  </w:abstractNum>
  <w:abstractNum w:abstractNumId="20" w15:restartNumberingAfterBreak="0">
    <w:nsid w:val="3B172867"/>
    <w:multiLevelType w:val="hybridMultilevel"/>
    <w:tmpl w:val="74401CF4"/>
    <w:lvl w:ilvl="0" w:tplc="0410001B">
      <w:start w:val="1"/>
      <w:numFmt w:val="lowerRoman"/>
      <w:lvlText w:val="%1."/>
      <w:lvlJc w:val="right"/>
      <w:pPr>
        <w:ind w:left="2061"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C152C71"/>
    <w:multiLevelType w:val="hybridMultilevel"/>
    <w:tmpl w:val="63286264"/>
    <w:lvl w:ilvl="0" w:tplc="F2740408">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15:restartNumberingAfterBreak="0">
    <w:nsid w:val="3C165CE7"/>
    <w:multiLevelType w:val="hybridMultilevel"/>
    <w:tmpl w:val="A642B656"/>
    <w:lvl w:ilvl="0" w:tplc="5C12B30E">
      <w:start w:val="3"/>
      <w:numFmt w:val="lowerLetter"/>
      <w:lvlText w:val="%1."/>
      <w:lvlJc w:val="left"/>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C6956AE"/>
    <w:multiLevelType w:val="multilevel"/>
    <w:tmpl w:val="22F2EC96"/>
    <w:lvl w:ilvl="0">
      <w:start w:val="1"/>
      <w:numFmt w:val="bullet"/>
      <w:lvlText w:val="-"/>
      <w:lvlJc w:val="left"/>
      <w:pPr>
        <w:tabs>
          <w:tab w:val="num" w:pos="0"/>
        </w:tabs>
        <w:ind w:left="720" w:hanging="360"/>
      </w:pPr>
      <w:rPr>
        <w:rFonts w:ascii="Garamond" w:hAnsi="Garamond" w:cs="Garamond" w:hint="default"/>
        <w:b/>
        <w:i w:val="0"/>
        <w:sz w:val="1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3D082989"/>
    <w:multiLevelType w:val="multilevel"/>
    <w:tmpl w:val="37869E40"/>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Titilium" w:hAnsi="Titilium" w:cs="Titilium" w:hint="default"/>
        <w:b/>
        <w:color w:val="auto"/>
        <w:sz w:val="18"/>
      </w:rPr>
    </w:lvl>
    <w:lvl w:ilvl="2">
      <w:start w:val="1"/>
      <w:numFmt w:val="lowerLetter"/>
      <w:lvlText w:val="%3)"/>
      <w:lvlJc w:val="left"/>
      <w:pPr>
        <w:tabs>
          <w:tab w:val="num" w:pos="283"/>
        </w:tabs>
        <w:ind w:left="643" w:hanging="360"/>
      </w:pPr>
      <w:rPr>
        <w:rFonts w:ascii="Titillium" w:eastAsia="Times New Roman" w:hAnsi="Titillium"/>
        <w:i w:val="0"/>
        <w:color w:val="auto"/>
        <w:sz w:val="18"/>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40303BB6"/>
    <w:multiLevelType w:val="multilevel"/>
    <w:tmpl w:val="05864DF8"/>
    <w:lvl w:ilvl="0">
      <w:start w:val="1"/>
      <w:numFmt w:val="bullet"/>
      <w:lvlText w:val="-"/>
      <w:lvlJc w:val="left"/>
      <w:pPr>
        <w:tabs>
          <w:tab w:val="num" w:pos="0"/>
        </w:tabs>
        <w:ind w:left="720" w:hanging="360"/>
      </w:pPr>
      <w:rPr>
        <w:rFonts w:ascii="Garamond" w:hAnsi="Garamond" w:cs="Garamond" w:hint="default"/>
        <w:b/>
        <w:i w:val="0"/>
        <w:sz w:val="1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o"/>
      <w:lvlJc w:val="left"/>
      <w:pPr>
        <w:tabs>
          <w:tab w:val="num" w:pos="0"/>
        </w:tabs>
        <w:ind w:left="3600" w:hanging="360"/>
      </w:pPr>
      <w:rPr>
        <w:rFonts w:ascii="Courier New" w:hAnsi="Courier New" w:cs="Courier New" w:hint="default"/>
      </w:rPr>
    </w:lvl>
    <w:lvl w:ilvl="3">
      <w:start w:val="1"/>
      <w:numFmt w:val="bullet"/>
      <w:lvlText w:val="o"/>
      <w:lvlJc w:val="left"/>
      <w:pPr>
        <w:tabs>
          <w:tab w:val="num" w:pos="0"/>
        </w:tabs>
        <w:ind w:left="5760" w:hanging="360"/>
      </w:pPr>
      <w:rPr>
        <w:rFonts w:ascii="Courier New" w:hAnsi="Courier New" w:cs="Courier New"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413D029D"/>
    <w:multiLevelType w:val="multilevel"/>
    <w:tmpl w:val="FFC4BDF6"/>
    <w:lvl w:ilvl="0">
      <w:start w:val="1"/>
      <w:numFmt w:val="lowerLetter"/>
      <w:lvlText w:val="%1)"/>
      <w:lvlJc w:val="left"/>
      <w:pPr>
        <w:tabs>
          <w:tab w:val="num" w:pos="0"/>
        </w:tabs>
        <w:ind w:left="1146" w:hanging="360"/>
      </w:pPr>
      <w:rPr>
        <w:rFonts w:ascii="Titillium" w:hAnsi="Titillium"/>
        <w:sz w:val="18"/>
        <w:szCs w:val="18"/>
      </w:r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27" w15:restartNumberingAfterBreak="0">
    <w:nsid w:val="44E84C6A"/>
    <w:multiLevelType w:val="multilevel"/>
    <w:tmpl w:val="8FFC50B2"/>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8" w15:restartNumberingAfterBreak="0">
    <w:nsid w:val="44EB214F"/>
    <w:multiLevelType w:val="hybridMultilevel"/>
    <w:tmpl w:val="357E877C"/>
    <w:lvl w:ilvl="0" w:tplc="04100019">
      <w:start w:val="1"/>
      <w:numFmt w:val="lowerLetter"/>
      <w:lvlText w:val="%1."/>
      <w:lvlJc w:val="left"/>
      <w:pPr>
        <w:ind w:left="1080" w:hanging="360"/>
      </w:p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9" w15:restartNumberingAfterBreak="0">
    <w:nsid w:val="466C571C"/>
    <w:multiLevelType w:val="multilevel"/>
    <w:tmpl w:val="3FA8655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4C4D66D3"/>
    <w:multiLevelType w:val="multilevel"/>
    <w:tmpl w:val="F0A23A6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4DB42CEF"/>
    <w:multiLevelType w:val="multilevel"/>
    <w:tmpl w:val="79B6A03C"/>
    <w:lvl w:ilvl="0">
      <w:start w:val="1"/>
      <w:numFmt w:val="decimal"/>
      <w:lvlText w:val="%1."/>
      <w:lvlJc w:val="left"/>
      <w:pPr>
        <w:tabs>
          <w:tab w:val="num" w:pos="425"/>
        </w:tabs>
        <w:ind w:left="785" w:hanging="360"/>
      </w:pPr>
      <w:rPr>
        <w:rFonts w:ascii="Titillium" w:hAnsi="Titillium"/>
        <w:b/>
        <w:i w:val="0"/>
        <w:strike w:val="0"/>
        <w:color w:val="000000" w:themeColor="text1"/>
        <w:sz w:val="18"/>
        <w:szCs w:val="18"/>
      </w:rPr>
    </w:lvl>
    <w:lvl w:ilvl="1">
      <w:start w:val="1"/>
      <w:numFmt w:val="decimal"/>
      <w:lvlText w:val="%1.%2."/>
      <w:lvlJc w:val="left"/>
      <w:pPr>
        <w:tabs>
          <w:tab w:val="num" w:pos="-284"/>
        </w:tabs>
        <w:ind w:left="574" w:hanging="432"/>
      </w:pPr>
      <w:rPr>
        <w:rFonts w:ascii="Titillium" w:hAnsi="Titillium"/>
        <w:strike w:val="0"/>
        <w:color w:val="000000" w:themeColor="text1"/>
        <w:sz w:val="18"/>
        <w:szCs w:val="18"/>
      </w:rPr>
    </w:lvl>
    <w:lvl w:ilvl="2">
      <w:start w:val="1"/>
      <w:numFmt w:val="decimal"/>
      <w:lvlText w:val="%1.%2.%3."/>
      <w:lvlJc w:val="left"/>
      <w:pPr>
        <w:tabs>
          <w:tab w:val="num" w:pos="141"/>
        </w:tabs>
        <w:ind w:left="1365" w:hanging="504"/>
      </w:pPr>
      <w:rPr>
        <w:b/>
      </w:rPr>
    </w:lvl>
    <w:lvl w:ilvl="3">
      <w:start w:val="1"/>
      <w:numFmt w:val="decimal"/>
      <w:lvlText w:val="%1.%2.%3.%4."/>
      <w:lvlJc w:val="left"/>
      <w:pPr>
        <w:tabs>
          <w:tab w:val="num" w:pos="141"/>
        </w:tabs>
        <w:ind w:left="1869" w:hanging="648"/>
      </w:pPr>
    </w:lvl>
    <w:lvl w:ilvl="4">
      <w:start w:val="1"/>
      <w:numFmt w:val="decimal"/>
      <w:lvlText w:val="%1.%2.%3.%4.%5."/>
      <w:lvlJc w:val="left"/>
      <w:pPr>
        <w:tabs>
          <w:tab w:val="num" w:pos="141"/>
        </w:tabs>
        <w:ind w:left="2373" w:hanging="792"/>
      </w:pPr>
    </w:lvl>
    <w:lvl w:ilvl="5">
      <w:start w:val="1"/>
      <w:numFmt w:val="decimal"/>
      <w:lvlText w:val="%1.%2.%3.%4.%5.%6."/>
      <w:lvlJc w:val="left"/>
      <w:pPr>
        <w:tabs>
          <w:tab w:val="num" w:pos="141"/>
        </w:tabs>
        <w:ind w:left="2877" w:hanging="936"/>
      </w:pPr>
    </w:lvl>
    <w:lvl w:ilvl="6">
      <w:start w:val="1"/>
      <w:numFmt w:val="decimal"/>
      <w:lvlText w:val="%1.%2.%3.%4.%5.%6.%7."/>
      <w:lvlJc w:val="left"/>
      <w:pPr>
        <w:tabs>
          <w:tab w:val="num" w:pos="141"/>
        </w:tabs>
        <w:ind w:left="3381" w:hanging="1080"/>
      </w:pPr>
    </w:lvl>
    <w:lvl w:ilvl="7">
      <w:start w:val="1"/>
      <w:numFmt w:val="decimal"/>
      <w:lvlText w:val="%1.%2.%3.%4.%5.%6.%7.%8."/>
      <w:lvlJc w:val="left"/>
      <w:pPr>
        <w:tabs>
          <w:tab w:val="num" w:pos="141"/>
        </w:tabs>
        <w:ind w:left="3885" w:hanging="1224"/>
      </w:pPr>
    </w:lvl>
    <w:lvl w:ilvl="8">
      <w:start w:val="1"/>
      <w:numFmt w:val="decimal"/>
      <w:lvlText w:val="%1.%2.%3.%4.%5.%6.%7.%8.%9."/>
      <w:lvlJc w:val="left"/>
      <w:pPr>
        <w:tabs>
          <w:tab w:val="num" w:pos="141"/>
        </w:tabs>
        <w:ind w:left="4461" w:hanging="1440"/>
      </w:pPr>
    </w:lvl>
  </w:abstractNum>
  <w:abstractNum w:abstractNumId="32" w15:restartNumberingAfterBreak="0">
    <w:nsid w:val="4E3A5864"/>
    <w:multiLevelType w:val="multilevel"/>
    <w:tmpl w:val="AB4E4AFA"/>
    <w:lvl w:ilvl="0">
      <w:start w:val="1"/>
      <w:numFmt w:val="decimal"/>
      <w:lvlText w:val="%1)"/>
      <w:lvlJc w:val="left"/>
      <w:pPr>
        <w:tabs>
          <w:tab w:val="num" w:pos="0"/>
        </w:tabs>
        <w:ind w:left="720" w:hanging="360"/>
      </w:pPr>
      <w:rPr>
        <w:rFonts w:ascii="Titillium" w:hAnsi="Titillium"/>
        <w:b w:val="0"/>
        <w:i w:val="0"/>
        <w:color w:val="auto"/>
        <w:sz w:val="18"/>
        <w:szCs w:val="1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52D62EC7"/>
    <w:multiLevelType w:val="multilevel"/>
    <w:tmpl w:val="99BC599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6B23339"/>
    <w:multiLevelType w:val="multilevel"/>
    <w:tmpl w:val="BB58A6E6"/>
    <w:lvl w:ilvl="0">
      <w:start w:val="1"/>
      <w:numFmt w:val="lowerLetter"/>
      <w:lvlText w:val="%1)"/>
      <w:lvlJc w:val="left"/>
      <w:pPr>
        <w:tabs>
          <w:tab w:val="num" w:pos="0"/>
        </w:tabs>
        <w:ind w:left="1146" w:hanging="360"/>
      </w:pPr>
    </w:lvl>
    <w:lvl w:ilvl="1">
      <w:start w:val="1"/>
      <w:numFmt w:val="bullet"/>
      <w:lvlText w:val=""/>
      <w:lvlJc w:val="left"/>
      <w:pPr>
        <w:tabs>
          <w:tab w:val="num" w:pos="0"/>
        </w:tabs>
        <w:ind w:left="862" w:hanging="360"/>
      </w:pPr>
      <w:rPr>
        <w:rFonts w:ascii="Symbol" w:hAnsi="Symbol" w:cs="Symbol" w:hint="default"/>
        <w:sz w:val="18"/>
      </w:r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35" w15:restartNumberingAfterBreak="0">
    <w:nsid w:val="56F94F6D"/>
    <w:multiLevelType w:val="multilevel"/>
    <w:tmpl w:val="B440951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B952EA1"/>
    <w:multiLevelType w:val="hybridMultilevel"/>
    <w:tmpl w:val="0390EA04"/>
    <w:lvl w:ilvl="0" w:tplc="F61AC74C">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7" w15:restartNumberingAfterBreak="0">
    <w:nsid w:val="5F8C51C0"/>
    <w:multiLevelType w:val="hybridMultilevel"/>
    <w:tmpl w:val="DC543B1C"/>
    <w:lvl w:ilvl="0" w:tplc="71403306">
      <w:start w:val="4"/>
      <w:numFmt w:val="lowerLetter"/>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FAD3059"/>
    <w:multiLevelType w:val="multilevel"/>
    <w:tmpl w:val="E8C2DE84"/>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12465E8"/>
    <w:multiLevelType w:val="multilevel"/>
    <w:tmpl w:val="73C47F14"/>
    <w:lvl w:ilvl="0">
      <w:start w:val="1"/>
      <w:numFmt w:val="bullet"/>
      <w:lvlText w:val=""/>
      <w:lvlJc w:val="left"/>
      <w:pPr>
        <w:tabs>
          <w:tab w:val="num" w:pos="0"/>
        </w:tabs>
        <w:ind w:left="720" w:hanging="360"/>
      </w:pPr>
      <w:rPr>
        <w:rFonts w:ascii="Symbol" w:hAnsi="Symbol" w:cs="Symbol" w:hint="default"/>
        <w:sz w:val="1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68722A03"/>
    <w:multiLevelType w:val="hybridMultilevel"/>
    <w:tmpl w:val="58DA24FA"/>
    <w:lvl w:ilvl="0" w:tplc="0410000F">
      <w:start w:val="1"/>
      <w:numFmt w:val="decimal"/>
      <w:lvlText w:val="%1."/>
      <w:lvlJc w:val="left"/>
      <w:pPr>
        <w:ind w:left="720" w:hanging="360"/>
      </w:pPr>
    </w:lvl>
    <w:lvl w:ilvl="1" w:tplc="F0F23552">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8751992"/>
    <w:multiLevelType w:val="hybridMultilevel"/>
    <w:tmpl w:val="751AE130"/>
    <w:lvl w:ilvl="0" w:tplc="E1400174">
      <w:start w:val="1"/>
      <w:numFmt w:val="lowerLetter"/>
      <w:lvlText w:val="%1)"/>
      <w:lvlJc w:val="left"/>
      <w:pPr>
        <w:ind w:left="720" w:hanging="360"/>
      </w:pPr>
      <w:rPr>
        <w:rFonts w:ascii="Titillium" w:hAnsi="Titillium" w:cs="Times New Roman" w:hint="default"/>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A5D4027"/>
    <w:multiLevelType w:val="multilevel"/>
    <w:tmpl w:val="CA56E224"/>
    <w:lvl w:ilvl="0">
      <w:start w:val="1"/>
      <w:numFmt w:val="bullet"/>
      <w:lvlText w:val=""/>
      <w:lvlJc w:val="left"/>
      <w:pPr>
        <w:tabs>
          <w:tab w:val="num" w:pos="0"/>
        </w:tabs>
        <w:ind w:left="720" w:hanging="360"/>
      </w:pPr>
      <w:rPr>
        <w:rFonts w:ascii="Symbol" w:hAnsi="Symbol" w:cs="Symbol" w:hint="default"/>
        <w:sz w:val="1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15:restartNumberingAfterBreak="0">
    <w:nsid w:val="6C4724E9"/>
    <w:multiLevelType w:val="multilevel"/>
    <w:tmpl w:val="5274A8E0"/>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sz w:val="24"/>
        <w:szCs w:val="24"/>
      </w:rPr>
    </w:lvl>
    <w:lvl w:ilvl="2">
      <w:start w:val="1"/>
      <w:numFmt w:val="decimal"/>
      <w:lvlText w:val="%1.%2.%3."/>
      <w:lvlJc w:val="left"/>
      <w:pPr>
        <w:tabs>
          <w:tab w:val="num" w:pos="0"/>
        </w:tabs>
        <w:ind w:left="788" w:hanging="504"/>
      </w:pPr>
      <w:rPr>
        <w:b w:val="0"/>
        <w:i w:val="0"/>
        <w:strike w:val="0"/>
        <w:dstrike w:val="0"/>
        <w:sz w:val="24"/>
        <w:szCs w:val="24"/>
      </w:rPr>
    </w:lvl>
    <w:lvl w:ilvl="3">
      <w:start w:val="1"/>
      <w:numFmt w:val="decimal"/>
      <w:lvlText w:val="%1.%2.%3.%4."/>
      <w:lvlJc w:val="left"/>
      <w:pPr>
        <w:tabs>
          <w:tab w:val="num" w:pos="0"/>
        </w:tabs>
        <w:ind w:left="932" w:hanging="648"/>
      </w:pPr>
      <w:rPr>
        <w:b w:val="0"/>
        <w:strike w:val="0"/>
        <w:dstrike w:val="0"/>
        <w:color w:val="auto"/>
        <w:sz w:val="24"/>
        <w:szCs w:val="24"/>
      </w:rPr>
    </w:lvl>
    <w:lvl w:ilvl="4">
      <w:start w:val="1"/>
      <w:numFmt w:val="lowerLetter"/>
      <w:lvlText w:val="%5."/>
      <w:lvlJc w:val="left"/>
      <w:pPr>
        <w:tabs>
          <w:tab w:val="num" w:pos="0"/>
        </w:tabs>
        <w:ind w:left="2069" w:hanging="792"/>
      </w:pPr>
      <w:rPr>
        <w:rFonts w:ascii="Titillium" w:hAnsi="Titillium"/>
        <w:sz w:val="18"/>
        <w:szCs w:val="18"/>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4" w15:restartNumberingAfterBreak="0">
    <w:nsid w:val="6DC73F39"/>
    <w:multiLevelType w:val="multilevel"/>
    <w:tmpl w:val="66AA12A4"/>
    <w:lvl w:ilvl="0">
      <w:start w:val="1"/>
      <w:numFmt w:val="bullet"/>
      <w:lvlText w:val="-"/>
      <w:lvlJc w:val="left"/>
      <w:pPr>
        <w:tabs>
          <w:tab w:val="num" w:pos="0"/>
        </w:tabs>
        <w:ind w:left="1080" w:hanging="360"/>
      </w:pPr>
      <w:rPr>
        <w:rFonts w:ascii="Titilium" w:hAnsi="Titilium" w:cs="Titilium" w:hint="default"/>
        <w:color w:val="auto"/>
        <w:sz w:val="18"/>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45" w15:restartNumberingAfterBreak="0">
    <w:nsid w:val="70333706"/>
    <w:multiLevelType w:val="hybridMultilevel"/>
    <w:tmpl w:val="589A71B6"/>
    <w:lvl w:ilvl="0" w:tplc="F61AC74C">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6" w15:restartNumberingAfterBreak="0">
    <w:nsid w:val="704E310B"/>
    <w:multiLevelType w:val="hybridMultilevel"/>
    <w:tmpl w:val="DE501D8C"/>
    <w:lvl w:ilvl="0" w:tplc="C310E79E">
      <w:start w:val="1"/>
      <w:numFmt w:val="bullet"/>
      <w:lvlText w:val=""/>
      <w:lvlJc w:val="left"/>
      <w:pPr>
        <w:ind w:left="720" w:hanging="360"/>
      </w:pPr>
      <w:rPr>
        <w:rFonts w:ascii="Symbol" w:hAnsi="Symbol" w:hint="default"/>
        <w:strike w:val="0"/>
        <w:color w:val="auto"/>
      </w:rPr>
    </w:lvl>
    <w:lvl w:ilvl="1" w:tplc="3DDA2014">
      <w:numFmt w:val="bullet"/>
      <w:lvlText w:val=""/>
      <w:lvlJc w:val="left"/>
      <w:pPr>
        <w:ind w:left="1800" w:hanging="720"/>
      </w:pPr>
      <w:rPr>
        <w:rFonts w:ascii="Wingdings" w:eastAsia="Times New Roman" w:hAnsi="Wingdings" w:cs="Times New Roman" w:hint="default"/>
        <w:color w:val="auto"/>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360754F"/>
    <w:multiLevelType w:val="multilevel"/>
    <w:tmpl w:val="35CC2FD6"/>
    <w:lvl w:ilvl="0">
      <w:start w:val="1"/>
      <w:numFmt w:val="bullet"/>
      <w:lvlText w:val=""/>
      <w:lvlJc w:val="left"/>
      <w:pPr>
        <w:tabs>
          <w:tab w:val="num" w:pos="0"/>
        </w:tabs>
        <w:ind w:left="720" w:hanging="360"/>
      </w:pPr>
      <w:rPr>
        <w:rFonts w:ascii="Symbol" w:hAnsi="Symbol" w:cs="Symbol" w:hint="default"/>
        <w:sz w:val="1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15:restartNumberingAfterBreak="0">
    <w:nsid w:val="737B7853"/>
    <w:multiLevelType w:val="multilevel"/>
    <w:tmpl w:val="4978F94C"/>
    <w:lvl w:ilvl="0">
      <w:start w:val="1"/>
      <w:numFmt w:val="lowerLetter"/>
      <w:lvlText w:val="%1)"/>
      <w:lvlJc w:val="left"/>
      <w:pPr>
        <w:tabs>
          <w:tab w:val="num" w:pos="0"/>
        </w:tabs>
        <w:ind w:left="1146" w:hanging="360"/>
      </w:pPr>
      <w:rPr>
        <w:rFonts w:ascii="Titillium" w:hAnsi="Titillium" w:hint="default"/>
        <w:sz w:val="18"/>
        <w:szCs w:val="18"/>
      </w:rPr>
    </w:lvl>
    <w:lvl w:ilvl="1">
      <w:start w:val="1"/>
      <w:numFmt w:val="lowerLetter"/>
      <w:lvlText w:val="%2."/>
      <w:lvlJc w:val="left"/>
      <w:pPr>
        <w:tabs>
          <w:tab w:val="num" w:pos="0"/>
        </w:tabs>
        <w:ind w:left="1866" w:hanging="360"/>
      </w:pPr>
      <w:rPr>
        <w:rFonts w:hint="default"/>
      </w:rPr>
    </w:lvl>
    <w:lvl w:ilvl="2">
      <w:start w:val="1"/>
      <w:numFmt w:val="lowerRoman"/>
      <w:lvlText w:val="%3."/>
      <w:lvlJc w:val="right"/>
      <w:pPr>
        <w:tabs>
          <w:tab w:val="num" w:pos="0"/>
        </w:tabs>
        <w:ind w:left="2586" w:hanging="180"/>
      </w:pPr>
      <w:rPr>
        <w:rFonts w:hint="default"/>
      </w:rPr>
    </w:lvl>
    <w:lvl w:ilvl="3">
      <w:start w:val="1"/>
      <w:numFmt w:val="decimal"/>
      <w:lvlText w:val="%4."/>
      <w:lvlJc w:val="left"/>
      <w:pPr>
        <w:tabs>
          <w:tab w:val="num" w:pos="0"/>
        </w:tabs>
        <w:ind w:left="3306" w:hanging="360"/>
      </w:pPr>
      <w:rPr>
        <w:rFonts w:hint="default"/>
      </w:rPr>
    </w:lvl>
    <w:lvl w:ilvl="4">
      <w:start w:val="1"/>
      <w:numFmt w:val="lowerLetter"/>
      <w:lvlText w:val="%5."/>
      <w:lvlJc w:val="left"/>
      <w:pPr>
        <w:tabs>
          <w:tab w:val="num" w:pos="0"/>
        </w:tabs>
        <w:ind w:left="4026" w:hanging="360"/>
      </w:pPr>
      <w:rPr>
        <w:rFonts w:hint="default"/>
      </w:rPr>
    </w:lvl>
    <w:lvl w:ilvl="5">
      <w:start w:val="1"/>
      <w:numFmt w:val="lowerRoman"/>
      <w:lvlText w:val="%6."/>
      <w:lvlJc w:val="right"/>
      <w:pPr>
        <w:tabs>
          <w:tab w:val="num" w:pos="0"/>
        </w:tabs>
        <w:ind w:left="4746" w:hanging="180"/>
      </w:pPr>
      <w:rPr>
        <w:rFonts w:hint="default"/>
      </w:rPr>
    </w:lvl>
    <w:lvl w:ilvl="6">
      <w:start w:val="1"/>
      <w:numFmt w:val="decimal"/>
      <w:lvlText w:val="%7."/>
      <w:lvlJc w:val="left"/>
      <w:pPr>
        <w:tabs>
          <w:tab w:val="num" w:pos="0"/>
        </w:tabs>
        <w:ind w:left="5466" w:hanging="360"/>
      </w:pPr>
      <w:rPr>
        <w:rFonts w:hint="default"/>
      </w:rPr>
    </w:lvl>
    <w:lvl w:ilvl="7">
      <w:start w:val="1"/>
      <w:numFmt w:val="lowerLetter"/>
      <w:lvlText w:val="%8."/>
      <w:lvlJc w:val="left"/>
      <w:pPr>
        <w:tabs>
          <w:tab w:val="num" w:pos="0"/>
        </w:tabs>
        <w:ind w:left="6186" w:hanging="360"/>
      </w:pPr>
      <w:rPr>
        <w:rFonts w:hint="default"/>
      </w:rPr>
    </w:lvl>
    <w:lvl w:ilvl="8">
      <w:start w:val="1"/>
      <w:numFmt w:val="lowerRoman"/>
      <w:lvlText w:val="%9."/>
      <w:lvlJc w:val="right"/>
      <w:pPr>
        <w:tabs>
          <w:tab w:val="num" w:pos="0"/>
        </w:tabs>
        <w:ind w:left="6906" w:hanging="180"/>
      </w:pPr>
      <w:rPr>
        <w:rFonts w:hint="default"/>
      </w:rPr>
    </w:lvl>
  </w:abstractNum>
  <w:abstractNum w:abstractNumId="49" w15:restartNumberingAfterBreak="0">
    <w:nsid w:val="74343705"/>
    <w:multiLevelType w:val="hybridMultilevel"/>
    <w:tmpl w:val="5644DB6C"/>
    <w:lvl w:ilvl="0" w:tplc="3EF2433C">
      <w:start w:val="1"/>
      <w:numFmt w:val="bullet"/>
      <w:lvlText w:val=""/>
      <w:lvlJc w:val="left"/>
      <w:pPr>
        <w:ind w:left="1080" w:hanging="360"/>
      </w:pPr>
      <w:rPr>
        <w:rFonts w:ascii="Symbol" w:hAnsi="Symbol" w:hint="default"/>
        <w:strike w:val="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0" w15:restartNumberingAfterBreak="0">
    <w:nsid w:val="7740192B"/>
    <w:multiLevelType w:val="multilevel"/>
    <w:tmpl w:val="8A904928"/>
    <w:lvl w:ilvl="0">
      <w:start w:val="1"/>
      <w:numFmt w:val="lowerLetter"/>
      <w:lvlText w:val="%1)"/>
      <w:lvlJc w:val="left"/>
      <w:pPr>
        <w:tabs>
          <w:tab w:val="num" w:pos="0"/>
        </w:tabs>
        <w:ind w:left="928" w:hanging="360"/>
      </w:pPr>
      <w:rPr>
        <w:rFonts w:ascii="Titillium" w:hAnsi="Titillium"/>
        <w:i w:val="0"/>
        <w:sz w:val="18"/>
        <w:szCs w:val="18"/>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51" w15:restartNumberingAfterBreak="0">
    <w:nsid w:val="7855140D"/>
    <w:multiLevelType w:val="hybridMultilevel"/>
    <w:tmpl w:val="746AAA3C"/>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52" w15:restartNumberingAfterBreak="0">
    <w:nsid w:val="790C10A4"/>
    <w:multiLevelType w:val="hybridMultilevel"/>
    <w:tmpl w:val="3934CE9A"/>
    <w:lvl w:ilvl="0" w:tplc="6C02ED38">
      <w:start w:val="3"/>
      <w:numFmt w:val="lowerLetter"/>
      <w:lvlText w:val="%1."/>
      <w:lvlJc w:val="left"/>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7A07368C"/>
    <w:multiLevelType w:val="multilevel"/>
    <w:tmpl w:val="C896C1C6"/>
    <w:lvl w:ilvl="0">
      <w:start w:val="1"/>
      <w:numFmt w:val="lowerLetter"/>
      <w:lvlText w:val="%1)"/>
      <w:lvlJc w:val="left"/>
      <w:pPr>
        <w:tabs>
          <w:tab w:val="num" w:pos="0"/>
        </w:tabs>
        <w:ind w:left="362" w:hanging="360"/>
      </w:pPr>
      <w:rPr>
        <w:rFonts w:ascii="Titillium" w:hAnsi="Titillium" w:cs="Times New Roman" w:hint="default"/>
        <w:b/>
        <w:i w:val="0"/>
        <w:iCs w:val="0"/>
        <w:sz w:val="18"/>
        <w:szCs w:val="18"/>
        <w:u w:val="none"/>
      </w:rPr>
    </w:lvl>
    <w:lvl w:ilvl="1">
      <w:start w:val="1"/>
      <w:numFmt w:val="lowerLetter"/>
      <w:lvlText w:val="%2."/>
      <w:lvlJc w:val="left"/>
      <w:pPr>
        <w:tabs>
          <w:tab w:val="num" w:pos="0"/>
        </w:tabs>
        <w:ind w:left="1082" w:hanging="360"/>
      </w:pPr>
      <w:rPr>
        <w:rFonts w:hint="default"/>
      </w:rPr>
    </w:lvl>
    <w:lvl w:ilvl="2">
      <w:start w:val="1"/>
      <w:numFmt w:val="lowerRoman"/>
      <w:lvlText w:val="%3."/>
      <w:lvlJc w:val="right"/>
      <w:pPr>
        <w:tabs>
          <w:tab w:val="num" w:pos="0"/>
        </w:tabs>
        <w:ind w:left="1802" w:hanging="180"/>
      </w:pPr>
      <w:rPr>
        <w:rFonts w:hint="default"/>
      </w:rPr>
    </w:lvl>
    <w:lvl w:ilvl="3">
      <w:start w:val="1"/>
      <w:numFmt w:val="decimal"/>
      <w:lvlText w:val="%4."/>
      <w:lvlJc w:val="left"/>
      <w:pPr>
        <w:tabs>
          <w:tab w:val="num" w:pos="0"/>
        </w:tabs>
        <w:ind w:left="2522" w:hanging="360"/>
      </w:pPr>
      <w:rPr>
        <w:rFonts w:hint="default"/>
      </w:rPr>
    </w:lvl>
    <w:lvl w:ilvl="4">
      <w:start w:val="1"/>
      <w:numFmt w:val="lowerLetter"/>
      <w:lvlText w:val="%5."/>
      <w:lvlJc w:val="left"/>
      <w:pPr>
        <w:tabs>
          <w:tab w:val="num" w:pos="0"/>
        </w:tabs>
        <w:ind w:left="3242" w:hanging="360"/>
      </w:pPr>
      <w:rPr>
        <w:rFonts w:hint="default"/>
      </w:rPr>
    </w:lvl>
    <w:lvl w:ilvl="5">
      <w:start w:val="1"/>
      <w:numFmt w:val="lowerRoman"/>
      <w:lvlText w:val="%6."/>
      <w:lvlJc w:val="right"/>
      <w:pPr>
        <w:tabs>
          <w:tab w:val="num" w:pos="0"/>
        </w:tabs>
        <w:ind w:left="3962" w:hanging="180"/>
      </w:pPr>
      <w:rPr>
        <w:rFonts w:hint="default"/>
      </w:rPr>
    </w:lvl>
    <w:lvl w:ilvl="6">
      <w:start w:val="1"/>
      <w:numFmt w:val="decimal"/>
      <w:lvlText w:val="%7."/>
      <w:lvlJc w:val="left"/>
      <w:pPr>
        <w:tabs>
          <w:tab w:val="num" w:pos="0"/>
        </w:tabs>
        <w:ind w:left="4682" w:hanging="360"/>
      </w:pPr>
      <w:rPr>
        <w:rFonts w:hint="default"/>
      </w:rPr>
    </w:lvl>
    <w:lvl w:ilvl="7">
      <w:start w:val="1"/>
      <w:numFmt w:val="lowerLetter"/>
      <w:lvlText w:val="%8."/>
      <w:lvlJc w:val="left"/>
      <w:pPr>
        <w:tabs>
          <w:tab w:val="num" w:pos="0"/>
        </w:tabs>
        <w:ind w:left="5402" w:hanging="360"/>
      </w:pPr>
      <w:rPr>
        <w:rFonts w:hint="default"/>
      </w:rPr>
    </w:lvl>
    <w:lvl w:ilvl="8">
      <w:start w:val="1"/>
      <w:numFmt w:val="lowerRoman"/>
      <w:lvlText w:val="%9."/>
      <w:lvlJc w:val="right"/>
      <w:pPr>
        <w:tabs>
          <w:tab w:val="num" w:pos="0"/>
        </w:tabs>
        <w:ind w:left="6122" w:hanging="180"/>
      </w:pPr>
      <w:rPr>
        <w:rFonts w:hint="default"/>
      </w:rPr>
    </w:lvl>
  </w:abstractNum>
  <w:abstractNum w:abstractNumId="54" w15:restartNumberingAfterBreak="0">
    <w:nsid w:val="7D656FF4"/>
    <w:multiLevelType w:val="multilevel"/>
    <w:tmpl w:val="8B8C1486"/>
    <w:lvl w:ilvl="0">
      <w:start w:val="1"/>
      <w:numFmt w:val="lowerLetter"/>
      <w:lvlText w:val="%1."/>
      <w:lvlJc w:val="left"/>
      <w:pPr>
        <w:tabs>
          <w:tab w:val="num" w:pos="0"/>
        </w:tabs>
        <w:ind w:left="1429" w:hanging="360"/>
      </w:pPr>
      <w:rPr>
        <w:rFonts w:ascii="Titillium" w:hAnsi="Titillium"/>
        <w:sz w:val="18"/>
        <w:szCs w:val="18"/>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43"/>
  </w:num>
  <w:num w:numId="2">
    <w:abstractNumId w:val="9"/>
  </w:num>
  <w:num w:numId="3">
    <w:abstractNumId w:val="31"/>
  </w:num>
  <w:num w:numId="4">
    <w:abstractNumId w:val="26"/>
  </w:num>
  <w:num w:numId="5">
    <w:abstractNumId w:val="2"/>
  </w:num>
  <w:num w:numId="6">
    <w:abstractNumId w:val="18"/>
  </w:num>
  <w:num w:numId="7">
    <w:abstractNumId w:val="23"/>
  </w:num>
  <w:num w:numId="8">
    <w:abstractNumId w:val="54"/>
  </w:num>
  <w:num w:numId="9">
    <w:abstractNumId w:val="15"/>
  </w:num>
  <w:num w:numId="10">
    <w:abstractNumId w:val="32"/>
  </w:num>
  <w:num w:numId="11">
    <w:abstractNumId w:val="24"/>
  </w:num>
  <w:num w:numId="12">
    <w:abstractNumId w:val="29"/>
  </w:num>
  <w:num w:numId="13">
    <w:abstractNumId w:val="44"/>
  </w:num>
  <w:num w:numId="14">
    <w:abstractNumId w:val="25"/>
  </w:num>
  <w:num w:numId="15">
    <w:abstractNumId w:val="50"/>
  </w:num>
  <w:num w:numId="16">
    <w:abstractNumId w:val="42"/>
  </w:num>
  <w:num w:numId="17">
    <w:abstractNumId w:val="7"/>
  </w:num>
  <w:num w:numId="18">
    <w:abstractNumId w:val="13"/>
  </w:num>
  <w:num w:numId="19">
    <w:abstractNumId w:val="16"/>
  </w:num>
  <w:num w:numId="20">
    <w:abstractNumId w:val="34"/>
  </w:num>
  <w:num w:numId="21">
    <w:abstractNumId w:val="14"/>
  </w:num>
  <w:num w:numId="22">
    <w:abstractNumId w:val="39"/>
  </w:num>
  <w:num w:numId="23">
    <w:abstractNumId w:val="30"/>
  </w:num>
  <w:num w:numId="24">
    <w:abstractNumId w:val="27"/>
  </w:num>
  <w:num w:numId="25">
    <w:abstractNumId w:val="11"/>
  </w:num>
  <w:num w:numId="26">
    <w:abstractNumId w:val="53"/>
  </w:num>
  <w:num w:numId="27">
    <w:abstractNumId w:val="47"/>
  </w:num>
  <w:num w:numId="28">
    <w:abstractNumId w:val="20"/>
  </w:num>
  <w:num w:numId="29">
    <w:abstractNumId w:val="3"/>
  </w:num>
  <w:num w:numId="30">
    <w:abstractNumId w:val="8"/>
  </w:num>
  <w:num w:numId="31">
    <w:abstractNumId w:val="17"/>
  </w:num>
  <w:num w:numId="32">
    <w:abstractNumId w:val="6"/>
  </w:num>
  <w:num w:numId="33">
    <w:abstractNumId w:val="51"/>
  </w:num>
  <w:num w:numId="34">
    <w:abstractNumId w:val="0"/>
  </w:num>
  <w:num w:numId="35">
    <w:abstractNumId w:val="40"/>
  </w:num>
  <w:num w:numId="36">
    <w:abstractNumId w:val="5"/>
  </w:num>
  <w:num w:numId="37">
    <w:abstractNumId w:val="46"/>
  </w:num>
  <w:num w:numId="38">
    <w:abstractNumId w:val="48"/>
  </w:num>
  <w:num w:numId="39">
    <w:abstractNumId w:val="41"/>
  </w:num>
  <w:num w:numId="40">
    <w:abstractNumId w:val="45"/>
  </w:num>
  <w:num w:numId="41">
    <w:abstractNumId w:val="12"/>
  </w:num>
  <w:num w:numId="42">
    <w:abstractNumId w:val="4"/>
  </w:num>
  <w:num w:numId="43">
    <w:abstractNumId w:val="21"/>
  </w:num>
  <w:num w:numId="44">
    <w:abstractNumId w:val="10"/>
  </w:num>
  <w:num w:numId="45">
    <w:abstractNumId w:val="49"/>
  </w:num>
  <w:num w:numId="46">
    <w:abstractNumId w:val="28"/>
  </w:num>
  <w:num w:numId="47">
    <w:abstractNumId w:val="19"/>
  </w:num>
  <w:num w:numId="48">
    <w:abstractNumId w:val="22"/>
  </w:num>
  <w:num w:numId="49">
    <w:abstractNumId w:val="52"/>
  </w:num>
  <w:num w:numId="50">
    <w:abstractNumId w:val="37"/>
  </w:num>
  <w:num w:numId="51">
    <w:abstractNumId w:val="1"/>
  </w:num>
  <w:num w:numId="52">
    <w:abstractNumId w:val="36"/>
  </w:num>
  <w:num w:numId="53">
    <w:abstractNumId w:val="33"/>
  </w:num>
  <w:num w:numId="54">
    <w:abstractNumId w:val="35"/>
  </w:num>
  <w:num w:numId="55">
    <w:abstractNumId w:val="3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2EE"/>
    <w:rsid w:val="000000C6"/>
    <w:rsid w:val="00000633"/>
    <w:rsid w:val="00002D14"/>
    <w:rsid w:val="00002EE0"/>
    <w:rsid w:val="00005014"/>
    <w:rsid w:val="0000513E"/>
    <w:rsid w:val="000052E6"/>
    <w:rsid w:val="00005B90"/>
    <w:rsid w:val="00005C50"/>
    <w:rsid w:val="000066DA"/>
    <w:rsid w:val="00007800"/>
    <w:rsid w:val="00010B25"/>
    <w:rsid w:val="00014A76"/>
    <w:rsid w:val="00015452"/>
    <w:rsid w:val="00015AC1"/>
    <w:rsid w:val="00015C30"/>
    <w:rsid w:val="0001612E"/>
    <w:rsid w:val="00016161"/>
    <w:rsid w:val="00017374"/>
    <w:rsid w:val="00020BE7"/>
    <w:rsid w:val="0002327E"/>
    <w:rsid w:val="000232BE"/>
    <w:rsid w:val="00023737"/>
    <w:rsid w:val="000257E1"/>
    <w:rsid w:val="00025D70"/>
    <w:rsid w:val="00026725"/>
    <w:rsid w:val="00030E28"/>
    <w:rsid w:val="000321C8"/>
    <w:rsid w:val="00032B84"/>
    <w:rsid w:val="00033D76"/>
    <w:rsid w:val="00033FEE"/>
    <w:rsid w:val="00034053"/>
    <w:rsid w:val="00034390"/>
    <w:rsid w:val="00034441"/>
    <w:rsid w:val="000349E2"/>
    <w:rsid w:val="000362E8"/>
    <w:rsid w:val="0003692D"/>
    <w:rsid w:val="00036997"/>
    <w:rsid w:val="00036BAE"/>
    <w:rsid w:val="000370EA"/>
    <w:rsid w:val="000373DB"/>
    <w:rsid w:val="00040075"/>
    <w:rsid w:val="0004069E"/>
    <w:rsid w:val="0004109D"/>
    <w:rsid w:val="0004140A"/>
    <w:rsid w:val="00042594"/>
    <w:rsid w:val="00042754"/>
    <w:rsid w:val="000433C6"/>
    <w:rsid w:val="00043F0B"/>
    <w:rsid w:val="00044BD5"/>
    <w:rsid w:val="00045624"/>
    <w:rsid w:val="00045881"/>
    <w:rsid w:val="0004596C"/>
    <w:rsid w:val="00046D8B"/>
    <w:rsid w:val="00046DF6"/>
    <w:rsid w:val="00047C3E"/>
    <w:rsid w:val="000500CF"/>
    <w:rsid w:val="000501BF"/>
    <w:rsid w:val="00050740"/>
    <w:rsid w:val="0005115A"/>
    <w:rsid w:val="00052B69"/>
    <w:rsid w:val="00053A5E"/>
    <w:rsid w:val="00053DE3"/>
    <w:rsid w:val="00053EBA"/>
    <w:rsid w:val="000544CA"/>
    <w:rsid w:val="000556CA"/>
    <w:rsid w:val="00057B78"/>
    <w:rsid w:val="00057E93"/>
    <w:rsid w:val="00060A6B"/>
    <w:rsid w:val="0006218C"/>
    <w:rsid w:val="00062649"/>
    <w:rsid w:val="00063005"/>
    <w:rsid w:val="0006313A"/>
    <w:rsid w:val="00063D76"/>
    <w:rsid w:val="000643F6"/>
    <w:rsid w:val="00065A12"/>
    <w:rsid w:val="00067C83"/>
    <w:rsid w:val="00070375"/>
    <w:rsid w:val="00070493"/>
    <w:rsid w:val="00071AF4"/>
    <w:rsid w:val="00071FE4"/>
    <w:rsid w:val="00072B95"/>
    <w:rsid w:val="000742F5"/>
    <w:rsid w:val="00075257"/>
    <w:rsid w:val="000757CE"/>
    <w:rsid w:val="00076671"/>
    <w:rsid w:val="00076787"/>
    <w:rsid w:val="00076D5C"/>
    <w:rsid w:val="000772B9"/>
    <w:rsid w:val="00077BA2"/>
    <w:rsid w:val="00077F7F"/>
    <w:rsid w:val="00081440"/>
    <w:rsid w:val="00081D69"/>
    <w:rsid w:val="00082339"/>
    <w:rsid w:val="0008269D"/>
    <w:rsid w:val="000829DC"/>
    <w:rsid w:val="000833FA"/>
    <w:rsid w:val="00085620"/>
    <w:rsid w:val="00085C48"/>
    <w:rsid w:val="00085CCE"/>
    <w:rsid w:val="000863D7"/>
    <w:rsid w:val="00087472"/>
    <w:rsid w:val="00087B02"/>
    <w:rsid w:val="00087FBC"/>
    <w:rsid w:val="00090685"/>
    <w:rsid w:val="00091407"/>
    <w:rsid w:val="00091D15"/>
    <w:rsid w:val="00091E95"/>
    <w:rsid w:val="00094AAE"/>
    <w:rsid w:val="00095FE7"/>
    <w:rsid w:val="000963C7"/>
    <w:rsid w:val="00096F39"/>
    <w:rsid w:val="000A02DB"/>
    <w:rsid w:val="000A09F0"/>
    <w:rsid w:val="000A0EA8"/>
    <w:rsid w:val="000A3B72"/>
    <w:rsid w:val="000A4655"/>
    <w:rsid w:val="000A529E"/>
    <w:rsid w:val="000A6B3E"/>
    <w:rsid w:val="000B0BA2"/>
    <w:rsid w:val="000B0E59"/>
    <w:rsid w:val="000B161E"/>
    <w:rsid w:val="000B1BFE"/>
    <w:rsid w:val="000B1CF4"/>
    <w:rsid w:val="000B3AF5"/>
    <w:rsid w:val="000B513B"/>
    <w:rsid w:val="000B5464"/>
    <w:rsid w:val="000B6A7C"/>
    <w:rsid w:val="000B6B49"/>
    <w:rsid w:val="000B6D7A"/>
    <w:rsid w:val="000B7806"/>
    <w:rsid w:val="000B7EA6"/>
    <w:rsid w:val="000C1D84"/>
    <w:rsid w:val="000C33B2"/>
    <w:rsid w:val="000C37F8"/>
    <w:rsid w:val="000C3B08"/>
    <w:rsid w:val="000C3C82"/>
    <w:rsid w:val="000C4610"/>
    <w:rsid w:val="000C5C75"/>
    <w:rsid w:val="000C68E7"/>
    <w:rsid w:val="000C71DE"/>
    <w:rsid w:val="000D0637"/>
    <w:rsid w:val="000D0726"/>
    <w:rsid w:val="000D0AB8"/>
    <w:rsid w:val="000D0D15"/>
    <w:rsid w:val="000D3677"/>
    <w:rsid w:val="000D4075"/>
    <w:rsid w:val="000D5B01"/>
    <w:rsid w:val="000E1F81"/>
    <w:rsid w:val="000E5F9C"/>
    <w:rsid w:val="000E7608"/>
    <w:rsid w:val="000E7B50"/>
    <w:rsid w:val="000F0B05"/>
    <w:rsid w:val="000F0DF9"/>
    <w:rsid w:val="000F198D"/>
    <w:rsid w:val="000F45D6"/>
    <w:rsid w:val="0010025E"/>
    <w:rsid w:val="0010135C"/>
    <w:rsid w:val="00101E7E"/>
    <w:rsid w:val="0010265C"/>
    <w:rsid w:val="00102718"/>
    <w:rsid w:val="001030FE"/>
    <w:rsid w:val="0010322A"/>
    <w:rsid w:val="00103FAB"/>
    <w:rsid w:val="001043AD"/>
    <w:rsid w:val="00106572"/>
    <w:rsid w:val="001074E7"/>
    <w:rsid w:val="00107CCF"/>
    <w:rsid w:val="001112A9"/>
    <w:rsid w:val="00112007"/>
    <w:rsid w:val="00112FED"/>
    <w:rsid w:val="00113E70"/>
    <w:rsid w:val="00114399"/>
    <w:rsid w:val="001146AD"/>
    <w:rsid w:val="001146EA"/>
    <w:rsid w:val="00115A04"/>
    <w:rsid w:val="00115B08"/>
    <w:rsid w:val="00116D08"/>
    <w:rsid w:val="00116F09"/>
    <w:rsid w:val="00121FC2"/>
    <w:rsid w:val="001220FA"/>
    <w:rsid w:val="00122398"/>
    <w:rsid w:val="001228FF"/>
    <w:rsid w:val="00122AED"/>
    <w:rsid w:val="00122FB2"/>
    <w:rsid w:val="00123792"/>
    <w:rsid w:val="00123B56"/>
    <w:rsid w:val="00123EE6"/>
    <w:rsid w:val="0012481B"/>
    <w:rsid w:val="001248E8"/>
    <w:rsid w:val="00124CB3"/>
    <w:rsid w:val="00125B47"/>
    <w:rsid w:val="0012671C"/>
    <w:rsid w:val="00127FD9"/>
    <w:rsid w:val="0013266E"/>
    <w:rsid w:val="00132E5C"/>
    <w:rsid w:val="0013501B"/>
    <w:rsid w:val="00135F3C"/>
    <w:rsid w:val="001379E6"/>
    <w:rsid w:val="001417A2"/>
    <w:rsid w:val="0014199C"/>
    <w:rsid w:val="00141D52"/>
    <w:rsid w:val="001422A6"/>
    <w:rsid w:val="0014297E"/>
    <w:rsid w:val="001448AC"/>
    <w:rsid w:val="00146D14"/>
    <w:rsid w:val="00146D32"/>
    <w:rsid w:val="001502FB"/>
    <w:rsid w:val="00150D66"/>
    <w:rsid w:val="00151444"/>
    <w:rsid w:val="00151BE2"/>
    <w:rsid w:val="00152081"/>
    <w:rsid w:val="00152662"/>
    <w:rsid w:val="00154312"/>
    <w:rsid w:val="00155E20"/>
    <w:rsid w:val="00156C04"/>
    <w:rsid w:val="0015714E"/>
    <w:rsid w:val="00157CEA"/>
    <w:rsid w:val="0016006D"/>
    <w:rsid w:val="0016066B"/>
    <w:rsid w:val="0016108E"/>
    <w:rsid w:val="00161D7A"/>
    <w:rsid w:val="001621AE"/>
    <w:rsid w:val="00162A69"/>
    <w:rsid w:val="00162BDE"/>
    <w:rsid w:val="00162C8E"/>
    <w:rsid w:val="0016615F"/>
    <w:rsid w:val="00170255"/>
    <w:rsid w:val="0017251C"/>
    <w:rsid w:val="00172B51"/>
    <w:rsid w:val="00172E5E"/>
    <w:rsid w:val="001760EC"/>
    <w:rsid w:val="0017793F"/>
    <w:rsid w:val="0018122E"/>
    <w:rsid w:val="001818CA"/>
    <w:rsid w:val="0018495D"/>
    <w:rsid w:val="00184CEB"/>
    <w:rsid w:val="00184F93"/>
    <w:rsid w:val="001868DA"/>
    <w:rsid w:val="00190EAB"/>
    <w:rsid w:val="0019194C"/>
    <w:rsid w:val="00191B45"/>
    <w:rsid w:val="0019244C"/>
    <w:rsid w:val="00192470"/>
    <w:rsid w:val="00193822"/>
    <w:rsid w:val="00193A27"/>
    <w:rsid w:val="001966D1"/>
    <w:rsid w:val="00196EE3"/>
    <w:rsid w:val="00197789"/>
    <w:rsid w:val="00197829"/>
    <w:rsid w:val="001A0085"/>
    <w:rsid w:val="001A0E96"/>
    <w:rsid w:val="001A1322"/>
    <w:rsid w:val="001A1E51"/>
    <w:rsid w:val="001A4095"/>
    <w:rsid w:val="001A466B"/>
    <w:rsid w:val="001A5F76"/>
    <w:rsid w:val="001A7015"/>
    <w:rsid w:val="001B2A71"/>
    <w:rsid w:val="001B47A7"/>
    <w:rsid w:val="001B519B"/>
    <w:rsid w:val="001B5358"/>
    <w:rsid w:val="001B5B13"/>
    <w:rsid w:val="001B637D"/>
    <w:rsid w:val="001B6445"/>
    <w:rsid w:val="001B6605"/>
    <w:rsid w:val="001C05EB"/>
    <w:rsid w:val="001C0D7D"/>
    <w:rsid w:val="001C0F41"/>
    <w:rsid w:val="001C121B"/>
    <w:rsid w:val="001C150F"/>
    <w:rsid w:val="001C2CA6"/>
    <w:rsid w:val="001C4391"/>
    <w:rsid w:val="001C447C"/>
    <w:rsid w:val="001C4534"/>
    <w:rsid w:val="001C517F"/>
    <w:rsid w:val="001C5C14"/>
    <w:rsid w:val="001C6254"/>
    <w:rsid w:val="001C641F"/>
    <w:rsid w:val="001C6EF1"/>
    <w:rsid w:val="001D03CB"/>
    <w:rsid w:val="001D07F1"/>
    <w:rsid w:val="001D101F"/>
    <w:rsid w:val="001D1590"/>
    <w:rsid w:val="001D2568"/>
    <w:rsid w:val="001D424D"/>
    <w:rsid w:val="001D55FB"/>
    <w:rsid w:val="001D5627"/>
    <w:rsid w:val="001D6030"/>
    <w:rsid w:val="001D77BD"/>
    <w:rsid w:val="001E0061"/>
    <w:rsid w:val="001E074D"/>
    <w:rsid w:val="001E08F0"/>
    <w:rsid w:val="001E1F33"/>
    <w:rsid w:val="001E4365"/>
    <w:rsid w:val="001E5196"/>
    <w:rsid w:val="001E66DB"/>
    <w:rsid w:val="001F01E3"/>
    <w:rsid w:val="001F2DFE"/>
    <w:rsid w:val="001F4FDD"/>
    <w:rsid w:val="001F6325"/>
    <w:rsid w:val="001F770F"/>
    <w:rsid w:val="00200329"/>
    <w:rsid w:val="002005E2"/>
    <w:rsid w:val="0020117F"/>
    <w:rsid w:val="00203A01"/>
    <w:rsid w:val="00203C98"/>
    <w:rsid w:val="00204A20"/>
    <w:rsid w:val="00204D2A"/>
    <w:rsid w:val="00205B6B"/>
    <w:rsid w:val="00205D9F"/>
    <w:rsid w:val="002066C0"/>
    <w:rsid w:val="00206F14"/>
    <w:rsid w:val="00207E45"/>
    <w:rsid w:val="00211417"/>
    <w:rsid w:val="002126A9"/>
    <w:rsid w:val="00212815"/>
    <w:rsid w:val="00214AF5"/>
    <w:rsid w:val="00215861"/>
    <w:rsid w:val="00215A37"/>
    <w:rsid w:val="00217536"/>
    <w:rsid w:val="00217811"/>
    <w:rsid w:val="0022061D"/>
    <w:rsid w:val="00226067"/>
    <w:rsid w:val="00226093"/>
    <w:rsid w:val="002263E3"/>
    <w:rsid w:val="00226930"/>
    <w:rsid w:val="00226989"/>
    <w:rsid w:val="00227BA0"/>
    <w:rsid w:val="00232025"/>
    <w:rsid w:val="00233658"/>
    <w:rsid w:val="00234FBB"/>
    <w:rsid w:val="00235454"/>
    <w:rsid w:val="00235749"/>
    <w:rsid w:val="00237236"/>
    <w:rsid w:val="00237927"/>
    <w:rsid w:val="00240C78"/>
    <w:rsid w:val="0024167F"/>
    <w:rsid w:val="002422C5"/>
    <w:rsid w:val="00242AB3"/>
    <w:rsid w:val="002445D2"/>
    <w:rsid w:val="002458EA"/>
    <w:rsid w:val="00246700"/>
    <w:rsid w:val="00246B5A"/>
    <w:rsid w:val="00246DE7"/>
    <w:rsid w:val="00252367"/>
    <w:rsid w:val="00252F6E"/>
    <w:rsid w:val="002539E3"/>
    <w:rsid w:val="00253CE3"/>
    <w:rsid w:val="00254CE8"/>
    <w:rsid w:val="0025550F"/>
    <w:rsid w:val="00256541"/>
    <w:rsid w:val="00257E9E"/>
    <w:rsid w:val="0026024A"/>
    <w:rsid w:val="00260475"/>
    <w:rsid w:val="0026131D"/>
    <w:rsid w:val="002618A9"/>
    <w:rsid w:val="00261935"/>
    <w:rsid w:val="00261D63"/>
    <w:rsid w:val="00264ED4"/>
    <w:rsid w:val="002665B8"/>
    <w:rsid w:val="002708C7"/>
    <w:rsid w:val="002721BF"/>
    <w:rsid w:val="00272CB2"/>
    <w:rsid w:val="00273293"/>
    <w:rsid w:val="00274BC9"/>
    <w:rsid w:val="0027542A"/>
    <w:rsid w:val="00275C33"/>
    <w:rsid w:val="00276A0E"/>
    <w:rsid w:val="00280637"/>
    <w:rsid w:val="002828F4"/>
    <w:rsid w:val="002836FC"/>
    <w:rsid w:val="00284549"/>
    <w:rsid w:val="00284AA5"/>
    <w:rsid w:val="00285580"/>
    <w:rsid w:val="00285774"/>
    <w:rsid w:val="00285CEC"/>
    <w:rsid w:val="00286FF4"/>
    <w:rsid w:val="00291754"/>
    <w:rsid w:val="00291D2E"/>
    <w:rsid w:val="00291E77"/>
    <w:rsid w:val="00291EB1"/>
    <w:rsid w:val="00293A81"/>
    <w:rsid w:val="00295169"/>
    <w:rsid w:val="002964A2"/>
    <w:rsid w:val="002A0989"/>
    <w:rsid w:val="002A099F"/>
    <w:rsid w:val="002A11D2"/>
    <w:rsid w:val="002A5B23"/>
    <w:rsid w:val="002A6597"/>
    <w:rsid w:val="002B3555"/>
    <w:rsid w:val="002B3DAD"/>
    <w:rsid w:val="002B409F"/>
    <w:rsid w:val="002B432B"/>
    <w:rsid w:val="002B4729"/>
    <w:rsid w:val="002B4D79"/>
    <w:rsid w:val="002B5C82"/>
    <w:rsid w:val="002B6A66"/>
    <w:rsid w:val="002B7CB3"/>
    <w:rsid w:val="002B7CE2"/>
    <w:rsid w:val="002C0FB9"/>
    <w:rsid w:val="002C0FEE"/>
    <w:rsid w:val="002C19A4"/>
    <w:rsid w:val="002C34CF"/>
    <w:rsid w:val="002C384E"/>
    <w:rsid w:val="002C39A3"/>
    <w:rsid w:val="002C44D8"/>
    <w:rsid w:val="002C4771"/>
    <w:rsid w:val="002C4A61"/>
    <w:rsid w:val="002C6CEC"/>
    <w:rsid w:val="002C6DC1"/>
    <w:rsid w:val="002C795A"/>
    <w:rsid w:val="002D115F"/>
    <w:rsid w:val="002D2F5F"/>
    <w:rsid w:val="002D5568"/>
    <w:rsid w:val="002D5733"/>
    <w:rsid w:val="002D6C55"/>
    <w:rsid w:val="002E0437"/>
    <w:rsid w:val="002E0C13"/>
    <w:rsid w:val="002E1E27"/>
    <w:rsid w:val="002E2166"/>
    <w:rsid w:val="002E28F1"/>
    <w:rsid w:val="002E29EE"/>
    <w:rsid w:val="002E2D0A"/>
    <w:rsid w:val="002E34EB"/>
    <w:rsid w:val="002E4264"/>
    <w:rsid w:val="002E5A6A"/>
    <w:rsid w:val="002E7368"/>
    <w:rsid w:val="002E79DA"/>
    <w:rsid w:val="002F026F"/>
    <w:rsid w:val="002F3CD1"/>
    <w:rsid w:val="002F526E"/>
    <w:rsid w:val="002F5F20"/>
    <w:rsid w:val="002F640D"/>
    <w:rsid w:val="002F691B"/>
    <w:rsid w:val="002F7FEC"/>
    <w:rsid w:val="0030058E"/>
    <w:rsid w:val="00302581"/>
    <w:rsid w:val="0030510A"/>
    <w:rsid w:val="00305799"/>
    <w:rsid w:val="003064A8"/>
    <w:rsid w:val="0030681F"/>
    <w:rsid w:val="00307626"/>
    <w:rsid w:val="0031000A"/>
    <w:rsid w:val="00312823"/>
    <w:rsid w:val="00312D6B"/>
    <w:rsid w:val="00314822"/>
    <w:rsid w:val="00316046"/>
    <w:rsid w:val="003170E4"/>
    <w:rsid w:val="0031784E"/>
    <w:rsid w:val="0032350F"/>
    <w:rsid w:val="00323913"/>
    <w:rsid w:val="0032615A"/>
    <w:rsid w:val="003261B9"/>
    <w:rsid w:val="00326F18"/>
    <w:rsid w:val="003274B3"/>
    <w:rsid w:val="00327C16"/>
    <w:rsid w:val="003318D9"/>
    <w:rsid w:val="00333902"/>
    <w:rsid w:val="00334300"/>
    <w:rsid w:val="003344B9"/>
    <w:rsid w:val="00334A53"/>
    <w:rsid w:val="00334A83"/>
    <w:rsid w:val="00334BFE"/>
    <w:rsid w:val="00334C91"/>
    <w:rsid w:val="00336372"/>
    <w:rsid w:val="00340889"/>
    <w:rsid w:val="00341ECE"/>
    <w:rsid w:val="003420B9"/>
    <w:rsid w:val="003424B6"/>
    <w:rsid w:val="00345E8A"/>
    <w:rsid w:val="00347AD3"/>
    <w:rsid w:val="003516C3"/>
    <w:rsid w:val="00351C7F"/>
    <w:rsid w:val="00351E75"/>
    <w:rsid w:val="00352788"/>
    <w:rsid w:val="003537CB"/>
    <w:rsid w:val="00354292"/>
    <w:rsid w:val="003550A3"/>
    <w:rsid w:val="0035531B"/>
    <w:rsid w:val="00355320"/>
    <w:rsid w:val="00355FAB"/>
    <w:rsid w:val="003562F0"/>
    <w:rsid w:val="0035778C"/>
    <w:rsid w:val="00360F21"/>
    <w:rsid w:val="003610F2"/>
    <w:rsid w:val="00361D0A"/>
    <w:rsid w:val="003623B7"/>
    <w:rsid w:val="003633B8"/>
    <w:rsid w:val="003651CA"/>
    <w:rsid w:val="003717C0"/>
    <w:rsid w:val="0037253C"/>
    <w:rsid w:val="003756D1"/>
    <w:rsid w:val="00375E6A"/>
    <w:rsid w:val="003760A7"/>
    <w:rsid w:val="00376196"/>
    <w:rsid w:val="00376B9C"/>
    <w:rsid w:val="00381F67"/>
    <w:rsid w:val="003820EF"/>
    <w:rsid w:val="003824BF"/>
    <w:rsid w:val="00383ACF"/>
    <w:rsid w:val="0039083A"/>
    <w:rsid w:val="003918E2"/>
    <w:rsid w:val="00391D92"/>
    <w:rsid w:val="00394363"/>
    <w:rsid w:val="0039453F"/>
    <w:rsid w:val="0039570D"/>
    <w:rsid w:val="003958B7"/>
    <w:rsid w:val="00395B26"/>
    <w:rsid w:val="00397522"/>
    <w:rsid w:val="003A1708"/>
    <w:rsid w:val="003A1C39"/>
    <w:rsid w:val="003A3428"/>
    <w:rsid w:val="003A3530"/>
    <w:rsid w:val="003A3A83"/>
    <w:rsid w:val="003A430E"/>
    <w:rsid w:val="003A51CA"/>
    <w:rsid w:val="003A5672"/>
    <w:rsid w:val="003A78AD"/>
    <w:rsid w:val="003B0614"/>
    <w:rsid w:val="003B2607"/>
    <w:rsid w:val="003B31E7"/>
    <w:rsid w:val="003B3B31"/>
    <w:rsid w:val="003B781D"/>
    <w:rsid w:val="003C0D13"/>
    <w:rsid w:val="003C24B2"/>
    <w:rsid w:val="003C41F4"/>
    <w:rsid w:val="003C49BE"/>
    <w:rsid w:val="003C5723"/>
    <w:rsid w:val="003C6266"/>
    <w:rsid w:val="003C6279"/>
    <w:rsid w:val="003C6E76"/>
    <w:rsid w:val="003C72F9"/>
    <w:rsid w:val="003C7660"/>
    <w:rsid w:val="003D0BC1"/>
    <w:rsid w:val="003D0BC2"/>
    <w:rsid w:val="003D0EC8"/>
    <w:rsid w:val="003D14A4"/>
    <w:rsid w:val="003D1852"/>
    <w:rsid w:val="003D272F"/>
    <w:rsid w:val="003D316E"/>
    <w:rsid w:val="003D343E"/>
    <w:rsid w:val="003D3F72"/>
    <w:rsid w:val="003D44CE"/>
    <w:rsid w:val="003D4623"/>
    <w:rsid w:val="003D6721"/>
    <w:rsid w:val="003D72EA"/>
    <w:rsid w:val="003D7C86"/>
    <w:rsid w:val="003E075B"/>
    <w:rsid w:val="003E0FCF"/>
    <w:rsid w:val="003E196C"/>
    <w:rsid w:val="003E1C83"/>
    <w:rsid w:val="003E1E62"/>
    <w:rsid w:val="003E1F30"/>
    <w:rsid w:val="003E23D5"/>
    <w:rsid w:val="003E2660"/>
    <w:rsid w:val="003E389C"/>
    <w:rsid w:val="003E3D36"/>
    <w:rsid w:val="003E5E74"/>
    <w:rsid w:val="003E65C8"/>
    <w:rsid w:val="003E71EA"/>
    <w:rsid w:val="003E7424"/>
    <w:rsid w:val="003F05FB"/>
    <w:rsid w:val="003F1593"/>
    <w:rsid w:val="003F3CF0"/>
    <w:rsid w:val="003F4596"/>
    <w:rsid w:val="003F464B"/>
    <w:rsid w:val="003F48B5"/>
    <w:rsid w:val="003F4F2B"/>
    <w:rsid w:val="003F69B4"/>
    <w:rsid w:val="003F7553"/>
    <w:rsid w:val="003F7611"/>
    <w:rsid w:val="003F7744"/>
    <w:rsid w:val="003F7F2B"/>
    <w:rsid w:val="00400398"/>
    <w:rsid w:val="00400479"/>
    <w:rsid w:val="00400B0C"/>
    <w:rsid w:val="00400FF6"/>
    <w:rsid w:val="004047D9"/>
    <w:rsid w:val="00406785"/>
    <w:rsid w:val="00406EAE"/>
    <w:rsid w:val="004079FD"/>
    <w:rsid w:val="004103B0"/>
    <w:rsid w:val="004152FA"/>
    <w:rsid w:val="004207C9"/>
    <w:rsid w:val="0042141F"/>
    <w:rsid w:val="00422D86"/>
    <w:rsid w:val="00423C99"/>
    <w:rsid w:val="00424DA8"/>
    <w:rsid w:val="00425629"/>
    <w:rsid w:val="00425675"/>
    <w:rsid w:val="0042626B"/>
    <w:rsid w:val="00427E0B"/>
    <w:rsid w:val="0043025C"/>
    <w:rsid w:val="004308E6"/>
    <w:rsid w:val="004325D1"/>
    <w:rsid w:val="00432BB0"/>
    <w:rsid w:val="0043415C"/>
    <w:rsid w:val="0043498B"/>
    <w:rsid w:val="0043582F"/>
    <w:rsid w:val="00437499"/>
    <w:rsid w:val="00437B4D"/>
    <w:rsid w:val="00437C84"/>
    <w:rsid w:val="004411C5"/>
    <w:rsid w:val="00441D13"/>
    <w:rsid w:val="00442B11"/>
    <w:rsid w:val="00443842"/>
    <w:rsid w:val="004469B0"/>
    <w:rsid w:val="004471A5"/>
    <w:rsid w:val="00447833"/>
    <w:rsid w:val="004501FC"/>
    <w:rsid w:val="00451A13"/>
    <w:rsid w:val="00451DCB"/>
    <w:rsid w:val="00452239"/>
    <w:rsid w:val="004524ED"/>
    <w:rsid w:val="00452D49"/>
    <w:rsid w:val="00452FE2"/>
    <w:rsid w:val="00453138"/>
    <w:rsid w:val="00457B35"/>
    <w:rsid w:val="00457ED3"/>
    <w:rsid w:val="00460E19"/>
    <w:rsid w:val="00460F78"/>
    <w:rsid w:val="0046459E"/>
    <w:rsid w:val="0046540C"/>
    <w:rsid w:val="004656DD"/>
    <w:rsid w:val="004722CE"/>
    <w:rsid w:val="004735A4"/>
    <w:rsid w:val="00473B93"/>
    <w:rsid w:val="00473D0B"/>
    <w:rsid w:val="004750F3"/>
    <w:rsid w:val="00475149"/>
    <w:rsid w:val="004755EB"/>
    <w:rsid w:val="00477AED"/>
    <w:rsid w:val="004809FF"/>
    <w:rsid w:val="004824BF"/>
    <w:rsid w:val="00490669"/>
    <w:rsid w:val="00490891"/>
    <w:rsid w:val="00491483"/>
    <w:rsid w:val="0049159B"/>
    <w:rsid w:val="00491F4F"/>
    <w:rsid w:val="00492A4C"/>
    <w:rsid w:val="00492E85"/>
    <w:rsid w:val="00495E44"/>
    <w:rsid w:val="004963FD"/>
    <w:rsid w:val="00496B17"/>
    <w:rsid w:val="004971AA"/>
    <w:rsid w:val="00497881"/>
    <w:rsid w:val="00497DAC"/>
    <w:rsid w:val="004A08BE"/>
    <w:rsid w:val="004A0AEB"/>
    <w:rsid w:val="004A0DB8"/>
    <w:rsid w:val="004A1163"/>
    <w:rsid w:val="004A1486"/>
    <w:rsid w:val="004A1EB9"/>
    <w:rsid w:val="004A273B"/>
    <w:rsid w:val="004A4BBF"/>
    <w:rsid w:val="004A594E"/>
    <w:rsid w:val="004A712A"/>
    <w:rsid w:val="004A7D63"/>
    <w:rsid w:val="004A7F86"/>
    <w:rsid w:val="004B0514"/>
    <w:rsid w:val="004B3247"/>
    <w:rsid w:val="004B3FAB"/>
    <w:rsid w:val="004B43F2"/>
    <w:rsid w:val="004B72EB"/>
    <w:rsid w:val="004B7E78"/>
    <w:rsid w:val="004C10B2"/>
    <w:rsid w:val="004C1378"/>
    <w:rsid w:val="004C15FF"/>
    <w:rsid w:val="004C40E1"/>
    <w:rsid w:val="004C46DC"/>
    <w:rsid w:val="004C4885"/>
    <w:rsid w:val="004C4B39"/>
    <w:rsid w:val="004C4F87"/>
    <w:rsid w:val="004C70C4"/>
    <w:rsid w:val="004C7823"/>
    <w:rsid w:val="004D06AD"/>
    <w:rsid w:val="004D076A"/>
    <w:rsid w:val="004D0C79"/>
    <w:rsid w:val="004D3471"/>
    <w:rsid w:val="004D3777"/>
    <w:rsid w:val="004D3C25"/>
    <w:rsid w:val="004D3D67"/>
    <w:rsid w:val="004D4BD3"/>
    <w:rsid w:val="004D4DB1"/>
    <w:rsid w:val="004D5D36"/>
    <w:rsid w:val="004D71C7"/>
    <w:rsid w:val="004D74B5"/>
    <w:rsid w:val="004D7C72"/>
    <w:rsid w:val="004E0164"/>
    <w:rsid w:val="004E254C"/>
    <w:rsid w:val="004E3F95"/>
    <w:rsid w:val="004E7159"/>
    <w:rsid w:val="004F059E"/>
    <w:rsid w:val="004F2007"/>
    <w:rsid w:val="004F3305"/>
    <w:rsid w:val="004F3362"/>
    <w:rsid w:val="004F4CD6"/>
    <w:rsid w:val="004F5CA0"/>
    <w:rsid w:val="005004B3"/>
    <w:rsid w:val="00500C5F"/>
    <w:rsid w:val="00501ECA"/>
    <w:rsid w:val="00502D85"/>
    <w:rsid w:val="00502E2D"/>
    <w:rsid w:val="00502EAD"/>
    <w:rsid w:val="00504CE3"/>
    <w:rsid w:val="00504DBA"/>
    <w:rsid w:val="00505438"/>
    <w:rsid w:val="00505947"/>
    <w:rsid w:val="005075E5"/>
    <w:rsid w:val="00510B37"/>
    <w:rsid w:val="005123B9"/>
    <w:rsid w:val="00513717"/>
    <w:rsid w:val="00513A89"/>
    <w:rsid w:val="00513B40"/>
    <w:rsid w:val="00514713"/>
    <w:rsid w:val="00514A51"/>
    <w:rsid w:val="005155AC"/>
    <w:rsid w:val="005159C7"/>
    <w:rsid w:val="005172E3"/>
    <w:rsid w:val="00517E0E"/>
    <w:rsid w:val="005205FD"/>
    <w:rsid w:val="005222D5"/>
    <w:rsid w:val="0052233B"/>
    <w:rsid w:val="005247F9"/>
    <w:rsid w:val="00524DB7"/>
    <w:rsid w:val="00525A52"/>
    <w:rsid w:val="005262B4"/>
    <w:rsid w:val="005274B9"/>
    <w:rsid w:val="00527DA8"/>
    <w:rsid w:val="0053192F"/>
    <w:rsid w:val="005320EE"/>
    <w:rsid w:val="005325DC"/>
    <w:rsid w:val="00532B49"/>
    <w:rsid w:val="00534170"/>
    <w:rsid w:val="00535815"/>
    <w:rsid w:val="00535B6A"/>
    <w:rsid w:val="00537575"/>
    <w:rsid w:val="00537AF6"/>
    <w:rsid w:val="00537B1C"/>
    <w:rsid w:val="005410DC"/>
    <w:rsid w:val="00541562"/>
    <w:rsid w:val="00541B13"/>
    <w:rsid w:val="00543114"/>
    <w:rsid w:val="00546ECB"/>
    <w:rsid w:val="00547970"/>
    <w:rsid w:val="00547E8E"/>
    <w:rsid w:val="00550C54"/>
    <w:rsid w:val="0055211E"/>
    <w:rsid w:val="005523BF"/>
    <w:rsid w:val="0055392A"/>
    <w:rsid w:val="00553B40"/>
    <w:rsid w:val="005541C0"/>
    <w:rsid w:val="00555811"/>
    <w:rsid w:val="00555E24"/>
    <w:rsid w:val="00556F3D"/>
    <w:rsid w:val="00560016"/>
    <w:rsid w:val="00561D94"/>
    <w:rsid w:val="005629CF"/>
    <w:rsid w:val="005652DD"/>
    <w:rsid w:val="00565CC6"/>
    <w:rsid w:val="00566A37"/>
    <w:rsid w:val="00570495"/>
    <w:rsid w:val="0057278C"/>
    <w:rsid w:val="00573A29"/>
    <w:rsid w:val="005764B4"/>
    <w:rsid w:val="0057654D"/>
    <w:rsid w:val="0057678E"/>
    <w:rsid w:val="00576D75"/>
    <w:rsid w:val="0058033C"/>
    <w:rsid w:val="0058097A"/>
    <w:rsid w:val="00581A7C"/>
    <w:rsid w:val="00583416"/>
    <w:rsid w:val="00583787"/>
    <w:rsid w:val="005839B2"/>
    <w:rsid w:val="00583E92"/>
    <w:rsid w:val="0058509C"/>
    <w:rsid w:val="005852E6"/>
    <w:rsid w:val="005856C3"/>
    <w:rsid w:val="00585EF8"/>
    <w:rsid w:val="0058798D"/>
    <w:rsid w:val="00587C40"/>
    <w:rsid w:val="00590159"/>
    <w:rsid w:val="00590D00"/>
    <w:rsid w:val="005913F3"/>
    <w:rsid w:val="0059143C"/>
    <w:rsid w:val="0059176B"/>
    <w:rsid w:val="00591791"/>
    <w:rsid w:val="00593063"/>
    <w:rsid w:val="00595B27"/>
    <w:rsid w:val="005964F8"/>
    <w:rsid w:val="00597B28"/>
    <w:rsid w:val="005A0842"/>
    <w:rsid w:val="005A0D8B"/>
    <w:rsid w:val="005A1E48"/>
    <w:rsid w:val="005A22DF"/>
    <w:rsid w:val="005A322C"/>
    <w:rsid w:val="005A42F5"/>
    <w:rsid w:val="005A59BF"/>
    <w:rsid w:val="005A6CB7"/>
    <w:rsid w:val="005A7331"/>
    <w:rsid w:val="005A7469"/>
    <w:rsid w:val="005A7ED6"/>
    <w:rsid w:val="005A7F2C"/>
    <w:rsid w:val="005B17EC"/>
    <w:rsid w:val="005B1E52"/>
    <w:rsid w:val="005B2513"/>
    <w:rsid w:val="005B2AEE"/>
    <w:rsid w:val="005B2EB8"/>
    <w:rsid w:val="005B331D"/>
    <w:rsid w:val="005B4DF5"/>
    <w:rsid w:val="005B5BA6"/>
    <w:rsid w:val="005B6189"/>
    <w:rsid w:val="005B6DDF"/>
    <w:rsid w:val="005B7C05"/>
    <w:rsid w:val="005C1163"/>
    <w:rsid w:val="005C11FA"/>
    <w:rsid w:val="005C3085"/>
    <w:rsid w:val="005C36DB"/>
    <w:rsid w:val="005C3819"/>
    <w:rsid w:val="005C5E04"/>
    <w:rsid w:val="005C5ECA"/>
    <w:rsid w:val="005C5F9E"/>
    <w:rsid w:val="005C65CA"/>
    <w:rsid w:val="005C6A56"/>
    <w:rsid w:val="005C6E9E"/>
    <w:rsid w:val="005C7965"/>
    <w:rsid w:val="005D1D9D"/>
    <w:rsid w:val="005D1E76"/>
    <w:rsid w:val="005D278F"/>
    <w:rsid w:val="005D2942"/>
    <w:rsid w:val="005D2AFE"/>
    <w:rsid w:val="005D2B3B"/>
    <w:rsid w:val="005D4B67"/>
    <w:rsid w:val="005D54B1"/>
    <w:rsid w:val="005D69F4"/>
    <w:rsid w:val="005D7314"/>
    <w:rsid w:val="005D7AF3"/>
    <w:rsid w:val="005D7CB3"/>
    <w:rsid w:val="005E1E84"/>
    <w:rsid w:val="005E228B"/>
    <w:rsid w:val="005E5817"/>
    <w:rsid w:val="005E6538"/>
    <w:rsid w:val="005E69AA"/>
    <w:rsid w:val="005E6D0C"/>
    <w:rsid w:val="005E6E03"/>
    <w:rsid w:val="005E7EA8"/>
    <w:rsid w:val="005F1D26"/>
    <w:rsid w:val="005F1DAF"/>
    <w:rsid w:val="005F303F"/>
    <w:rsid w:val="005F352E"/>
    <w:rsid w:val="005F3768"/>
    <w:rsid w:val="005F3A48"/>
    <w:rsid w:val="005F3B5D"/>
    <w:rsid w:val="005F5116"/>
    <w:rsid w:val="005F6E65"/>
    <w:rsid w:val="005F739E"/>
    <w:rsid w:val="00600560"/>
    <w:rsid w:val="006012BD"/>
    <w:rsid w:val="006018FB"/>
    <w:rsid w:val="00601E24"/>
    <w:rsid w:val="0060342A"/>
    <w:rsid w:val="0060367D"/>
    <w:rsid w:val="00605A83"/>
    <w:rsid w:val="00605CD0"/>
    <w:rsid w:val="00606994"/>
    <w:rsid w:val="006075FD"/>
    <w:rsid w:val="006077CE"/>
    <w:rsid w:val="006107E5"/>
    <w:rsid w:val="006111B8"/>
    <w:rsid w:val="00612FF0"/>
    <w:rsid w:val="00613278"/>
    <w:rsid w:val="006133A0"/>
    <w:rsid w:val="00613827"/>
    <w:rsid w:val="006142F5"/>
    <w:rsid w:val="00614BC6"/>
    <w:rsid w:val="00616226"/>
    <w:rsid w:val="006168C9"/>
    <w:rsid w:val="0061743C"/>
    <w:rsid w:val="006176D2"/>
    <w:rsid w:val="0061786C"/>
    <w:rsid w:val="00621A84"/>
    <w:rsid w:val="00622759"/>
    <w:rsid w:val="006231D9"/>
    <w:rsid w:val="00623284"/>
    <w:rsid w:val="0062377D"/>
    <w:rsid w:val="00624F5B"/>
    <w:rsid w:val="006269AF"/>
    <w:rsid w:val="00626E5C"/>
    <w:rsid w:val="0062797B"/>
    <w:rsid w:val="00630E7D"/>
    <w:rsid w:val="00631638"/>
    <w:rsid w:val="0063198B"/>
    <w:rsid w:val="00633132"/>
    <w:rsid w:val="0063389F"/>
    <w:rsid w:val="00634784"/>
    <w:rsid w:val="00634870"/>
    <w:rsid w:val="0063501E"/>
    <w:rsid w:val="006352D3"/>
    <w:rsid w:val="006352EB"/>
    <w:rsid w:val="00636E96"/>
    <w:rsid w:val="006373B8"/>
    <w:rsid w:val="006376DD"/>
    <w:rsid w:val="00641B28"/>
    <w:rsid w:val="00641F0A"/>
    <w:rsid w:val="00642A5F"/>
    <w:rsid w:val="00642D10"/>
    <w:rsid w:val="0064504B"/>
    <w:rsid w:val="00645128"/>
    <w:rsid w:val="00647296"/>
    <w:rsid w:val="00647AB8"/>
    <w:rsid w:val="00650059"/>
    <w:rsid w:val="006520CD"/>
    <w:rsid w:val="0065246E"/>
    <w:rsid w:val="00652625"/>
    <w:rsid w:val="00652845"/>
    <w:rsid w:val="00652C81"/>
    <w:rsid w:val="006530B0"/>
    <w:rsid w:val="00654AAC"/>
    <w:rsid w:val="00655588"/>
    <w:rsid w:val="006563F8"/>
    <w:rsid w:val="0065686A"/>
    <w:rsid w:val="00656E39"/>
    <w:rsid w:val="006571B6"/>
    <w:rsid w:val="00657B58"/>
    <w:rsid w:val="006606C0"/>
    <w:rsid w:val="0066513C"/>
    <w:rsid w:val="00670F33"/>
    <w:rsid w:val="00671023"/>
    <w:rsid w:val="00671BB7"/>
    <w:rsid w:val="00671E3A"/>
    <w:rsid w:val="00672430"/>
    <w:rsid w:val="006739F6"/>
    <w:rsid w:val="00673ACB"/>
    <w:rsid w:val="00673CF9"/>
    <w:rsid w:val="00674A58"/>
    <w:rsid w:val="00675A63"/>
    <w:rsid w:val="006779F5"/>
    <w:rsid w:val="006801A9"/>
    <w:rsid w:val="00680564"/>
    <w:rsid w:val="006809AA"/>
    <w:rsid w:val="006814EC"/>
    <w:rsid w:val="0068263A"/>
    <w:rsid w:val="00682ECB"/>
    <w:rsid w:val="006832BC"/>
    <w:rsid w:val="00683DC6"/>
    <w:rsid w:val="006842EE"/>
    <w:rsid w:val="006843E6"/>
    <w:rsid w:val="006847FF"/>
    <w:rsid w:val="00684903"/>
    <w:rsid w:val="00684E27"/>
    <w:rsid w:val="00685F1A"/>
    <w:rsid w:val="00687625"/>
    <w:rsid w:val="0069003D"/>
    <w:rsid w:val="006909AC"/>
    <w:rsid w:val="00690A3A"/>
    <w:rsid w:val="006929D4"/>
    <w:rsid w:val="00693887"/>
    <w:rsid w:val="00694209"/>
    <w:rsid w:val="0069431D"/>
    <w:rsid w:val="00695631"/>
    <w:rsid w:val="00695EB5"/>
    <w:rsid w:val="0069671D"/>
    <w:rsid w:val="006969B7"/>
    <w:rsid w:val="00697809"/>
    <w:rsid w:val="006A046A"/>
    <w:rsid w:val="006A04A3"/>
    <w:rsid w:val="006A13D0"/>
    <w:rsid w:val="006A1E29"/>
    <w:rsid w:val="006A3DED"/>
    <w:rsid w:val="006A4184"/>
    <w:rsid w:val="006A4DF6"/>
    <w:rsid w:val="006A602A"/>
    <w:rsid w:val="006A7494"/>
    <w:rsid w:val="006A76DB"/>
    <w:rsid w:val="006A7735"/>
    <w:rsid w:val="006B00AD"/>
    <w:rsid w:val="006B0367"/>
    <w:rsid w:val="006B40FC"/>
    <w:rsid w:val="006B45B6"/>
    <w:rsid w:val="006B6C56"/>
    <w:rsid w:val="006C168E"/>
    <w:rsid w:val="006C226E"/>
    <w:rsid w:val="006C294A"/>
    <w:rsid w:val="006C302B"/>
    <w:rsid w:val="006C32D0"/>
    <w:rsid w:val="006C40B6"/>
    <w:rsid w:val="006C469A"/>
    <w:rsid w:val="006C471A"/>
    <w:rsid w:val="006C4AC2"/>
    <w:rsid w:val="006C615F"/>
    <w:rsid w:val="006D05C1"/>
    <w:rsid w:val="006D1A97"/>
    <w:rsid w:val="006D2FB6"/>
    <w:rsid w:val="006D415F"/>
    <w:rsid w:val="006D6C11"/>
    <w:rsid w:val="006D733D"/>
    <w:rsid w:val="006D7F9E"/>
    <w:rsid w:val="006E0137"/>
    <w:rsid w:val="006E04CC"/>
    <w:rsid w:val="006E0A11"/>
    <w:rsid w:val="006E0C33"/>
    <w:rsid w:val="006E1459"/>
    <w:rsid w:val="006E23C3"/>
    <w:rsid w:val="006E34A4"/>
    <w:rsid w:val="006E3BBE"/>
    <w:rsid w:val="006E3BC2"/>
    <w:rsid w:val="006E3C65"/>
    <w:rsid w:val="006E5719"/>
    <w:rsid w:val="006E5FA3"/>
    <w:rsid w:val="006E6513"/>
    <w:rsid w:val="006E742D"/>
    <w:rsid w:val="006E76F0"/>
    <w:rsid w:val="006F0FCC"/>
    <w:rsid w:val="006F12B7"/>
    <w:rsid w:val="006F131B"/>
    <w:rsid w:val="006F2ADD"/>
    <w:rsid w:val="006F3883"/>
    <w:rsid w:val="006F5405"/>
    <w:rsid w:val="006F5406"/>
    <w:rsid w:val="006F5644"/>
    <w:rsid w:val="006F6341"/>
    <w:rsid w:val="006F66AA"/>
    <w:rsid w:val="006F775C"/>
    <w:rsid w:val="0070389D"/>
    <w:rsid w:val="00705731"/>
    <w:rsid w:val="00705AF9"/>
    <w:rsid w:val="00706189"/>
    <w:rsid w:val="00706603"/>
    <w:rsid w:val="00710984"/>
    <w:rsid w:val="00710B70"/>
    <w:rsid w:val="00711938"/>
    <w:rsid w:val="00711E87"/>
    <w:rsid w:val="007137FA"/>
    <w:rsid w:val="00714953"/>
    <w:rsid w:val="00717457"/>
    <w:rsid w:val="00717DC1"/>
    <w:rsid w:val="00721E36"/>
    <w:rsid w:val="007223F8"/>
    <w:rsid w:val="00722501"/>
    <w:rsid w:val="00722BFC"/>
    <w:rsid w:val="00723C6C"/>
    <w:rsid w:val="007242E7"/>
    <w:rsid w:val="00724848"/>
    <w:rsid w:val="00725A58"/>
    <w:rsid w:val="00725DB5"/>
    <w:rsid w:val="0073027C"/>
    <w:rsid w:val="00730D5D"/>
    <w:rsid w:val="0073292D"/>
    <w:rsid w:val="00733088"/>
    <w:rsid w:val="00733096"/>
    <w:rsid w:val="007344B6"/>
    <w:rsid w:val="00735F4A"/>
    <w:rsid w:val="0073623E"/>
    <w:rsid w:val="007368E6"/>
    <w:rsid w:val="00737B40"/>
    <w:rsid w:val="00741D9E"/>
    <w:rsid w:val="00742876"/>
    <w:rsid w:val="007431A7"/>
    <w:rsid w:val="00743BE0"/>
    <w:rsid w:val="00743ECA"/>
    <w:rsid w:val="007453AD"/>
    <w:rsid w:val="007466D9"/>
    <w:rsid w:val="00746B37"/>
    <w:rsid w:val="0074726F"/>
    <w:rsid w:val="00750236"/>
    <w:rsid w:val="00750BAD"/>
    <w:rsid w:val="00750CED"/>
    <w:rsid w:val="007523EB"/>
    <w:rsid w:val="0075606E"/>
    <w:rsid w:val="00760474"/>
    <w:rsid w:val="00761E9D"/>
    <w:rsid w:val="00764906"/>
    <w:rsid w:val="00765419"/>
    <w:rsid w:val="00765D53"/>
    <w:rsid w:val="00766315"/>
    <w:rsid w:val="00766E9E"/>
    <w:rsid w:val="00767663"/>
    <w:rsid w:val="00767C06"/>
    <w:rsid w:val="00770000"/>
    <w:rsid w:val="007701C8"/>
    <w:rsid w:val="00770FF0"/>
    <w:rsid w:val="00771E4A"/>
    <w:rsid w:val="00774569"/>
    <w:rsid w:val="00774A26"/>
    <w:rsid w:val="00776191"/>
    <w:rsid w:val="00776A31"/>
    <w:rsid w:val="00776DFE"/>
    <w:rsid w:val="00776E9A"/>
    <w:rsid w:val="0078011D"/>
    <w:rsid w:val="007807FC"/>
    <w:rsid w:val="007819CF"/>
    <w:rsid w:val="00781FB5"/>
    <w:rsid w:val="007828AA"/>
    <w:rsid w:val="00783DCE"/>
    <w:rsid w:val="007844E3"/>
    <w:rsid w:val="00784B53"/>
    <w:rsid w:val="007858F5"/>
    <w:rsid w:val="00787127"/>
    <w:rsid w:val="007872CA"/>
    <w:rsid w:val="00787BD0"/>
    <w:rsid w:val="00787E44"/>
    <w:rsid w:val="007906F6"/>
    <w:rsid w:val="00791C60"/>
    <w:rsid w:val="00791D7C"/>
    <w:rsid w:val="007921D5"/>
    <w:rsid w:val="0079236C"/>
    <w:rsid w:val="0079397D"/>
    <w:rsid w:val="0079416F"/>
    <w:rsid w:val="00795149"/>
    <w:rsid w:val="00796092"/>
    <w:rsid w:val="007A06D3"/>
    <w:rsid w:val="007A0A88"/>
    <w:rsid w:val="007A1B74"/>
    <w:rsid w:val="007A34DE"/>
    <w:rsid w:val="007A3795"/>
    <w:rsid w:val="007A3AE3"/>
    <w:rsid w:val="007A5021"/>
    <w:rsid w:val="007A641E"/>
    <w:rsid w:val="007A65C0"/>
    <w:rsid w:val="007A735C"/>
    <w:rsid w:val="007A7F09"/>
    <w:rsid w:val="007B079C"/>
    <w:rsid w:val="007B12BE"/>
    <w:rsid w:val="007B1E69"/>
    <w:rsid w:val="007B6970"/>
    <w:rsid w:val="007C2225"/>
    <w:rsid w:val="007C272C"/>
    <w:rsid w:val="007C4214"/>
    <w:rsid w:val="007C511A"/>
    <w:rsid w:val="007C5134"/>
    <w:rsid w:val="007C7191"/>
    <w:rsid w:val="007C73B5"/>
    <w:rsid w:val="007C7694"/>
    <w:rsid w:val="007D0610"/>
    <w:rsid w:val="007D0EB7"/>
    <w:rsid w:val="007D257B"/>
    <w:rsid w:val="007D2F3A"/>
    <w:rsid w:val="007D358B"/>
    <w:rsid w:val="007D38FD"/>
    <w:rsid w:val="007D46DA"/>
    <w:rsid w:val="007D5322"/>
    <w:rsid w:val="007D6CC8"/>
    <w:rsid w:val="007D7A07"/>
    <w:rsid w:val="007E078D"/>
    <w:rsid w:val="007E1866"/>
    <w:rsid w:val="007E1E23"/>
    <w:rsid w:val="007E2216"/>
    <w:rsid w:val="007E2B21"/>
    <w:rsid w:val="007E519F"/>
    <w:rsid w:val="007E720F"/>
    <w:rsid w:val="007E7A76"/>
    <w:rsid w:val="007E7BF2"/>
    <w:rsid w:val="007F0ACA"/>
    <w:rsid w:val="007F2D27"/>
    <w:rsid w:val="007F338B"/>
    <w:rsid w:val="007F584B"/>
    <w:rsid w:val="007F6132"/>
    <w:rsid w:val="0080008E"/>
    <w:rsid w:val="008016EA"/>
    <w:rsid w:val="00801A1D"/>
    <w:rsid w:val="00802B72"/>
    <w:rsid w:val="00806306"/>
    <w:rsid w:val="00807199"/>
    <w:rsid w:val="00807787"/>
    <w:rsid w:val="008078C3"/>
    <w:rsid w:val="00807D04"/>
    <w:rsid w:val="008108D2"/>
    <w:rsid w:val="00811057"/>
    <w:rsid w:val="00812425"/>
    <w:rsid w:val="00812960"/>
    <w:rsid w:val="00813186"/>
    <w:rsid w:val="00813352"/>
    <w:rsid w:val="00816AE7"/>
    <w:rsid w:val="00816DDB"/>
    <w:rsid w:val="008209CA"/>
    <w:rsid w:val="00820F73"/>
    <w:rsid w:val="00821039"/>
    <w:rsid w:val="00821619"/>
    <w:rsid w:val="00821B0A"/>
    <w:rsid w:val="00822B89"/>
    <w:rsid w:val="00822D29"/>
    <w:rsid w:val="00822D4F"/>
    <w:rsid w:val="00823FC0"/>
    <w:rsid w:val="0082408D"/>
    <w:rsid w:val="00824CBD"/>
    <w:rsid w:val="00825BDC"/>
    <w:rsid w:val="00825D18"/>
    <w:rsid w:val="00825D47"/>
    <w:rsid w:val="00830317"/>
    <w:rsid w:val="00831450"/>
    <w:rsid w:val="00831FA4"/>
    <w:rsid w:val="0083218B"/>
    <w:rsid w:val="00832940"/>
    <w:rsid w:val="008343C1"/>
    <w:rsid w:val="008349EF"/>
    <w:rsid w:val="00836035"/>
    <w:rsid w:val="008363AF"/>
    <w:rsid w:val="0083766F"/>
    <w:rsid w:val="008378B7"/>
    <w:rsid w:val="00841093"/>
    <w:rsid w:val="00841269"/>
    <w:rsid w:val="008433DF"/>
    <w:rsid w:val="008444BC"/>
    <w:rsid w:val="008448D9"/>
    <w:rsid w:val="00844F3B"/>
    <w:rsid w:val="00844FAA"/>
    <w:rsid w:val="00845A4B"/>
    <w:rsid w:val="00847DF6"/>
    <w:rsid w:val="0085021A"/>
    <w:rsid w:val="00850AFD"/>
    <w:rsid w:val="0085110F"/>
    <w:rsid w:val="0085117B"/>
    <w:rsid w:val="008516AD"/>
    <w:rsid w:val="00851967"/>
    <w:rsid w:val="00852CD4"/>
    <w:rsid w:val="008539FF"/>
    <w:rsid w:val="008551E5"/>
    <w:rsid w:val="00855B8A"/>
    <w:rsid w:val="008562AB"/>
    <w:rsid w:val="00856E56"/>
    <w:rsid w:val="0086099C"/>
    <w:rsid w:val="00860CED"/>
    <w:rsid w:val="00861AAA"/>
    <w:rsid w:val="00862788"/>
    <w:rsid w:val="00863DF3"/>
    <w:rsid w:val="00865045"/>
    <w:rsid w:val="008650CC"/>
    <w:rsid w:val="0086564E"/>
    <w:rsid w:val="0086575D"/>
    <w:rsid w:val="008671D8"/>
    <w:rsid w:val="008679CD"/>
    <w:rsid w:val="008705B1"/>
    <w:rsid w:val="008708E1"/>
    <w:rsid w:val="008708EA"/>
    <w:rsid w:val="00871306"/>
    <w:rsid w:val="0087259E"/>
    <w:rsid w:val="00873600"/>
    <w:rsid w:val="00873B90"/>
    <w:rsid w:val="00874BCB"/>
    <w:rsid w:val="008773A7"/>
    <w:rsid w:val="0088064C"/>
    <w:rsid w:val="00880709"/>
    <w:rsid w:val="00880A90"/>
    <w:rsid w:val="00880F61"/>
    <w:rsid w:val="0088198B"/>
    <w:rsid w:val="00881EA6"/>
    <w:rsid w:val="00883322"/>
    <w:rsid w:val="00883486"/>
    <w:rsid w:val="00883DA5"/>
    <w:rsid w:val="00883DB5"/>
    <w:rsid w:val="00885342"/>
    <w:rsid w:val="0088769B"/>
    <w:rsid w:val="00891C38"/>
    <w:rsid w:val="00892B28"/>
    <w:rsid w:val="00893834"/>
    <w:rsid w:val="00894690"/>
    <w:rsid w:val="008957CF"/>
    <w:rsid w:val="00897F72"/>
    <w:rsid w:val="008A083F"/>
    <w:rsid w:val="008A123E"/>
    <w:rsid w:val="008A1C88"/>
    <w:rsid w:val="008A1ECD"/>
    <w:rsid w:val="008A30D6"/>
    <w:rsid w:val="008A35EF"/>
    <w:rsid w:val="008A39EF"/>
    <w:rsid w:val="008A452D"/>
    <w:rsid w:val="008A4841"/>
    <w:rsid w:val="008A50D7"/>
    <w:rsid w:val="008A53FD"/>
    <w:rsid w:val="008A5422"/>
    <w:rsid w:val="008A558B"/>
    <w:rsid w:val="008B2811"/>
    <w:rsid w:val="008B3E3E"/>
    <w:rsid w:val="008B5C42"/>
    <w:rsid w:val="008B6562"/>
    <w:rsid w:val="008B6585"/>
    <w:rsid w:val="008B7990"/>
    <w:rsid w:val="008C0EDC"/>
    <w:rsid w:val="008C1E43"/>
    <w:rsid w:val="008C4B8D"/>
    <w:rsid w:val="008C6705"/>
    <w:rsid w:val="008C6921"/>
    <w:rsid w:val="008C6B5E"/>
    <w:rsid w:val="008C7FE3"/>
    <w:rsid w:val="008D0313"/>
    <w:rsid w:val="008D1A0D"/>
    <w:rsid w:val="008D3D6D"/>
    <w:rsid w:val="008D45D7"/>
    <w:rsid w:val="008D56D2"/>
    <w:rsid w:val="008D57FF"/>
    <w:rsid w:val="008D65C6"/>
    <w:rsid w:val="008D6CA3"/>
    <w:rsid w:val="008E1C3C"/>
    <w:rsid w:val="008E479C"/>
    <w:rsid w:val="008E5C59"/>
    <w:rsid w:val="008E5DBA"/>
    <w:rsid w:val="008E686F"/>
    <w:rsid w:val="008F07B6"/>
    <w:rsid w:val="008F1C5C"/>
    <w:rsid w:val="008F217F"/>
    <w:rsid w:val="008F2625"/>
    <w:rsid w:val="008F2C52"/>
    <w:rsid w:val="008F2C6C"/>
    <w:rsid w:val="008F487F"/>
    <w:rsid w:val="008F4B8C"/>
    <w:rsid w:val="008F5118"/>
    <w:rsid w:val="008F7807"/>
    <w:rsid w:val="008F7D2C"/>
    <w:rsid w:val="009025FB"/>
    <w:rsid w:val="0090268B"/>
    <w:rsid w:val="009027F5"/>
    <w:rsid w:val="0090786D"/>
    <w:rsid w:val="009105D9"/>
    <w:rsid w:val="00910BF2"/>
    <w:rsid w:val="00910E18"/>
    <w:rsid w:val="00910FAF"/>
    <w:rsid w:val="00912370"/>
    <w:rsid w:val="00912C99"/>
    <w:rsid w:val="00913D95"/>
    <w:rsid w:val="00913E19"/>
    <w:rsid w:val="00914DF8"/>
    <w:rsid w:val="00915455"/>
    <w:rsid w:val="00916D2F"/>
    <w:rsid w:val="009174A1"/>
    <w:rsid w:val="00920B5E"/>
    <w:rsid w:val="00921377"/>
    <w:rsid w:val="0092289A"/>
    <w:rsid w:val="0092369A"/>
    <w:rsid w:val="009267EC"/>
    <w:rsid w:val="00926CC4"/>
    <w:rsid w:val="0092782A"/>
    <w:rsid w:val="00927EFA"/>
    <w:rsid w:val="0093094E"/>
    <w:rsid w:val="00931AA4"/>
    <w:rsid w:val="00933954"/>
    <w:rsid w:val="00933AC0"/>
    <w:rsid w:val="0093455F"/>
    <w:rsid w:val="00934830"/>
    <w:rsid w:val="00935757"/>
    <w:rsid w:val="009365FA"/>
    <w:rsid w:val="0093685F"/>
    <w:rsid w:val="00937EDE"/>
    <w:rsid w:val="00940C2B"/>
    <w:rsid w:val="00941C9B"/>
    <w:rsid w:val="00942B3D"/>
    <w:rsid w:val="00943698"/>
    <w:rsid w:val="00943C4E"/>
    <w:rsid w:val="00945161"/>
    <w:rsid w:val="00945529"/>
    <w:rsid w:val="00946484"/>
    <w:rsid w:val="00947B7F"/>
    <w:rsid w:val="00950230"/>
    <w:rsid w:val="00950410"/>
    <w:rsid w:val="00950BD8"/>
    <w:rsid w:val="00951244"/>
    <w:rsid w:val="00952502"/>
    <w:rsid w:val="009525A1"/>
    <w:rsid w:val="009530C8"/>
    <w:rsid w:val="00953D6C"/>
    <w:rsid w:val="00953FB3"/>
    <w:rsid w:val="00954D9C"/>
    <w:rsid w:val="009552C7"/>
    <w:rsid w:val="0095530E"/>
    <w:rsid w:val="00955BE9"/>
    <w:rsid w:val="0095610A"/>
    <w:rsid w:val="00956DF2"/>
    <w:rsid w:val="0095750F"/>
    <w:rsid w:val="009616D8"/>
    <w:rsid w:val="00961F32"/>
    <w:rsid w:val="009627BD"/>
    <w:rsid w:val="00963BE3"/>
    <w:rsid w:val="00967D8B"/>
    <w:rsid w:val="00970742"/>
    <w:rsid w:val="009716C3"/>
    <w:rsid w:val="0097285F"/>
    <w:rsid w:val="009734FF"/>
    <w:rsid w:val="009736B2"/>
    <w:rsid w:val="00974C13"/>
    <w:rsid w:val="00974E24"/>
    <w:rsid w:val="00974ED6"/>
    <w:rsid w:val="00975C3C"/>
    <w:rsid w:val="00976C8D"/>
    <w:rsid w:val="0098003A"/>
    <w:rsid w:val="009801B7"/>
    <w:rsid w:val="0098062C"/>
    <w:rsid w:val="0098219C"/>
    <w:rsid w:val="009829A7"/>
    <w:rsid w:val="00984FA1"/>
    <w:rsid w:val="00985574"/>
    <w:rsid w:val="009900D5"/>
    <w:rsid w:val="00992E04"/>
    <w:rsid w:val="009942DE"/>
    <w:rsid w:val="0099491E"/>
    <w:rsid w:val="009957B1"/>
    <w:rsid w:val="00996BDD"/>
    <w:rsid w:val="009977FE"/>
    <w:rsid w:val="009A2711"/>
    <w:rsid w:val="009A310D"/>
    <w:rsid w:val="009A5B65"/>
    <w:rsid w:val="009B09B6"/>
    <w:rsid w:val="009B2983"/>
    <w:rsid w:val="009B3247"/>
    <w:rsid w:val="009B38C8"/>
    <w:rsid w:val="009B5F75"/>
    <w:rsid w:val="009B6720"/>
    <w:rsid w:val="009C18C0"/>
    <w:rsid w:val="009C19B0"/>
    <w:rsid w:val="009C1D17"/>
    <w:rsid w:val="009C2DAD"/>
    <w:rsid w:val="009C3B96"/>
    <w:rsid w:val="009C3D82"/>
    <w:rsid w:val="009C5847"/>
    <w:rsid w:val="009C65C6"/>
    <w:rsid w:val="009C7216"/>
    <w:rsid w:val="009C7BED"/>
    <w:rsid w:val="009D0173"/>
    <w:rsid w:val="009D0B6E"/>
    <w:rsid w:val="009D12C8"/>
    <w:rsid w:val="009D3261"/>
    <w:rsid w:val="009D33B4"/>
    <w:rsid w:val="009D4ABC"/>
    <w:rsid w:val="009D5563"/>
    <w:rsid w:val="009D6AA9"/>
    <w:rsid w:val="009E0BFA"/>
    <w:rsid w:val="009E0F75"/>
    <w:rsid w:val="009E4719"/>
    <w:rsid w:val="009E516F"/>
    <w:rsid w:val="009E6E6A"/>
    <w:rsid w:val="009E732A"/>
    <w:rsid w:val="009F181A"/>
    <w:rsid w:val="009F2D7F"/>
    <w:rsid w:val="009F3D06"/>
    <w:rsid w:val="009F654A"/>
    <w:rsid w:val="009F6812"/>
    <w:rsid w:val="009F6A4F"/>
    <w:rsid w:val="009F765A"/>
    <w:rsid w:val="00A017E0"/>
    <w:rsid w:val="00A01950"/>
    <w:rsid w:val="00A024BC"/>
    <w:rsid w:val="00A033AB"/>
    <w:rsid w:val="00A04592"/>
    <w:rsid w:val="00A0581C"/>
    <w:rsid w:val="00A05E71"/>
    <w:rsid w:val="00A06D22"/>
    <w:rsid w:val="00A10286"/>
    <w:rsid w:val="00A1121A"/>
    <w:rsid w:val="00A1128C"/>
    <w:rsid w:val="00A11494"/>
    <w:rsid w:val="00A11BFB"/>
    <w:rsid w:val="00A12F69"/>
    <w:rsid w:val="00A13A22"/>
    <w:rsid w:val="00A142D3"/>
    <w:rsid w:val="00A14D4A"/>
    <w:rsid w:val="00A15F90"/>
    <w:rsid w:val="00A20414"/>
    <w:rsid w:val="00A2321E"/>
    <w:rsid w:val="00A23C24"/>
    <w:rsid w:val="00A243E7"/>
    <w:rsid w:val="00A250C6"/>
    <w:rsid w:val="00A25837"/>
    <w:rsid w:val="00A258A6"/>
    <w:rsid w:val="00A26437"/>
    <w:rsid w:val="00A26739"/>
    <w:rsid w:val="00A27191"/>
    <w:rsid w:val="00A2723C"/>
    <w:rsid w:val="00A300F7"/>
    <w:rsid w:val="00A305F9"/>
    <w:rsid w:val="00A32BBC"/>
    <w:rsid w:val="00A330FA"/>
    <w:rsid w:val="00A3362C"/>
    <w:rsid w:val="00A34AB1"/>
    <w:rsid w:val="00A35AB3"/>
    <w:rsid w:val="00A35B47"/>
    <w:rsid w:val="00A35B4F"/>
    <w:rsid w:val="00A36142"/>
    <w:rsid w:val="00A3647E"/>
    <w:rsid w:val="00A36C57"/>
    <w:rsid w:val="00A3782A"/>
    <w:rsid w:val="00A37C51"/>
    <w:rsid w:val="00A4005D"/>
    <w:rsid w:val="00A4151F"/>
    <w:rsid w:val="00A41978"/>
    <w:rsid w:val="00A425E2"/>
    <w:rsid w:val="00A4319F"/>
    <w:rsid w:val="00A43B9B"/>
    <w:rsid w:val="00A440D0"/>
    <w:rsid w:val="00A45087"/>
    <w:rsid w:val="00A46D29"/>
    <w:rsid w:val="00A47107"/>
    <w:rsid w:val="00A4716E"/>
    <w:rsid w:val="00A47EEE"/>
    <w:rsid w:val="00A51497"/>
    <w:rsid w:val="00A53C85"/>
    <w:rsid w:val="00A543AF"/>
    <w:rsid w:val="00A54E15"/>
    <w:rsid w:val="00A56975"/>
    <w:rsid w:val="00A577C0"/>
    <w:rsid w:val="00A6099C"/>
    <w:rsid w:val="00A609C5"/>
    <w:rsid w:val="00A61E98"/>
    <w:rsid w:val="00A62C3B"/>
    <w:rsid w:val="00A64823"/>
    <w:rsid w:val="00A66380"/>
    <w:rsid w:val="00A66875"/>
    <w:rsid w:val="00A66DD9"/>
    <w:rsid w:val="00A67350"/>
    <w:rsid w:val="00A67E59"/>
    <w:rsid w:val="00A70CC1"/>
    <w:rsid w:val="00A70E73"/>
    <w:rsid w:val="00A71E1E"/>
    <w:rsid w:val="00A7217E"/>
    <w:rsid w:val="00A72284"/>
    <w:rsid w:val="00A74802"/>
    <w:rsid w:val="00A74953"/>
    <w:rsid w:val="00A76524"/>
    <w:rsid w:val="00A76948"/>
    <w:rsid w:val="00A80FC0"/>
    <w:rsid w:val="00A8166A"/>
    <w:rsid w:val="00A84AE1"/>
    <w:rsid w:val="00A84C01"/>
    <w:rsid w:val="00A87367"/>
    <w:rsid w:val="00A873B0"/>
    <w:rsid w:val="00A903D5"/>
    <w:rsid w:val="00A92C07"/>
    <w:rsid w:val="00A952F4"/>
    <w:rsid w:val="00A9579A"/>
    <w:rsid w:val="00A95893"/>
    <w:rsid w:val="00A9625B"/>
    <w:rsid w:val="00A962B9"/>
    <w:rsid w:val="00A97122"/>
    <w:rsid w:val="00A97AD3"/>
    <w:rsid w:val="00A97EB7"/>
    <w:rsid w:val="00AA08FF"/>
    <w:rsid w:val="00AA1D7F"/>
    <w:rsid w:val="00AA1FB6"/>
    <w:rsid w:val="00AA29F9"/>
    <w:rsid w:val="00AA2BDF"/>
    <w:rsid w:val="00AA31CE"/>
    <w:rsid w:val="00AA54CE"/>
    <w:rsid w:val="00AA58D3"/>
    <w:rsid w:val="00AA6B5B"/>
    <w:rsid w:val="00AB075D"/>
    <w:rsid w:val="00AB1BED"/>
    <w:rsid w:val="00AB20D5"/>
    <w:rsid w:val="00AB29E9"/>
    <w:rsid w:val="00AB4874"/>
    <w:rsid w:val="00AB4AE4"/>
    <w:rsid w:val="00AB553D"/>
    <w:rsid w:val="00AB694E"/>
    <w:rsid w:val="00AB69B2"/>
    <w:rsid w:val="00AB6F3C"/>
    <w:rsid w:val="00AC0432"/>
    <w:rsid w:val="00AC05A0"/>
    <w:rsid w:val="00AC16D3"/>
    <w:rsid w:val="00AC289F"/>
    <w:rsid w:val="00AC4C6F"/>
    <w:rsid w:val="00AC5E77"/>
    <w:rsid w:val="00AC6EF4"/>
    <w:rsid w:val="00AD14CC"/>
    <w:rsid w:val="00AD2E95"/>
    <w:rsid w:val="00AD512E"/>
    <w:rsid w:val="00AD5E24"/>
    <w:rsid w:val="00AD6A2F"/>
    <w:rsid w:val="00AE0941"/>
    <w:rsid w:val="00AE22BB"/>
    <w:rsid w:val="00AE2864"/>
    <w:rsid w:val="00AE3D03"/>
    <w:rsid w:val="00AE414F"/>
    <w:rsid w:val="00AE4735"/>
    <w:rsid w:val="00AE47A1"/>
    <w:rsid w:val="00AE519B"/>
    <w:rsid w:val="00AE552E"/>
    <w:rsid w:val="00AE7DBB"/>
    <w:rsid w:val="00AF0987"/>
    <w:rsid w:val="00AF0FF7"/>
    <w:rsid w:val="00AF458D"/>
    <w:rsid w:val="00AF467B"/>
    <w:rsid w:val="00AF4AE2"/>
    <w:rsid w:val="00AF5019"/>
    <w:rsid w:val="00AF5A5B"/>
    <w:rsid w:val="00AF68F4"/>
    <w:rsid w:val="00B01447"/>
    <w:rsid w:val="00B03D2F"/>
    <w:rsid w:val="00B04690"/>
    <w:rsid w:val="00B047E8"/>
    <w:rsid w:val="00B04866"/>
    <w:rsid w:val="00B04A0D"/>
    <w:rsid w:val="00B05B75"/>
    <w:rsid w:val="00B067A8"/>
    <w:rsid w:val="00B06BED"/>
    <w:rsid w:val="00B06F23"/>
    <w:rsid w:val="00B1036D"/>
    <w:rsid w:val="00B1289A"/>
    <w:rsid w:val="00B132B8"/>
    <w:rsid w:val="00B137F4"/>
    <w:rsid w:val="00B14B6C"/>
    <w:rsid w:val="00B14C74"/>
    <w:rsid w:val="00B15C71"/>
    <w:rsid w:val="00B162EB"/>
    <w:rsid w:val="00B16E5B"/>
    <w:rsid w:val="00B17286"/>
    <w:rsid w:val="00B20042"/>
    <w:rsid w:val="00B20E1E"/>
    <w:rsid w:val="00B20FC2"/>
    <w:rsid w:val="00B2155B"/>
    <w:rsid w:val="00B2188D"/>
    <w:rsid w:val="00B21E15"/>
    <w:rsid w:val="00B225FE"/>
    <w:rsid w:val="00B23D2D"/>
    <w:rsid w:val="00B24D95"/>
    <w:rsid w:val="00B250BE"/>
    <w:rsid w:val="00B25525"/>
    <w:rsid w:val="00B26196"/>
    <w:rsid w:val="00B26B5B"/>
    <w:rsid w:val="00B2744D"/>
    <w:rsid w:val="00B279F6"/>
    <w:rsid w:val="00B300AF"/>
    <w:rsid w:val="00B30858"/>
    <w:rsid w:val="00B30F08"/>
    <w:rsid w:val="00B30F24"/>
    <w:rsid w:val="00B31A96"/>
    <w:rsid w:val="00B31D6F"/>
    <w:rsid w:val="00B32060"/>
    <w:rsid w:val="00B325B9"/>
    <w:rsid w:val="00B3781D"/>
    <w:rsid w:val="00B425B1"/>
    <w:rsid w:val="00B42E03"/>
    <w:rsid w:val="00B435F7"/>
    <w:rsid w:val="00B442AA"/>
    <w:rsid w:val="00B446E1"/>
    <w:rsid w:val="00B457CD"/>
    <w:rsid w:val="00B47061"/>
    <w:rsid w:val="00B51177"/>
    <w:rsid w:val="00B511CF"/>
    <w:rsid w:val="00B514FA"/>
    <w:rsid w:val="00B51979"/>
    <w:rsid w:val="00B52F7C"/>
    <w:rsid w:val="00B531C0"/>
    <w:rsid w:val="00B5350E"/>
    <w:rsid w:val="00B5396D"/>
    <w:rsid w:val="00B544E7"/>
    <w:rsid w:val="00B548D2"/>
    <w:rsid w:val="00B554B8"/>
    <w:rsid w:val="00B60175"/>
    <w:rsid w:val="00B603C3"/>
    <w:rsid w:val="00B61D2C"/>
    <w:rsid w:val="00B620AF"/>
    <w:rsid w:val="00B633E7"/>
    <w:rsid w:val="00B634A5"/>
    <w:rsid w:val="00B65548"/>
    <w:rsid w:val="00B65613"/>
    <w:rsid w:val="00B65FAC"/>
    <w:rsid w:val="00B67408"/>
    <w:rsid w:val="00B677D3"/>
    <w:rsid w:val="00B67B08"/>
    <w:rsid w:val="00B71A4A"/>
    <w:rsid w:val="00B71D25"/>
    <w:rsid w:val="00B71DE2"/>
    <w:rsid w:val="00B724F6"/>
    <w:rsid w:val="00B75921"/>
    <w:rsid w:val="00B75A48"/>
    <w:rsid w:val="00B77221"/>
    <w:rsid w:val="00B7767D"/>
    <w:rsid w:val="00B776B9"/>
    <w:rsid w:val="00B80779"/>
    <w:rsid w:val="00B80CB1"/>
    <w:rsid w:val="00B81D39"/>
    <w:rsid w:val="00B827A0"/>
    <w:rsid w:val="00B828EC"/>
    <w:rsid w:val="00B82DF7"/>
    <w:rsid w:val="00B830A6"/>
    <w:rsid w:val="00B83DC1"/>
    <w:rsid w:val="00B83EF5"/>
    <w:rsid w:val="00B83FA3"/>
    <w:rsid w:val="00B846F3"/>
    <w:rsid w:val="00B86ED2"/>
    <w:rsid w:val="00B879E6"/>
    <w:rsid w:val="00B9062D"/>
    <w:rsid w:val="00B93FA6"/>
    <w:rsid w:val="00B94B2D"/>
    <w:rsid w:val="00B960AC"/>
    <w:rsid w:val="00B96A43"/>
    <w:rsid w:val="00B975AF"/>
    <w:rsid w:val="00B97D6A"/>
    <w:rsid w:val="00BA06C3"/>
    <w:rsid w:val="00BA0A00"/>
    <w:rsid w:val="00BA0CC2"/>
    <w:rsid w:val="00BA1F29"/>
    <w:rsid w:val="00BA34B2"/>
    <w:rsid w:val="00BA3C76"/>
    <w:rsid w:val="00BA4519"/>
    <w:rsid w:val="00BA535B"/>
    <w:rsid w:val="00BA548A"/>
    <w:rsid w:val="00BA597D"/>
    <w:rsid w:val="00BA66BE"/>
    <w:rsid w:val="00BA752A"/>
    <w:rsid w:val="00BB0AD0"/>
    <w:rsid w:val="00BB1356"/>
    <w:rsid w:val="00BB13C7"/>
    <w:rsid w:val="00BB2BF6"/>
    <w:rsid w:val="00BB308C"/>
    <w:rsid w:val="00BB328B"/>
    <w:rsid w:val="00BB497A"/>
    <w:rsid w:val="00BC0CE6"/>
    <w:rsid w:val="00BC2991"/>
    <w:rsid w:val="00BC6543"/>
    <w:rsid w:val="00BC66F0"/>
    <w:rsid w:val="00BC6874"/>
    <w:rsid w:val="00BC6988"/>
    <w:rsid w:val="00BC6DE3"/>
    <w:rsid w:val="00BC7D4F"/>
    <w:rsid w:val="00BD0888"/>
    <w:rsid w:val="00BD22CA"/>
    <w:rsid w:val="00BD3213"/>
    <w:rsid w:val="00BD333E"/>
    <w:rsid w:val="00BD3782"/>
    <w:rsid w:val="00BD432F"/>
    <w:rsid w:val="00BD76BA"/>
    <w:rsid w:val="00BE0C68"/>
    <w:rsid w:val="00BE144D"/>
    <w:rsid w:val="00BE173F"/>
    <w:rsid w:val="00BE1AFA"/>
    <w:rsid w:val="00BE2162"/>
    <w:rsid w:val="00BE3860"/>
    <w:rsid w:val="00BE3B46"/>
    <w:rsid w:val="00BE42D5"/>
    <w:rsid w:val="00BE4E5D"/>
    <w:rsid w:val="00BE5C0E"/>
    <w:rsid w:val="00BE5C14"/>
    <w:rsid w:val="00BF272A"/>
    <w:rsid w:val="00BF3B7A"/>
    <w:rsid w:val="00BF490F"/>
    <w:rsid w:val="00BF4A9B"/>
    <w:rsid w:val="00BF5C91"/>
    <w:rsid w:val="00BF640A"/>
    <w:rsid w:val="00C00D36"/>
    <w:rsid w:val="00C011F4"/>
    <w:rsid w:val="00C01638"/>
    <w:rsid w:val="00C01A6F"/>
    <w:rsid w:val="00C01E6E"/>
    <w:rsid w:val="00C021FB"/>
    <w:rsid w:val="00C03137"/>
    <w:rsid w:val="00C04FC0"/>
    <w:rsid w:val="00C05454"/>
    <w:rsid w:val="00C05FAC"/>
    <w:rsid w:val="00C067BE"/>
    <w:rsid w:val="00C07F5A"/>
    <w:rsid w:val="00C127B8"/>
    <w:rsid w:val="00C12841"/>
    <w:rsid w:val="00C14702"/>
    <w:rsid w:val="00C1482D"/>
    <w:rsid w:val="00C16100"/>
    <w:rsid w:val="00C174CA"/>
    <w:rsid w:val="00C176F7"/>
    <w:rsid w:val="00C1771F"/>
    <w:rsid w:val="00C1793B"/>
    <w:rsid w:val="00C21543"/>
    <w:rsid w:val="00C219CC"/>
    <w:rsid w:val="00C2236A"/>
    <w:rsid w:val="00C231E3"/>
    <w:rsid w:val="00C23C60"/>
    <w:rsid w:val="00C23D0B"/>
    <w:rsid w:val="00C23F7D"/>
    <w:rsid w:val="00C248E0"/>
    <w:rsid w:val="00C2683D"/>
    <w:rsid w:val="00C26ABC"/>
    <w:rsid w:val="00C26B74"/>
    <w:rsid w:val="00C26EA5"/>
    <w:rsid w:val="00C275B4"/>
    <w:rsid w:val="00C30A12"/>
    <w:rsid w:val="00C327DD"/>
    <w:rsid w:val="00C32880"/>
    <w:rsid w:val="00C34E76"/>
    <w:rsid w:val="00C34F96"/>
    <w:rsid w:val="00C371D0"/>
    <w:rsid w:val="00C40137"/>
    <w:rsid w:val="00C409EC"/>
    <w:rsid w:val="00C40B4F"/>
    <w:rsid w:val="00C412AA"/>
    <w:rsid w:val="00C41603"/>
    <w:rsid w:val="00C4202B"/>
    <w:rsid w:val="00C420FD"/>
    <w:rsid w:val="00C425F3"/>
    <w:rsid w:val="00C42710"/>
    <w:rsid w:val="00C45174"/>
    <w:rsid w:val="00C458D8"/>
    <w:rsid w:val="00C46249"/>
    <w:rsid w:val="00C46A8C"/>
    <w:rsid w:val="00C47D4A"/>
    <w:rsid w:val="00C47FF3"/>
    <w:rsid w:val="00C50A68"/>
    <w:rsid w:val="00C5137F"/>
    <w:rsid w:val="00C536D2"/>
    <w:rsid w:val="00C53853"/>
    <w:rsid w:val="00C541AA"/>
    <w:rsid w:val="00C54246"/>
    <w:rsid w:val="00C566E0"/>
    <w:rsid w:val="00C6006B"/>
    <w:rsid w:val="00C6081A"/>
    <w:rsid w:val="00C60EA2"/>
    <w:rsid w:val="00C636B0"/>
    <w:rsid w:val="00C63C5B"/>
    <w:rsid w:val="00C63DFB"/>
    <w:rsid w:val="00C6417D"/>
    <w:rsid w:val="00C6468E"/>
    <w:rsid w:val="00C67C45"/>
    <w:rsid w:val="00C67FF9"/>
    <w:rsid w:val="00C70314"/>
    <w:rsid w:val="00C7228F"/>
    <w:rsid w:val="00C73229"/>
    <w:rsid w:val="00C736A1"/>
    <w:rsid w:val="00C739C3"/>
    <w:rsid w:val="00C74BD2"/>
    <w:rsid w:val="00C74CC5"/>
    <w:rsid w:val="00C75395"/>
    <w:rsid w:val="00C753E6"/>
    <w:rsid w:val="00C75708"/>
    <w:rsid w:val="00C75931"/>
    <w:rsid w:val="00C761EB"/>
    <w:rsid w:val="00C81969"/>
    <w:rsid w:val="00C82C6C"/>
    <w:rsid w:val="00C82E03"/>
    <w:rsid w:val="00C83230"/>
    <w:rsid w:val="00C841CF"/>
    <w:rsid w:val="00C877C9"/>
    <w:rsid w:val="00C90794"/>
    <w:rsid w:val="00C90B24"/>
    <w:rsid w:val="00C91460"/>
    <w:rsid w:val="00C93EB2"/>
    <w:rsid w:val="00C944C5"/>
    <w:rsid w:val="00C94D92"/>
    <w:rsid w:val="00C9530B"/>
    <w:rsid w:val="00C953A9"/>
    <w:rsid w:val="00C95987"/>
    <w:rsid w:val="00C96DB4"/>
    <w:rsid w:val="00C97646"/>
    <w:rsid w:val="00C97AFD"/>
    <w:rsid w:val="00CA1610"/>
    <w:rsid w:val="00CA2805"/>
    <w:rsid w:val="00CA3360"/>
    <w:rsid w:val="00CA354F"/>
    <w:rsid w:val="00CA3C17"/>
    <w:rsid w:val="00CA3CDE"/>
    <w:rsid w:val="00CA3D00"/>
    <w:rsid w:val="00CA5C86"/>
    <w:rsid w:val="00CA6602"/>
    <w:rsid w:val="00CA6979"/>
    <w:rsid w:val="00CA6B1D"/>
    <w:rsid w:val="00CA7A04"/>
    <w:rsid w:val="00CB0F5A"/>
    <w:rsid w:val="00CB1B58"/>
    <w:rsid w:val="00CB1D44"/>
    <w:rsid w:val="00CB2FB9"/>
    <w:rsid w:val="00CB3CF7"/>
    <w:rsid w:val="00CB5EC2"/>
    <w:rsid w:val="00CB6426"/>
    <w:rsid w:val="00CB72A5"/>
    <w:rsid w:val="00CB7B67"/>
    <w:rsid w:val="00CC030F"/>
    <w:rsid w:val="00CC0A5B"/>
    <w:rsid w:val="00CC1306"/>
    <w:rsid w:val="00CC17AE"/>
    <w:rsid w:val="00CC1AE1"/>
    <w:rsid w:val="00CC1F14"/>
    <w:rsid w:val="00CC2A5D"/>
    <w:rsid w:val="00CC39CE"/>
    <w:rsid w:val="00CC3D68"/>
    <w:rsid w:val="00CC4BEC"/>
    <w:rsid w:val="00CC58C6"/>
    <w:rsid w:val="00CC59F9"/>
    <w:rsid w:val="00CC60B2"/>
    <w:rsid w:val="00CC7B3C"/>
    <w:rsid w:val="00CC7C2F"/>
    <w:rsid w:val="00CD1816"/>
    <w:rsid w:val="00CD2DA4"/>
    <w:rsid w:val="00CD6082"/>
    <w:rsid w:val="00CD6DE7"/>
    <w:rsid w:val="00CD6FA6"/>
    <w:rsid w:val="00CD7B79"/>
    <w:rsid w:val="00CD7E4D"/>
    <w:rsid w:val="00CE0A54"/>
    <w:rsid w:val="00CE1C6E"/>
    <w:rsid w:val="00CE1D1D"/>
    <w:rsid w:val="00CE1D92"/>
    <w:rsid w:val="00CE332E"/>
    <w:rsid w:val="00CE33A7"/>
    <w:rsid w:val="00CE5348"/>
    <w:rsid w:val="00CE6C65"/>
    <w:rsid w:val="00CE6DF9"/>
    <w:rsid w:val="00CF37A8"/>
    <w:rsid w:val="00CF48A4"/>
    <w:rsid w:val="00CF7456"/>
    <w:rsid w:val="00D00150"/>
    <w:rsid w:val="00D002C8"/>
    <w:rsid w:val="00D004C6"/>
    <w:rsid w:val="00D00826"/>
    <w:rsid w:val="00D014A9"/>
    <w:rsid w:val="00D023E4"/>
    <w:rsid w:val="00D02817"/>
    <w:rsid w:val="00D02AE6"/>
    <w:rsid w:val="00D05272"/>
    <w:rsid w:val="00D07E2F"/>
    <w:rsid w:val="00D1348E"/>
    <w:rsid w:val="00D13DF6"/>
    <w:rsid w:val="00D13FDD"/>
    <w:rsid w:val="00D14953"/>
    <w:rsid w:val="00D14C42"/>
    <w:rsid w:val="00D2219B"/>
    <w:rsid w:val="00D234D5"/>
    <w:rsid w:val="00D2399D"/>
    <w:rsid w:val="00D24820"/>
    <w:rsid w:val="00D24E13"/>
    <w:rsid w:val="00D252B4"/>
    <w:rsid w:val="00D25BEF"/>
    <w:rsid w:val="00D2625C"/>
    <w:rsid w:val="00D262AD"/>
    <w:rsid w:val="00D26F03"/>
    <w:rsid w:val="00D3165C"/>
    <w:rsid w:val="00D3407E"/>
    <w:rsid w:val="00D34D65"/>
    <w:rsid w:val="00D357E6"/>
    <w:rsid w:val="00D373C1"/>
    <w:rsid w:val="00D37A09"/>
    <w:rsid w:val="00D40682"/>
    <w:rsid w:val="00D423FD"/>
    <w:rsid w:val="00D43A93"/>
    <w:rsid w:val="00D44573"/>
    <w:rsid w:val="00D471C9"/>
    <w:rsid w:val="00D5198E"/>
    <w:rsid w:val="00D53142"/>
    <w:rsid w:val="00D54C68"/>
    <w:rsid w:val="00D57CE6"/>
    <w:rsid w:val="00D603C1"/>
    <w:rsid w:val="00D60E42"/>
    <w:rsid w:val="00D61859"/>
    <w:rsid w:val="00D61BD7"/>
    <w:rsid w:val="00D625A7"/>
    <w:rsid w:val="00D62F59"/>
    <w:rsid w:val="00D635C5"/>
    <w:rsid w:val="00D646DA"/>
    <w:rsid w:val="00D648D1"/>
    <w:rsid w:val="00D6526D"/>
    <w:rsid w:val="00D65D89"/>
    <w:rsid w:val="00D70F2A"/>
    <w:rsid w:val="00D712E9"/>
    <w:rsid w:val="00D72F85"/>
    <w:rsid w:val="00D7400A"/>
    <w:rsid w:val="00D7674A"/>
    <w:rsid w:val="00D80092"/>
    <w:rsid w:val="00D80CD6"/>
    <w:rsid w:val="00D851A8"/>
    <w:rsid w:val="00D87104"/>
    <w:rsid w:val="00D8782A"/>
    <w:rsid w:val="00D87860"/>
    <w:rsid w:val="00D900FF"/>
    <w:rsid w:val="00D90A22"/>
    <w:rsid w:val="00D91219"/>
    <w:rsid w:val="00D914DB"/>
    <w:rsid w:val="00D91978"/>
    <w:rsid w:val="00D92C64"/>
    <w:rsid w:val="00D9431B"/>
    <w:rsid w:val="00DA0C11"/>
    <w:rsid w:val="00DA17B7"/>
    <w:rsid w:val="00DA27F5"/>
    <w:rsid w:val="00DA48A3"/>
    <w:rsid w:val="00DA498E"/>
    <w:rsid w:val="00DA5E20"/>
    <w:rsid w:val="00DA735E"/>
    <w:rsid w:val="00DB0A17"/>
    <w:rsid w:val="00DB2938"/>
    <w:rsid w:val="00DB4553"/>
    <w:rsid w:val="00DB56A1"/>
    <w:rsid w:val="00DB5A95"/>
    <w:rsid w:val="00DB7F17"/>
    <w:rsid w:val="00DC02AA"/>
    <w:rsid w:val="00DC06A7"/>
    <w:rsid w:val="00DC10C0"/>
    <w:rsid w:val="00DC1237"/>
    <w:rsid w:val="00DC2669"/>
    <w:rsid w:val="00DC4E16"/>
    <w:rsid w:val="00DC6179"/>
    <w:rsid w:val="00DD04D7"/>
    <w:rsid w:val="00DD18B8"/>
    <w:rsid w:val="00DD31BD"/>
    <w:rsid w:val="00DD334B"/>
    <w:rsid w:val="00DD3A7D"/>
    <w:rsid w:val="00DD612F"/>
    <w:rsid w:val="00DD67E4"/>
    <w:rsid w:val="00DD7638"/>
    <w:rsid w:val="00DE009A"/>
    <w:rsid w:val="00DE0A2A"/>
    <w:rsid w:val="00DE15D3"/>
    <w:rsid w:val="00DE1E58"/>
    <w:rsid w:val="00DE30CE"/>
    <w:rsid w:val="00DE3707"/>
    <w:rsid w:val="00DE3CDF"/>
    <w:rsid w:val="00DE3D16"/>
    <w:rsid w:val="00DE60B0"/>
    <w:rsid w:val="00DE6270"/>
    <w:rsid w:val="00DE72A9"/>
    <w:rsid w:val="00DE7FA1"/>
    <w:rsid w:val="00DF0E27"/>
    <w:rsid w:val="00DF104E"/>
    <w:rsid w:val="00DF1930"/>
    <w:rsid w:val="00DF1C17"/>
    <w:rsid w:val="00DF3316"/>
    <w:rsid w:val="00DF35DD"/>
    <w:rsid w:val="00DF4738"/>
    <w:rsid w:val="00DF4745"/>
    <w:rsid w:val="00DF5BE5"/>
    <w:rsid w:val="00DF6648"/>
    <w:rsid w:val="00DF70A8"/>
    <w:rsid w:val="00DF73E2"/>
    <w:rsid w:val="00DF7EC7"/>
    <w:rsid w:val="00E008DA"/>
    <w:rsid w:val="00E01F75"/>
    <w:rsid w:val="00E02670"/>
    <w:rsid w:val="00E03AED"/>
    <w:rsid w:val="00E03B8B"/>
    <w:rsid w:val="00E03FCF"/>
    <w:rsid w:val="00E045AE"/>
    <w:rsid w:val="00E052A2"/>
    <w:rsid w:val="00E053AA"/>
    <w:rsid w:val="00E07560"/>
    <w:rsid w:val="00E11F3A"/>
    <w:rsid w:val="00E12E77"/>
    <w:rsid w:val="00E133F2"/>
    <w:rsid w:val="00E14856"/>
    <w:rsid w:val="00E14915"/>
    <w:rsid w:val="00E14DBA"/>
    <w:rsid w:val="00E15C35"/>
    <w:rsid w:val="00E1756F"/>
    <w:rsid w:val="00E217E7"/>
    <w:rsid w:val="00E22DF6"/>
    <w:rsid w:val="00E2334B"/>
    <w:rsid w:val="00E241B6"/>
    <w:rsid w:val="00E24D50"/>
    <w:rsid w:val="00E2712A"/>
    <w:rsid w:val="00E27341"/>
    <w:rsid w:val="00E31701"/>
    <w:rsid w:val="00E318D7"/>
    <w:rsid w:val="00E32DFF"/>
    <w:rsid w:val="00E35E00"/>
    <w:rsid w:val="00E36C1A"/>
    <w:rsid w:val="00E375B2"/>
    <w:rsid w:val="00E378E0"/>
    <w:rsid w:val="00E37A17"/>
    <w:rsid w:val="00E37ECB"/>
    <w:rsid w:val="00E40D84"/>
    <w:rsid w:val="00E420A0"/>
    <w:rsid w:val="00E43E07"/>
    <w:rsid w:val="00E4528D"/>
    <w:rsid w:val="00E502E1"/>
    <w:rsid w:val="00E51386"/>
    <w:rsid w:val="00E54019"/>
    <w:rsid w:val="00E544DC"/>
    <w:rsid w:val="00E5450A"/>
    <w:rsid w:val="00E55F68"/>
    <w:rsid w:val="00E561C3"/>
    <w:rsid w:val="00E5663E"/>
    <w:rsid w:val="00E5667B"/>
    <w:rsid w:val="00E56E20"/>
    <w:rsid w:val="00E60728"/>
    <w:rsid w:val="00E60DCC"/>
    <w:rsid w:val="00E631A7"/>
    <w:rsid w:val="00E63DB5"/>
    <w:rsid w:val="00E64565"/>
    <w:rsid w:val="00E64D29"/>
    <w:rsid w:val="00E6502D"/>
    <w:rsid w:val="00E66319"/>
    <w:rsid w:val="00E66F46"/>
    <w:rsid w:val="00E67BFB"/>
    <w:rsid w:val="00E7030C"/>
    <w:rsid w:val="00E71714"/>
    <w:rsid w:val="00E72A85"/>
    <w:rsid w:val="00E7365D"/>
    <w:rsid w:val="00E73F77"/>
    <w:rsid w:val="00E75870"/>
    <w:rsid w:val="00E75A69"/>
    <w:rsid w:val="00E81B65"/>
    <w:rsid w:val="00E822AB"/>
    <w:rsid w:val="00E828AC"/>
    <w:rsid w:val="00E84077"/>
    <w:rsid w:val="00E85463"/>
    <w:rsid w:val="00E85979"/>
    <w:rsid w:val="00E86008"/>
    <w:rsid w:val="00E86C01"/>
    <w:rsid w:val="00E87FC0"/>
    <w:rsid w:val="00E90270"/>
    <w:rsid w:val="00E90815"/>
    <w:rsid w:val="00E91400"/>
    <w:rsid w:val="00E92ABD"/>
    <w:rsid w:val="00E9304A"/>
    <w:rsid w:val="00E93E10"/>
    <w:rsid w:val="00E943CE"/>
    <w:rsid w:val="00E94B7C"/>
    <w:rsid w:val="00E95010"/>
    <w:rsid w:val="00E95E92"/>
    <w:rsid w:val="00E95FCF"/>
    <w:rsid w:val="00E961E2"/>
    <w:rsid w:val="00E968A3"/>
    <w:rsid w:val="00E97081"/>
    <w:rsid w:val="00EA1881"/>
    <w:rsid w:val="00EA19A5"/>
    <w:rsid w:val="00EA20DE"/>
    <w:rsid w:val="00EA25BA"/>
    <w:rsid w:val="00EA4852"/>
    <w:rsid w:val="00EA5229"/>
    <w:rsid w:val="00EA5EBC"/>
    <w:rsid w:val="00EA5FDE"/>
    <w:rsid w:val="00EA6797"/>
    <w:rsid w:val="00EA76B5"/>
    <w:rsid w:val="00EB0306"/>
    <w:rsid w:val="00EB5449"/>
    <w:rsid w:val="00EB6A3F"/>
    <w:rsid w:val="00EC0535"/>
    <w:rsid w:val="00EC2323"/>
    <w:rsid w:val="00EC25F2"/>
    <w:rsid w:val="00EC43E9"/>
    <w:rsid w:val="00EC4832"/>
    <w:rsid w:val="00EC48E6"/>
    <w:rsid w:val="00EC51D8"/>
    <w:rsid w:val="00EC58CD"/>
    <w:rsid w:val="00EC6C87"/>
    <w:rsid w:val="00EC6D7F"/>
    <w:rsid w:val="00ED2397"/>
    <w:rsid w:val="00ED334F"/>
    <w:rsid w:val="00ED38B8"/>
    <w:rsid w:val="00ED62A1"/>
    <w:rsid w:val="00ED7221"/>
    <w:rsid w:val="00ED78B6"/>
    <w:rsid w:val="00EE01A0"/>
    <w:rsid w:val="00EE0393"/>
    <w:rsid w:val="00EE0BBB"/>
    <w:rsid w:val="00EE1A91"/>
    <w:rsid w:val="00EE21FD"/>
    <w:rsid w:val="00EE2B44"/>
    <w:rsid w:val="00EE2E3B"/>
    <w:rsid w:val="00EE3CA0"/>
    <w:rsid w:val="00EE42C6"/>
    <w:rsid w:val="00EE4383"/>
    <w:rsid w:val="00EE5C76"/>
    <w:rsid w:val="00EE6086"/>
    <w:rsid w:val="00EE7A47"/>
    <w:rsid w:val="00EE7AE2"/>
    <w:rsid w:val="00EF01A1"/>
    <w:rsid w:val="00EF13B5"/>
    <w:rsid w:val="00EF1DE9"/>
    <w:rsid w:val="00EF320B"/>
    <w:rsid w:val="00EF3350"/>
    <w:rsid w:val="00EF3DFF"/>
    <w:rsid w:val="00EF45D9"/>
    <w:rsid w:val="00EF5940"/>
    <w:rsid w:val="00EF5CEC"/>
    <w:rsid w:val="00EF682A"/>
    <w:rsid w:val="00EF6973"/>
    <w:rsid w:val="00EF7E48"/>
    <w:rsid w:val="00F0101F"/>
    <w:rsid w:val="00F02861"/>
    <w:rsid w:val="00F02BC8"/>
    <w:rsid w:val="00F0331F"/>
    <w:rsid w:val="00F034CD"/>
    <w:rsid w:val="00F041CA"/>
    <w:rsid w:val="00F04936"/>
    <w:rsid w:val="00F04B26"/>
    <w:rsid w:val="00F04D36"/>
    <w:rsid w:val="00F04FF9"/>
    <w:rsid w:val="00F0597B"/>
    <w:rsid w:val="00F05C5A"/>
    <w:rsid w:val="00F066A7"/>
    <w:rsid w:val="00F06C2D"/>
    <w:rsid w:val="00F07DA3"/>
    <w:rsid w:val="00F07F08"/>
    <w:rsid w:val="00F1038A"/>
    <w:rsid w:val="00F10A76"/>
    <w:rsid w:val="00F125C9"/>
    <w:rsid w:val="00F12E48"/>
    <w:rsid w:val="00F130EA"/>
    <w:rsid w:val="00F13D81"/>
    <w:rsid w:val="00F177EB"/>
    <w:rsid w:val="00F17B76"/>
    <w:rsid w:val="00F20B7B"/>
    <w:rsid w:val="00F2160B"/>
    <w:rsid w:val="00F2165E"/>
    <w:rsid w:val="00F21C49"/>
    <w:rsid w:val="00F24784"/>
    <w:rsid w:val="00F26CF4"/>
    <w:rsid w:val="00F2724E"/>
    <w:rsid w:val="00F303C4"/>
    <w:rsid w:val="00F314CB"/>
    <w:rsid w:val="00F341E1"/>
    <w:rsid w:val="00F348B4"/>
    <w:rsid w:val="00F360DA"/>
    <w:rsid w:val="00F3758E"/>
    <w:rsid w:val="00F37828"/>
    <w:rsid w:val="00F3797B"/>
    <w:rsid w:val="00F40445"/>
    <w:rsid w:val="00F423A0"/>
    <w:rsid w:val="00F42AC4"/>
    <w:rsid w:val="00F43439"/>
    <w:rsid w:val="00F43613"/>
    <w:rsid w:val="00F442E2"/>
    <w:rsid w:val="00F4452D"/>
    <w:rsid w:val="00F44787"/>
    <w:rsid w:val="00F45500"/>
    <w:rsid w:val="00F46E43"/>
    <w:rsid w:val="00F50924"/>
    <w:rsid w:val="00F51004"/>
    <w:rsid w:val="00F514EA"/>
    <w:rsid w:val="00F51AEF"/>
    <w:rsid w:val="00F54446"/>
    <w:rsid w:val="00F54F85"/>
    <w:rsid w:val="00F54FA4"/>
    <w:rsid w:val="00F5508A"/>
    <w:rsid w:val="00F553B7"/>
    <w:rsid w:val="00F56D21"/>
    <w:rsid w:val="00F57951"/>
    <w:rsid w:val="00F600F2"/>
    <w:rsid w:val="00F61CD8"/>
    <w:rsid w:val="00F62CA7"/>
    <w:rsid w:val="00F65371"/>
    <w:rsid w:val="00F657F5"/>
    <w:rsid w:val="00F661D1"/>
    <w:rsid w:val="00F70952"/>
    <w:rsid w:val="00F71FD9"/>
    <w:rsid w:val="00F73DF4"/>
    <w:rsid w:val="00F76673"/>
    <w:rsid w:val="00F77149"/>
    <w:rsid w:val="00F80B0C"/>
    <w:rsid w:val="00F81079"/>
    <w:rsid w:val="00F823FE"/>
    <w:rsid w:val="00F84567"/>
    <w:rsid w:val="00F85107"/>
    <w:rsid w:val="00F85573"/>
    <w:rsid w:val="00F86AA4"/>
    <w:rsid w:val="00F86C33"/>
    <w:rsid w:val="00F86CFF"/>
    <w:rsid w:val="00F87E7B"/>
    <w:rsid w:val="00F90695"/>
    <w:rsid w:val="00F9403D"/>
    <w:rsid w:val="00F9533E"/>
    <w:rsid w:val="00F95370"/>
    <w:rsid w:val="00F95ACD"/>
    <w:rsid w:val="00F95AF8"/>
    <w:rsid w:val="00F95D8F"/>
    <w:rsid w:val="00F9650E"/>
    <w:rsid w:val="00F975D5"/>
    <w:rsid w:val="00F9776F"/>
    <w:rsid w:val="00FA2762"/>
    <w:rsid w:val="00FA3488"/>
    <w:rsid w:val="00FA3A26"/>
    <w:rsid w:val="00FA44BD"/>
    <w:rsid w:val="00FA5315"/>
    <w:rsid w:val="00FA5484"/>
    <w:rsid w:val="00FA5850"/>
    <w:rsid w:val="00FA6663"/>
    <w:rsid w:val="00FB1CBF"/>
    <w:rsid w:val="00FB6DF2"/>
    <w:rsid w:val="00FC0BA9"/>
    <w:rsid w:val="00FC2358"/>
    <w:rsid w:val="00FC2627"/>
    <w:rsid w:val="00FC3EAD"/>
    <w:rsid w:val="00FD0863"/>
    <w:rsid w:val="00FD0F29"/>
    <w:rsid w:val="00FD1AA3"/>
    <w:rsid w:val="00FD3842"/>
    <w:rsid w:val="00FD3C63"/>
    <w:rsid w:val="00FD45A7"/>
    <w:rsid w:val="00FD7A0B"/>
    <w:rsid w:val="00FE05E2"/>
    <w:rsid w:val="00FE0FE8"/>
    <w:rsid w:val="00FE1445"/>
    <w:rsid w:val="00FE3925"/>
    <w:rsid w:val="00FE3DB8"/>
    <w:rsid w:val="00FE4736"/>
    <w:rsid w:val="00FE5B0B"/>
    <w:rsid w:val="00FE60A9"/>
    <w:rsid w:val="00FE686D"/>
    <w:rsid w:val="00FE7692"/>
    <w:rsid w:val="00FF0AA6"/>
    <w:rsid w:val="00FF0BED"/>
    <w:rsid w:val="00FF0F52"/>
    <w:rsid w:val="00FF19A4"/>
    <w:rsid w:val="00FF3251"/>
    <w:rsid w:val="00FF372D"/>
    <w:rsid w:val="00FF3ACF"/>
    <w:rsid w:val="00FF402B"/>
    <w:rsid w:val="00FF4E1E"/>
    <w:rsid w:val="00FF51FC"/>
    <w:rsid w:val="00FF659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0A05F"/>
  <w15:docId w15:val="{82FCCB56-0DB8-46EB-807C-C8EE65E60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F5940"/>
    <w:pPr>
      <w:spacing w:line="276" w:lineRule="auto"/>
      <w:jc w:val="both"/>
    </w:pPr>
    <w:rPr>
      <w:rFonts w:ascii="Garamond" w:eastAsia="Times New Roman" w:hAnsi="Garamond"/>
      <w:sz w:val="24"/>
      <w:szCs w:val="22"/>
      <w:lang w:eastAsia="en-US"/>
    </w:rPr>
  </w:style>
  <w:style w:type="paragraph" w:styleId="Titolo1">
    <w:name w:val="heading 1"/>
    <w:basedOn w:val="Normale"/>
    <w:next w:val="Titolo2"/>
    <w:qFormat/>
    <w:pPr>
      <w:keepNext/>
      <w:keepLines/>
      <w:spacing w:before="280" w:after="280"/>
      <w:jc w:val="center"/>
      <w:outlineLvl w:val="0"/>
    </w:pPr>
    <w:rPr>
      <w:rFonts w:eastAsia="Calibri"/>
      <w:b/>
      <w:bCs/>
      <w:sz w:val="28"/>
      <w:szCs w:val="28"/>
      <w:lang w:val="x-none" w:eastAsia="x-none"/>
    </w:rPr>
  </w:style>
  <w:style w:type="paragraph" w:styleId="Titolo2">
    <w:name w:val="heading 2"/>
    <w:basedOn w:val="Normale"/>
    <w:next w:val="Titolo3"/>
    <w:qFormat/>
    <w:pPr>
      <w:keepNext/>
      <w:spacing w:before="560" w:after="120"/>
      <w:outlineLvl w:val="1"/>
    </w:pPr>
    <w:rPr>
      <w:b/>
      <w:bCs/>
      <w:iCs/>
      <w:caps/>
      <w:szCs w:val="28"/>
      <w:lang w:val="x-none"/>
    </w:rPr>
  </w:style>
  <w:style w:type="paragraph" w:styleId="Titolo3">
    <w:name w:val="heading 3"/>
    <w:basedOn w:val="Normale"/>
    <w:next w:val="Normale"/>
    <w:qFormat/>
    <w:pPr>
      <w:keepNext/>
      <w:spacing w:before="240" w:after="60"/>
      <w:outlineLvl w:val="2"/>
    </w:pPr>
    <w:rPr>
      <w:b/>
      <w:bCs/>
      <w:caps/>
      <w:sz w:val="22"/>
      <w:szCs w:val="26"/>
      <w:lang w:val="x-none"/>
    </w:rPr>
  </w:style>
  <w:style w:type="paragraph" w:styleId="Titolo4">
    <w:name w:val="heading 4"/>
    <w:basedOn w:val="Normale"/>
    <w:next w:val="Normale"/>
    <w:qFormat/>
    <w:pPr>
      <w:keepNext/>
      <w:keepLines/>
      <w:spacing w:before="200"/>
      <w:outlineLvl w:val="3"/>
    </w:pPr>
    <w:rPr>
      <w:rFonts w:ascii="Cambria" w:eastAsia="Calibri" w:hAnsi="Cambria"/>
      <w:b/>
      <w:bCs/>
      <w:i/>
      <w:iCs/>
      <w:color w:val="4F81BD"/>
    </w:rPr>
  </w:style>
  <w:style w:type="paragraph" w:styleId="Titolo5">
    <w:name w:val="heading 5"/>
    <w:basedOn w:val="Normale"/>
    <w:next w:val="Normale"/>
    <w:qFormat/>
    <w:pPr>
      <w:spacing w:before="240" w:after="60"/>
      <w:outlineLvl w:val="4"/>
    </w:pPr>
    <w:rPr>
      <w:b/>
      <w:bCs/>
      <w:i/>
      <w:iCs/>
      <w:sz w:val="26"/>
      <w:szCs w:val="26"/>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qFormat/>
    <w:rPr>
      <w:rFonts w:ascii="Garamond" w:hAnsi="Garamond"/>
      <w:b/>
      <w:bCs/>
      <w:sz w:val="28"/>
      <w:szCs w:val="28"/>
      <w:lang w:val="x-none" w:eastAsia="x-none"/>
    </w:rPr>
  </w:style>
  <w:style w:type="character" w:customStyle="1" w:styleId="Titolo3Carattere">
    <w:name w:val="Titolo 3 Carattere"/>
    <w:qFormat/>
    <w:rPr>
      <w:rFonts w:ascii="Garamond" w:eastAsia="Times New Roman" w:hAnsi="Garamond"/>
      <w:b/>
      <w:bCs/>
      <w:caps/>
      <w:sz w:val="22"/>
      <w:szCs w:val="26"/>
      <w:lang w:val="x-none" w:eastAsia="en-US"/>
    </w:rPr>
  </w:style>
  <w:style w:type="character" w:customStyle="1" w:styleId="Titolo5Carattere">
    <w:name w:val="Titolo 5 Carattere"/>
    <w:qFormat/>
    <w:rPr>
      <w:rFonts w:ascii="Calibri" w:eastAsia="Times New Roman" w:hAnsi="Calibri" w:cs="Times New Roman"/>
      <w:b/>
      <w:bCs/>
      <w:i/>
      <w:iCs/>
      <w:sz w:val="26"/>
      <w:szCs w:val="26"/>
      <w:lang w:eastAsia="en-US"/>
    </w:rPr>
  </w:style>
  <w:style w:type="character" w:customStyle="1" w:styleId="TestofumettoCarattere">
    <w:name w:val="Testo fumetto Carattere"/>
    <w:qFormat/>
    <w:rPr>
      <w:rFonts w:ascii="Tahoma" w:hAnsi="Tahoma" w:cs="Tahoma"/>
      <w:sz w:val="16"/>
      <w:szCs w:val="16"/>
    </w:rPr>
  </w:style>
  <w:style w:type="character" w:customStyle="1" w:styleId="IntestazioneCarattere">
    <w:name w:val="Intestazione Carattere"/>
    <w:qFormat/>
    <w:rPr>
      <w:rFonts w:eastAsia="Times New Roman" w:cs="Times New Roman"/>
      <w:lang w:val="x-none" w:eastAsia="it-IT"/>
    </w:rPr>
  </w:style>
  <w:style w:type="character" w:customStyle="1" w:styleId="PidipaginaCarattere">
    <w:name w:val="Piè di pagina Carattere"/>
    <w:qFormat/>
    <w:rPr>
      <w:rFonts w:eastAsia="Times New Roman" w:cs="Times New Roman"/>
      <w:lang w:val="x-none" w:eastAsia="it-IT"/>
    </w:rPr>
  </w:style>
  <w:style w:type="character" w:customStyle="1" w:styleId="TestonotaapidipaginaCarattere">
    <w:name w:val="Testo nota a piè di pagina Carattere"/>
    <w:qFormat/>
    <w:rPr>
      <w:rFonts w:eastAsia="Times New Roman" w:cs="Times New Roman"/>
      <w:sz w:val="20"/>
      <w:szCs w:val="20"/>
      <w:lang w:val="x-none" w:eastAsia="it-IT"/>
    </w:rPr>
  </w:style>
  <w:style w:type="character" w:customStyle="1" w:styleId="Richiamoallanotaapidipagina">
    <w:name w:val="Richiamo alla nota a piè di pagina"/>
    <w:rPr>
      <w:rFonts w:cs="Times New Roman"/>
      <w:vertAlign w:val="superscript"/>
    </w:rPr>
  </w:style>
  <w:style w:type="character" w:customStyle="1" w:styleId="FootnoteCharacters">
    <w:name w:val="Footnote Characters"/>
    <w:basedOn w:val="Carpredefinitoparagrafo"/>
    <w:uiPriority w:val="99"/>
    <w:semiHidden/>
    <w:unhideWhenUsed/>
    <w:qFormat/>
    <w:rsid w:val="009B0C28"/>
    <w:rPr>
      <w:vertAlign w:val="superscript"/>
    </w:rPr>
  </w:style>
  <w:style w:type="character" w:customStyle="1" w:styleId="CollegamentoInternet">
    <w:name w:val="Collegamento Internet"/>
    <w:basedOn w:val="Carpredefinitoparagrafo"/>
    <w:uiPriority w:val="99"/>
    <w:unhideWhenUsed/>
    <w:rsid w:val="007C2E4A"/>
    <w:rPr>
      <w:color w:val="0563C1" w:themeColor="hyperlink"/>
      <w:u w:val="single"/>
    </w:rPr>
  </w:style>
  <w:style w:type="character" w:customStyle="1" w:styleId="Stile1Carattere">
    <w:name w:val="Stile1 Carattere"/>
    <w:qFormat/>
    <w:rPr>
      <w:rFonts w:ascii="Times New Roman" w:hAnsi="Times New Roman" w:cs="Times New Roman"/>
      <w:b/>
      <w:bCs/>
      <w:color w:val="365F91"/>
      <w:sz w:val="28"/>
      <w:szCs w:val="28"/>
      <w:lang w:val="x-none" w:eastAsia="it-IT"/>
    </w:rPr>
  </w:style>
  <w:style w:type="character" w:customStyle="1" w:styleId="NoSpacingChar">
    <w:name w:val="No Spacing Char"/>
    <w:qFormat/>
    <w:rPr>
      <w:sz w:val="22"/>
      <w:szCs w:val="22"/>
      <w:lang w:val="it-IT" w:eastAsia="en-US" w:bidi="ar-SA"/>
    </w:rPr>
  </w:style>
  <w:style w:type="character" w:customStyle="1" w:styleId="Enfasi">
    <w:name w:val="Enfasi"/>
    <w:qFormat/>
    <w:rPr>
      <w:rFonts w:cs="Times New Roman"/>
      <w:i/>
      <w:iCs/>
    </w:rPr>
  </w:style>
  <w:style w:type="character" w:customStyle="1" w:styleId="TestonotadichiusuraCarattere">
    <w:name w:val="Testo nota di chiusura Carattere"/>
    <w:qFormat/>
    <w:rPr>
      <w:rFonts w:eastAsia="Times New Roman"/>
      <w:lang w:eastAsia="en-US"/>
    </w:rPr>
  </w:style>
  <w:style w:type="character" w:customStyle="1" w:styleId="Richiamoallanotadichiusura">
    <w:name w:val="Richiamo alla nota di chiusura"/>
    <w:rPr>
      <w:vertAlign w:val="superscript"/>
    </w:rPr>
  </w:style>
  <w:style w:type="character" w:customStyle="1" w:styleId="EndnoteCharacters">
    <w:name w:val="Endnote Characters"/>
    <w:qFormat/>
    <w:rPr>
      <w:vertAlign w:val="superscript"/>
    </w:rPr>
  </w:style>
  <w:style w:type="character" w:customStyle="1" w:styleId="descrizione">
    <w:name w:val="descrizione"/>
    <w:qFormat/>
    <w:rPr>
      <w:b/>
      <w:bCs/>
      <w:color w:val="5B76A0"/>
      <w:sz w:val="28"/>
      <w:szCs w:val="28"/>
    </w:rPr>
  </w:style>
  <w:style w:type="character" w:styleId="Enfasigrassetto">
    <w:name w:val="Strong"/>
    <w:qFormat/>
    <w:rPr>
      <w:b/>
      <w:bCs/>
    </w:rPr>
  </w:style>
  <w:style w:type="character" w:customStyle="1" w:styleId="provvrubrica">
    <w:name w:val="provv_rubrica"/>
    <w:qFormat/>
    <w:rPr>
      <w:i/>
      <w:iCs/>
    </w:rPr>
  </w:style>
  <w:style w:type="character" w:styleId="Rimandocommento">
    <w:name w:val="annotation reference"/>
    <w:uiPriority w:val="99"/>
    <w:qFormat/>
    <w:rPr>
      <w:sz w:val="16"/>
      <w:szCs w:val="16"/>
    </w:rPr>
  </w:style>
  <w:style w:type="character" w:customStyle="1" w:styleId="TestocommentoCarattere">
    <w:name w:val="Testo commento Carattere"/>
    <w:uiPriority w:val="99"/>
    <w:qFormat/>
    <w:rPr>
      <w:rFonts w:eastAsia="Times New Roman"/>
      <w:lang w:eastAsia="en-US"/>
    </w:rPr>
  </w:style>
  <w:style w:type="character" w:customStyle="1" w:styleId="SoggettocommentoCarattere">
    <w:name w:val="Soggetto commento Carattere"/>
    <w:qFormat/>
    <w:rPr>
      <w:rFonts w:eastAsia="Times New Roman"/>
      <w:b/>
      <w:bCs/>
      <w:lang w:eastAsia="en-US"/>
    </w:rPr>
  </w:style>
  <w:style w:type="character" w:customStyle="1" w:styleId="provvnumcomma">
    <w:name w:val="provv_numcomma"/>
    <w:basedOn w:val="Carpredefinitoparagrafo"/>
    <w:qFormat/>
  </w:style>
  <w:style w:type="character" w:customStyle="1" w:styleId="anchorantimarker">
    <w:name w:val="anchor_anti_marker"/>
    <w:qFormat/>
    <w:rPr>
      <w:color w:val="000000"/>
    </w:rPr>
  </w:style>
  <w:style w:type="character" w:customStyle="1" w:styleId="linkneltesto">
    <w:name w:val="link_nel_testo"/>
    <w:qFormat/>
    <w:rPr>
      <w:i/>
      <w:iCs/>
    </w:rPr>
  </w:style>
  <w:style w:type="character" w:customStyle="1" w:styleId="CorpotestoCarattere1">
    <w:name w:val="Corpo testo Carattere1"/>
    <w:qFormat/>
    <w:rPr>
      <w:rFonts w:ascii="Times New Roman" w:eastAsia="Times New Roman" w:hAnsi="Times New Roman"/>
      <w:sz w:val="26"/>
    </w:rPr>
  </w:style>
  <w:style w:type="character" w:customStyle="1" w:styleId="Rientrocorpodeltesto3Carattere">
    <w:name w:val="Rientro corpo del testo 3 Carattere"/>
    <w:qFormat/>
    <w:rPr>
      <w:rFonts w:eastAsia="Times New Roman"/>
      <w:sz w:val="16"/>
      <w:szCs w:val="16"/>
      <w:lang w:eastAsia="en-US"/>
    </w:rPr>
  </w:style>
  <w:style w:type="character" w:customStyle="1" w:styleId="Corpodeltesto2Carattere">
    <w:name w:val="Corpo del testo 2 Carattere"/>
    <w:qFormat/>
    <w:rPr>
      <w:rFonts w:eastAsia="Times New Roman"/>
      <w:sz w:val="22"/>
      <w:szCs w:val="22"/>
      <w:lang w:eastAsia="en-US"/>
    </w:rPr>
  </w:style>
  <w:style w:type="character" w:customStyle="1" w:styleId="Titolo2Carattere">
    <w:name w:val="Titolo 2 Carattere"/>
    <w:qFormat/>
    <w:rPr>
      <w:rFonts w:ascii="Garamond" w:eastAsia="Times New Roman" w:hAnsi="Garamond"/>
      <w:b/>
      <w:bCs/>
      <w:iCs/>
      <w:caps/>
      <w:sz w:val="24"/>
      <w:szCs w:val="28"/>
      <w:lang w:val="x-none" w:eastAsia="en-US"/>
    </w:rPr>
  </w:style>
  <w:style w:type="character" w:customStyle="1" w:styleId="noteapiCarattere">
    <w:name w:val="note a piè Carattere"/>
    <w:qFormat/>
    <w:rPr>
      <w:rFonts w:ascii="Times New Roman" w:eastAsia="Times New Roman" w:hAnsi="Times New Roman" w:cs="Times New Roman"/>
      <w:sz w:val="20"/>
      <w:szCs w:val="20"/>
      <w:lang w:val="x-none" w:eastAsia="it-IT"/>
    </w:rPr>
  </w:style>
  <w:style w:type="character" w:customStyle="1" w:styleId="provvnumart">
    <w:name w:val="provv_numart"/>
    <w:qFormat/>
    <w:rPr>
      <w:b/>
      <w:bCs/>
    </w:rPr>
  </w:style>
  <w:style w:type="character" w:customStyle="1" w:styleId="MappadocumentoCarattere">
    <w:name w:val="Mappa documento Carattere"/>
    <w:qFormat/>
    <w:rPr>
      <w:rFonts w:ascii="Tahoma" w:eastAsia="Times New Roman" w:hAnsi="Tahoma" w:cs="Tahoma"/>
      <w:sz w:val="16"/>
      <w:szCs w:val="16"/>
      <w:lang w:eastAsia="en-US"/>
    </w:rPr>
  </w:style>
  <w:style w:type="character" w:customStyle="1" w:styleId="provvvigore">
    <w:name w:val="provv_vigore"/>
    <w:qFormat/>
    <w:rPr>
      <w:vanish w:val="0"/>
    </w:rPr>
  </w:style>
  <w:style w:type="character" w:customStyle="1" w:styleId="riferimento1">
    <w:name w:val="riferimento1"/>
    <w:qFormat/>
    <w:rPr>
      <w:i/>
      <w:iCs/>
      <w:color w:val="058940"/>
    </w:rPr>
  </w:style>
  <w:style w:type="character" w:customStyle="1" w:styleId="SottotitoloCarattere">
    <w:name w:val="Sottotitolo Carattere"/>
    <w:qFormat/>
    <w:rPr>
      <w:rFonts w:ascii="Cambria" w:eastAsia="Times New Roman" w:hAnsi="Cambria" w:cs="Times New Roman"/>
      <w:sz w:val="24"/>
      <w:szCs w:val="24"/>
      <w:lang w:eastAsia="en-US"/>
    </w:rPr>
  </w:style>
  <w:style w:type="character" w:customStyle="1" w:styleId="TitoloCarattere">
    <w:name w:val="Titolo Carattere"/>
    <w:qFormat/>
    <w:rPr>
      <w:rFonts w:ascii="Cambria" w:eastAsia="Times New Roman" w:hAnsi="Cambria" w:cs="Times New Roman"/>
      <w:b/>
      <w:bCs/>
      <w:kern w:val="2"/>
      <w:sz w:val="32"/>
      <w:szCs w:val="32"/>
      <w:lang w:eastAsia="en-US"/>
    </w:rPr>
  </w:style>
  <w:style w:type="character" w:customStyle="1" w:styleId="CollegamentoInternetvisitato">
    <w:name w:val="Collegamento Internet visitato"/>
    <w:basedOn w:val="Carpredefinitoparagrafo"/>
    <w:uiPriority w:val="99"/>
    <w:semiHidden/>
    <w:unhideWhenUsed/>
    <w:qFormat/>
    <w:rsid w:val="00201412"/>
    <w:rPr>
      <w:color w:val="954F72" w:themeColor="followedHyperlink"/>
      <w:u w:val="single"/>
    </w:rPr>
  </w:style>
  <w:style w:type="character" w:customStyle="1" w:styleId="Rientrocorpodeltesto2Carattere">
    <w:name w:val="Rientro corpo del testo 2 Carattere"/>
    <w:qFormat/>
    <w:rPr>
      <w:rFonts w:ascii="Times New Roman" w:eastAsia="Times New Roman" w:hAnsi="Times New Roman"/>
      <w:sz w:val="24"/>
      <w:szCs w:val="24"/>
    </w:rPr>
  </w:style>
  <w:style w:type="character" w:customStyle="1" w:styleId="CorpotestoCarattere">
    <w:name w:val="Corpo testo Carattere"/>
    <w:qFormat/>
    <w:rPr>
      <w:rFonts w:ascii="Times New Roman" w:eastAsia="Times New Roman" w:hAnsi="Times New Roman" w:cs="Times New Roman"/>
      <w:sz w:val="26"/>
      <w:szCs w:val="24"/>
      <w:lang w:eastAsia="it-IT"/>
    </w:rPr>
  </w:style>
  <w:style w:type="character" w:styleId="Numeropagina">
    <w:name w:val="page number"/>
    <w:qFormat/>
  </w:style>
  <w:style w:type="character" w:customStyle="1" w:styleId="RientrocorpodeltestoCarattere">
    <w:name w:val="Rientro corpo del testo Carattere"/>
    <w:qFormat/>
    <w:rPr>
      <w:rFonts w:ascii="Times New Roman" w:eastAsia="Times New Roman" w:hAnsi="Times New Roman"/>
      <w:b/>
      <w:bCs/>
      <w:i/>
      <w:iCs/>
    </w:rPr>
  </w:style>
  <w:style w:type="character" w:customStyle="1" w:styleId="Corpodeltesto3Carattere">
    <w:name w:val="Corpo del testo 3 Carattere"/>
    <w:qFormat/>
    <w:rPr>
      <w:rFonts w:ascii="Times New Roman" w:eastAsia="Times New Roman" w:hAnsi="Times New Roman"/>
      <w:b/>
      <w:bCs/>
      <w:i/>
      <w:iCs/>
      <w:szCs w:val="24"/>
    </w:rPr>
  </w:style>
  <w:style w:type="character" w:customStyle="1" w:styleId="CarattereCarattere2">
    <w:name w:val="Carattere Carattere2"/>
    <w:qFormat/>
    <w:rPr>
      <w:sz w:val="26"/>
      <w:szCs w:val="24"/>
      <w:lang w:val="it-IT" w:eastAsia="it-IT" w:bidi="ar-SA"/>
    </w:rPr>
  </w:style>
  <w:style w:type="character" w:customStyle="1" w:styleId="st1">
    <w:name w:val="st1"/>
    <w:qFormat/>
  </w:style>
  <w:style w:type="character" w:customStyle="1" w:styleId="Titolo4Carattere">
    <w:name w:val="Titolo 4 Carattere"/>
    <w:basedOn w:val="Carpredefinitoparagrafo"/>
    <w:qFormat/>
    <w:rPr>
      <w:rFonts w:ascii="Cambria" w:eastAsia="Calibri" w:hAnsi="Cambria" w:cs="Times New Roman"/>
      <w:b/>
      <w:bCs/>
      <w:i/>
      <w:iCs/>
      <w:color w:val="4F81BD"/>
      <w:sz w:val="22"/>
      <w:szCs w:val="22"/>
      <w:lang w:eastAsia="en-US"/>
    </w:rPr>
  </w:style>
  <w:style w:type="character" w:customStyle="1" w:styleId="TestonormaleCarattere">
    <w:name w:val="Testo normale Carattere"/>
    <w:basedOn w:val="Carpredefinitoparagrafo"/>
    <w:qFormat/>
    <w:rPr>
      <w:rFonts w:ascii="Garamond" w:eastAsia="Times New Roman" w:hAnsi="Garamond" w:cs="Consolas"/>
      <w:sz w:val="24"/>
      <w:szCs w:val="21"/>
      <w:lang w:eastAsia="en-US"/>
    </w:rPr>
  </w:style>
  <w:style w:type="character" w:styleId="Testosegnaposto">
    <w:name w:val="Placeholder Text"/>
    <w:basedOn w:val="Carpredefinitoparagrafo"/>
    <w:qFormat/>
    <w:rPr>
      <w:color w:val="808080"/>
    </w:rPr>
  </w:style>
  <w:style w:type="character" w:customStyle="1" w:styleId="SommariodisciplinareCarattere">
    <w:name w:val="Sommario disciplinare Carattere"/>
    <w:basedOn w:val="Titolo1Carattere"/>
    <w:qFormat/>
    <w:rPr>
      <w:rFonts w:ascii="Garamond" w:eastAsia="Times New Roman" w:hAnsi="Garamond" w:cs="Calibri"/>
      <w:b/>
      <w:bCs/>
      <w:sz w:val="22"/>
      <w:szCs w:val="24"/>
      <w:lang w:val="x-none" w:eastAsia="x-none"/>
    </w:rPr>
  </w:style>
  <w:style w:type="character" w:customStyle="1" w:styleId="apple-converted-space">
    <w:name w:val="apple-converted-space"/>
    <w:basedOn w:val="Carpredefinitoparagrafo"/>
    <w:qFormat/>
  </w:style>
  <w:style w:type="character" w:customStyle="1" w:styleId="Saltoaindice">
    <w:name w:val="Salto a indice"/>
    <w:qFormat/>
  </w:style>
  <w:style w:type="character" w:customStyle="1" w:styleId="WW8Num27z0">
    <w:name w:val="WW8Num27z0"/>
    <w:qFormat/>
    <w:rPr>
      <w:rFonts w:ascii="Calibri" w:hAnsi="Calibri" w:cs="Calibri"/>
      <w:sz w:val="22"/>
      <w:szCs w:val="22"/>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uiPriority w:val="34"/>
    <w:qFormat/>
  </w:style>
  <w:style w:type="character" w:customStyle="1" w:styleId="ANAC-TitoloSottoparagrafoCarattere">
    <w:name w:val="ANAC - Titolo Sottoparagrafo Carattere"/>
    <w:qFormat/>
    <w:rPr>
      <w:rFonts w:ascii="Calibri Light" w:eastAsia="0" w:hAnsi="Calibri Light"/>
      <w:color w:val="2F5496"/>
      <w:sz w:val="28"/>
      <w:szCs w:val="22"/>
    </w:rPr>
  </w:style>
  <w:style w:type="character" w:customStyle="1" w:styleId="ANAC-TitoloParagrafoCarattere">
    <w:name w:val="ANAC - Titolo Paragrafo Carattere"/>
    <w:qFormat/>
    <w:rPr>
      <w:rFonts w:ascii="Gotham Light" w:eastAsia="0" w:hAnsi="Gotham Light"/>
      <w:color w:val="2770B7"/>
      <w:sz w:val="28"/>
    </w:rPr>
  </w:style>
  <w:style w:type="character" w:customStyle="1" w:styleId="ANAC-TitoloCapitoloCarattere">
    <w:name w:val="ANAC - Titolo Capitolo Carattere"/>
    <w:qFormat/>
    <w:rPr>
      <w:rFonts w:ascii="Gotham Light" w:eastAsia="0" w:hAnsi="Gotham Light"/>
      <w:iCs/>
      <w:color w:val="2F5496"/>
      <w:sz w:val="36"/>
      <w:szCs w:val="40"/>
    </w:rPr>
  </w:style>
  <w:style w:type="character" w:customStyle="1" w:styleId="ANAC-CapitoloCarattere">
    <w:name w:val="ANAC - Capitolo Carattere"/>
    <w:qFormat/>
    <w:rPr>
      <w:rFonts w:ascii="Calibri Light" w:eastAsia="0" w:hAnsi="Calibri Light"/>
      <w:color w:val="2F5496"/>
      <w:sz w:val="32"/>
      <w:szCs w:val="32"/>
    </w:rPr>
  </w:style>
  <w:style w:type="character" w:customStyle="1" w:styleId="TitoloParagrafoChar">
    <w:name w:val="Titolo Paragrafo Char"/>
    <w:qFormat/>
    <w:rPr>
      <w:rFonts w:ascii="Calibri Light" w:eastAsia="0" w:hAnsi="Calibri Light"/>
      <w:color w:val="2F5496"/>
      <w:sz w:val="28"/>
    </w:rPr>
  </w:style>
  <w:style w:type="character" w:customStyle="1" w:styleId="Titolo7Carattere">
    <w:name w:val="Titolo 7 Carattere"/>
    <w:qFormat/>
    <w:rPr>
      <w:rFonts w:ascii="Calibri Light" w:eastAsia="0" w:hAnsi="Calibri Light"/>
      <w:i/>
      <w:iCs/>
      <w:color w:val="1F3763"/>
    </w:rPr>
  </w:style>
  <w:style w:type="character" w:customStyle="1" w:styleId="Titolo6Carattere">
    <w:name w:val="Titolo 6 Carattere"/>
    <w:qFormat/>
    <w:rPr>
      <w:rFonts w:ascii="Calibri Light" w:eastAsia="0" w:hAnsi="Calibri Light"/>
      <w:color w:val="1F3763"/>
    </w:rPr>
  </w:style>
  <w:style w:type="character" w:customStyle="1" w:styleId="TitoloCapitoloChar">
    <w:name w:val="Titolo Capitolo Char"/>
    <w:qFormat/>
    <w:rPr>
      <w:rFonts w:ascii="Gotham Light" w:eastAsia="0" w:hAnsi="Gotham Light"/>
      <w:iCs/>
      <w:color w:val="2F5496"/>
      <w:sz w:val="36"/>
      <w:szCs w:val="40"/>
    </w:rPr>
  </w:style>
  <w:style w:type="character" w:customStyle="1" w:styleId="NumeroCapitoloChar">
    <w:name w:val="Numero Capitolo Char"/>
    <w:qFormat/>
    <w:rPr>
      <w:rFonts w:ascii="Gotham Light" w:eastAsia="0" w:hAnsi="Gotham Light"/>
      <w:color w:val="2770B7"/>
      <w:sz w:val="48"/>
      <w:szCs w:val="36"/>
    </w:rPr>
  </w:style>
  <w:style w:type="character" w:customStyle="1" w:styleId="TitoloParteChar">
    <w:name w:val="Titolo Parte Char"/>
    <w:qFormat/>
    <w:rPr>
      <w:rFonts w:ascii="Gotham Book" w:eastAsia="Times New Roman (Corpo CS)" w:hAnsi="Gotham Book"/>
      <w:caps/>
      <w:color w:val="FFFFFF"/>
      <w:sz w:val="40"/>
      <w:szCs w:val="40"/>
      <w:lang w:eastAsia="zh-CN"/>
    </w:rPr>
  </w:style>
  <w:style w:type="character" w:customStyle="1" w:styleId="ParteNumeroChar">
    <w:name w:val="Parte Numero Char"/>
    <w:qFormat/>
    <w:rPr>
      <w:rFonts w:ascii="Gotham Medium" w:eastAsia="Times New Roman (Corpo CS)" w:hAnsi="Gotham Medium"/>
      <w:caps/>
      <w:color w:val="FFFFFF"/>
      <w:sz w:val="28"/>
      <w:szCs w:val="28"/>
    </w:rPr>
  </w:style>
  <w:style w:type="character" w:customStyle="1" w:styleId="ParagrafobaseChar">
    <w:name w:val="[Paragrafo base] Char"/>
    <w:qFormat/>
    <w:rPr>
      <w:rFonts w:ascii="Minion Pro" w:eastAsia="Minion Pro" w:hAnsi="Minion Pro"/>
      <w:color w:val="000000"/>
    </w:rPr>
  </w:style>
  <w:style w:type="character" w:customStyle="1" w:styleId="NessunaspaziaturaCarattere">
    <w:name w:val="Nessuna spaziatura Carattere"/>
    <w:qFormat/>
    <w:rPr>
      <w:rFonts w:eastAsia="0"/>
      <w:szCs w:val="22"/>
      <w:lang w:eastAsia="en-US"/>
    </w:rPr>
  </w:style>
  <w:style w:type="character" w:customStyle="1" w:styleId="Caratteridinumerazione">
    <w:name w:val="Caratteri di numerazione"/>
    <w:qFormat/>
  </w:style>
  <w:style w:type="character" w:customStyle="1" w:styleId="Menzionenonrisolta1">
    <w:name w:val="Menzione non risolta1"/>
    <w:basedOn w:val="Carpredefinitoparagrafo"/>
    <w:qFormat/>
    <w:rPr>
      <w:color w:val="605E5C"/>
      <w:highlight w:val="lightGray"/>
    </w:rPr>
  </w:style>
  <w:style w:type="character" w:customStyle="1" w:styleId="Punti">
    <w:name w:val="Punti"/>
    <w:qFormat/>
    <w:rPr>
      <w:rFonts w:ascii="OpenSymbol" w:eastAsia="OpenSymbol" w:hAnsi="OpenSymbol" w:cs="OpenSymbol"/>
    </w:rPr>
  </w:style>
  <w:style w:type="character" w:customStyle="1" w:styleId="Caratterinotaapidipagina">
    <w:name w:val="Caratteri nota a piè di pagina"/>
    <w:qFormat/>
  </w:style>
  <w:style w:type="character" w:customStyle="1" w:styleId="Caratterinotadichiusura">
    <w:name w:val="Caratteri nota di chiusura"/>
    <w:qFormat/>
  </w:style>
  <w:style w:type="character" w:customStyle="1" w:styleId="CITE">
    <w:name w:val="CITE"/>
    <w:qFormat/>
    <w:rPr>
      <w:i/>
    </w:rPr>
  </w:style>
  <w:style w:type="character" w:customStyle="1" w:styleId="CODE">
    <w:name w:val="CODE"/>
    <w:qFormat/>
    <w:rPr>
      <w:rFonts w:ascii="Courier New" w:hAnsi="Courier New"/>
      <w:sz w:val="20"/>
    </w:rPr>
  </w:style>
  <w:style w:type="character" w:customStyle="1" w:styleId="Keyboard">
    <w:name w:val="Keyboard"/>
    <w:qFormat/>
    <w:rPr>
      <w:rFonts w:ascii="Courier New" w:hAnsi="Courier New"/>
      <w:b/>
      <w:sz w:val="20"/>
    </w:rPr>
  </w:style>
  <w:style w:type="character" w:customStyle="1" w:styleId="Sample">
    <w:name w:val="Sample"/>
    <w:qFormat/>
    <w:rPr>
      <w:rFonts w:ascii="Courier New" w:hAnsi="Courier New"/>
    </w:rPr>
  </w:style>
  <w:style w:type="character" w:customStyle="1" w:styleId="Typewriter">
    <w:name w:val="Typewriter"/>
    <w:qFormat/>
    <w:rPr>
      <w:rFonts w:ascii="Courier New" w:hAnsi="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Menzionenonrisolta2">
    <w:name w:val="Menzione non risolta2"/>
    <w:basedOn w:val="Carpredefinitoparagrafo"/>
    <w:uiPriority w:val="99"/>
    <w:semiHidden/>
    <w:unhideWhenUsed/>
    <w:qFormat/>
    <w:rsid w:val="004E396B"/>
    <w:rPr>
      <w:color w:val="605E5C"/>
      <w:shd w:val="clear" w:color="auto" w:fill="E1DFDD"/>
    </w:rPr>
  </w:style>
  <w:style w:type="character" w:customStyle="1" w:styleId="Menzionenonrisolta3">
    <w:name w:val="Menzione non risolta3"/>
    <w:basedOn w:val="Carpredefinitoparagrafo"/>
    <w:uiPriority w:val="99"/>
    <w:semiHidden/>
    <w:unhideWhenUsed/>
    <w:qFormat/>
    <w:rsid w:val="004B4C8D"/>
    <w:rPr>
      <w:color w:val="605E5C"/>
      <w:shd w:val="clear" w:color="auto" w:fill="E1DFDD"/>
    </w:rPr>
  </w:style>
  <w:style w:type="character" w:customStyle="1" w:styleId="Numerazionerighe">
    <w:name w:val="Numerazione righe"/>
  </w:style>
  <w:style w:type="paragraph" w:styleId="Titolo">
    <w:name w:val="Title"/>
    <w:basedOn w:val="Normale"/>
    <w:next w:val="Corpotesto"/>
    <w:qFormat/>
    <w:pPr>
      <w:spacing w:before="240" w:after="60"/>
      <w:jc w:val="center"/>
      <w:outlineLvl w:val="0"/>
    </w:pPr>
    <w:rPr>
      <w:rFonts w:ascii="Cambria" w:hAnsi="Cambria"/>
      <w:b/>
      <w:bCs/>
      <w:kern w:val="2"/>
      <w:sz w:val="32"/>
      <w:szCs w:val="32"/>
      <w:lang w:val="x-none"/>
    </w:rPr>
  </w:style>
  <w:style w:type="paragraph" w:styleId="Corpotesto">
    <w:name w:val="Body Text"/>
    <w:basedOn w:val="Normale"/>
    <w:pPr>
      <w:widowControl w:val="0"/>
      <w:spacing w:line="259" w:lineRule="exact"/>
    </w:pPr>
    <w:rPr>
      <w:rFonts w:ascii="Times New Roman" w:hAnsi="Times New Roman"/>
      <w:sz w:val="26"/>
      <w:szCs w:val="20"/>
      <w:lang w:val="x-none" w:eastAsia="x-none"/>
    </w:rPr>
  </w:style>
  <w:style w:type="paragraph" w:styleId="Elenco">
    <w:name w:val="List"/>
    <w:basedOn w:val="Corpotesto"/>
    <w:rPr>
      <w:rFonts w:cs="Lucida Sans"/>
    </w:rPr>
  </w:style>
  <w:style w:type="paragraph" w:styleId="Didascalia">
    <w:name w:val="caption"/>
    <w:basedOn w:val="Normale"/>
    <w:next w:val="Normale"/>
    <w:qFormat/>
    <w:pPr>
      <w:spacing w:before="120"/>
    </w:pPr>
    <w:rPr>
      <w:iCs/>
      <w:szCs w:val="18"/>
    </w:rPr>
  </w:style>
  <w:style w:type="paragraph" w:customStyle="1" w:styleId="Indice">
    <w:name w:val="Indice"/>
    <w:basedOn w:val="Normale"/>
    <w:qFormat/>
    <w:pPr>
      <w:suppressLineNumbers/>
    </w:pPr>
    <w:rPr>
      <w:rFonts w:cs="Lucida Sans"/>
    </w:rPr>
  </w:style>
  <w:style w:type="paragraph" w:customStyle="1" w:styleId="Default">
    <w:name w:val="Default"/>
    <w:qFormat/>
    <w:pPr>
      <w:widowControl w:val="0"/>
      <w:spacing w:line="276" w:lineRule="auto"/>
      <w:jc w:val="both"/>
    </w:pPr>
    <w:rPr>
      <w:rFonts w:ascii="Book-Antiqua,Bold" w:hAnsi="Book-Antiqua,Bold" w:cs="Book-Antiqua,Bold"/>
      <w:color w:val="000000"/>
      <w:sz w:val="24"/>
      <w:szCs w:val="24"/>
    </w:rPr>
  </w:style>
  <w:style w:type="paragraph" w:styleId="Testofumetto">
    <w:name w:val="Balloon Text"/>
    <w:basedOn w:val="Normale"/>
    <w:qFormat/>
    <w:pPr>
      <w:spacing w:line="240" w:lineRule="auto"/>
    </w:pPr>
    <w:rPr>
      <w:rFonts w:ascii="Tahoma" w:eastAsia="Calibri" w:hAnsi="Tahoma"/>
      <w:sz w:val="16"/>
      <w:szCs w:val="16"/>
      <w:lang w:val="x-none" w:eastAsia="x-none"/>
    </w:rPr>
  </w:style>
  <w:style w:type="paragraph" w:customStyle="1" w:styleId="Paragrafoelenco1">
    <w:name w:val="Paragrafo elenco1"/>
    <w:basedOn w:val="Normale"/>
    <w:qFormat/>
    <w:pPr>
      <w:spacing w:before="280" w:after="280" w:line="240" w:lineRule="atLeast"/>
      <w:ind w:left="720"/>
      <w:contextualSpacing/>
    </w:pPr>
    <w:rPr>
      <w:rFonts w:eastAsia="Calibri"/>
      <w:lang w:eastAsia="it-IT"/>
    </w:rPr>
  </w:style>
  <w:style w:type="paragraph" w:customStyle="1" w:styleId="Intestazioneepidipagina">
    <w:name w:val="Intestazione e piè di pagina"/>
    <w:basedOn w:val="Normale"/>
    <w:qFormat/>
  </w:style>
  <w:style w:type="paragraph" w:styleId="Intestazione">
    <w:name w:val="header"/>
    <w:basedOn w:val="Normale"/>
    <w:pPr>
      <w:tabs>
        <w:tab w:val="center" w:pos="4819"/>
        <w:tab w:val="right" w:pos="9638"/>
      </w:tabs>
      <w:spacing w:before="280" w:after="280" w:line="240" w:lineRule="auto"/>
    </w:pPr>
    <w:rPr>
      <w:sz w:val="20"/>
      <w:szCs w:val="20"/>
      <w:lang w:val="x-none" w:eastAsia="it-IT"/>
    </w:rPr>
  </w:style>
  <w:style w:type="paragraph" w:styleId="Pidipagina">
    <w:name w:val="footer"/>
    <w:basedOn w:val="Normale"/>
    <w:pPr>
      <w:tabs>
        <w:tab w:val="center" w:pos="4819"/>
        <w:tab w:val="right" w:pos="9638"/>
      </w:tabs>
      <w:spacing w:before="280" w:after="280" w:line="240" w:lineRule="auto"/>
    </w:pPr>
    <w:rPr>
      <w:sz w:val="20"/>
      <w:szCs w:val="20"/>
      <w:lang w:val="x-none" w:eastAsia="it-IT"/>
    </w:rPr>
  </w:style>
  <w:style w:type="paragraph" w:styleId="Testonotaapidipagina">
    <w:name w:val="footnote text"/>
    <w:basedOn w:val="Normale"/>
    <w:pPr>
      <w:spacing w:before="280" w:after="280" w:line="240" w:lineRule="auto"/>
    </w:pPr>
    <w:rPr>
      <w:sz w:val="20"/>
      <w:szCs w:val="20"/>
      <w:lang w:val="x-none" w:eastAsia="it-IT"/>
    </w:rPr>
  </w:style>
  <w:style w:type="paragraph" w:customStyle="1" w:styleId="provvr0">
    <w:name w:val="provv_r0"/>
    <w:basedOn w:val="Normale"/>
    <w:qFormat/>
    <w:pPr>
      <w:spacing w:before="280" w:after="280" w:line="240" w:lineRule="auto"/>
    </w:pPr>
    <w:rPr>
      <w:rFonts w:ascii="Times New Roman" w:eastAsia="Calibri" w:hAnsi="Times New Roman"/>
      <w:szCs w:val="24"/>
      <w:lang w:eastAsia="it-IT"/>
    </w:rPr>
  </w:style>
  <w:style w:type="paragraph" w:customStyle="1" w:styleId="popolo">
    <w:name w:val="popolo"/>
    <w:basedOn w:val="Normale"/>
    <w:qFormat/>
    <w:pPr>
      <w:spacing w:before="280" w:after="280" w:line="240" w:lineRule="auto"/>
    </w:pPr>
    <w:rPr>
      <w:rFonts w:eastAsia="Calibri"/>
      <w:sz w:val="30"/>
      <w:szCs w:val="30"/>
      <w:lang w:eastAsia="it-IT"/>
    </w:rPr>
  </w:style>
  <w:style w:type="paragraph" w:customStyle="1" w:styleId="Stile1">
    <w:name w:val="Stile1"/>
    <w:basedOn w:val="Titolo1"/>
    <w:qFormat/>
    <w:pPr>
      <w:spacing w:line="240" w:lineRule="atLeast"/>
    </w:pPr>
    <w:rPr>
      <w:rFonts w:ascii="Times New Roman" w:hAnsi="Times New Roman"/>
      <w:lang w:eastAsia="it-IT"/>
    </w:rPr>
  </w:style>
  <w:style w:type="paragraph" w:styleId="Sommario1">
    <w:name w:val="toc 1"/>
    <w:basedOn w:val="Normale"/>
    <w:next w:val="Normale"/>
    <w:autoRedefine/>
    <w:uiPriority w:val="39"/>
    <w:rsid w:val="00BC51C4"/>
    <w:pPr>
      <w:tabs>
        <w:tab w:val="left" w:leader="dot" w:pos="284"/>
        <w:tab w:val="right" w:leader="dot" w:pos="9629"/>
      </w:tabs>
      <w:jc w:val="left"/>
    </w:pPr>
    <w:rPr>
      <w:bCs/>
      <w:sz w:val="20"/>
      <w:szCs w:val="20"/>
    </w:rPr>
  </w:style>
  <w:style w:type="paragraph" w:styleId="Sommario2">
    <w:name w:val="toc 2"/>
    <w:basedOn w:val="Normale"/>
    <w:next w:val="Sommario3"/>
    <w:autoRedefine/>
    <w:uiPriority w:val="39"/>
    <w:pPr>
      <w:tabs>
        <w:tab w:val="left" w:pos="440"/>
        <w:tab w:val="right" w:leader="dot" w:pos="9629"/>
      </w:tabs>
      <w:spacing w:line="336" w:lineRule="auto"/>
      <w:ind w:left="442" w:hanging="442"/>
    </w:pPr>
    <w:rPr>
      <w:smallCaps/>
      <w:sz w:val="20"/>
      <w:szCs w:val="20"/>
    </w:rPr>
  </w:style>
  <w:style w:type="paragraph" w:customStyle="1" w:styleId="Nessunaspaziatura1">
    <w:name w:val="Nessuna spaziatura1"/>
    <w:qFormat/>
    <w:pPr>
      <w:spacing w:line="276" w:lineRule="auto"/>
      <w:jc w:val="both"/>
    </w:pPr>
    <w:rPr>
      <w:sz w:val="22"/>
      <w:szCs w:val="22"/>
      <w:lang w:eastAsia="en-US"/>
    </w:rPr>
  </w:style>
  <w:style w:type="paragraph" w:styleId="NormaleWeb">
    <w:name w:val="Normal (Web)"/>
    <w:basedOn w:val="Normale"/>
    <w:qFormat/>
    <w:pPr>
      <w:spacing w:before="280" w:after="280" w:line="240" w:lineRule="atLeast"/>
    </w:pPr>
    <w:rPr>
      <w:rFonts w:ascii="Arial" w:eastAsia="Calibri" w:hAnsi="Arial" w:cs="Arial"/>
      <w:color w:val="2A2A2A"/>
      <w:sz w:val="18"/>
      <w:szCs w:val="18"/>
      <w:lang w:eastAsia="it-IT"/>
    </w:rPr>
  </w:style>
  <w:style w:type="paragraph" w:customStyle="1" w:styleId="Titolosommario1">
    <w:name w:val="Titolo sommario1"/>
    <w:basedOn w:val="Titolo1"/>
    <w:next w:val="Normale"/>
    <w:qFormat/>
  </w:style>
  <w:style w:type="paragraph" w:styleId="Testonotadichiusura">
    <w:name w:val="endnote text"/>
    <w:basedOn w:val="Normale"/>
    <w:rPr>
      <w:sz w:val="20"/>
      <w:szCs w:val="20"/>
      <w:lang w:val="x-none"/>
    </w:rPr>
  </w:style>
  <w:style w:type="paragraph" w:customStyle="1" w:styleId="provvr1">
    <w:name w:val="provv_r1"/>
    <w:basedOn w:val="Normale"/>
    <w:qFormat/>
    <w:pPr>
      <w:spacing w:before="280" w:after="280" w:line="240" w:lineRule="auto"/>
      <w:ind w:firstLine="400"/>
    </w:pPr>
    <w:rPr>
      <w:rFonts w:ascii="Times New Roman" w:hAnsi="Times New Roman"/>
      <w:szCs w:val="24"/>
      <w:lang w:eastAsia="it-IT"/>
    </w:rPr>
  </w:style>
  <w:style w:type="paragraph" w:styleId="Testocommento">
    <w:name w:val="annotation text"/>
    <w:basedOn w:val="Normale"/>
    <w:uiPriority w:val="99"/>
    <w:qFormat/>
    <w:rPr>
      <w:sz w:val="20"/>
      <w:szCs w:val="20"/>
      <w:lang w:val="x-none"/>
    </w:rPr>
  </w:style>
  <w:style w:type="paragraph" w:styleId="Soggettocommento">
    <w:name w:val="annotation subject"/>
    <w:basedOn w:val="Testocommento"/>
    <w:next w:val="Testocommento"/>
    <w:qFormat/>
    <w:rPr>
      <w:b/>
      <w:bCs/>
    </w:rPr>
  </w:style>
  <w:style w:type="paragraph" w:customStyle="1" w:styleId="stile10">
    <w:name w:val="stile1"/>
    <w:basedOn w:val="Normale"/>
    <w:qFormat/>
    <w:pPr>
      <w:spacing w:before="280" w:after="280" w:line="240" w:lineRule="auto"/>
    </w:pPr>
    <w:rPr>
      <w:rFonts w:ascii="Times New Roman" w:hAnsi="Times New Roman"/>
      <w:szCs w:val="24"/>
      <w:lang w:eastAsia="it-IT"/>
    </w:rPr>
  </w:style>
  <w:style w:type="paragraph" w:customStyle="1" w:styleId="bollo">
    <w:name w:val="bollo"/>
    <w:basedOn w:val="Normale"/>
    <w:qFormat/>
    <w:pPr>
      <w:spacing w:line="567" w:lineRule="atLeast"/>
    </w:pPr>
    <w:rPr>
      <w:rFonts w:ascii="Times New Roman" w:hAnsi="Times New Roman"/>
      <w:szCs w:val="20"/>
      <w:lang w:eastAsia="it-IT"/>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pPr>
      <w:ind w:left="720"/>
    </w:pPr>
    <w:rPr>
      <w:rFonts w:eastAsia="Calibri"/>
      <w:lang w:eastAsia="it-IT"/>
    </w:rPr>
  </w:style>
  <w:style w:type="paragraph" w:customStyle="1" w:styleId="provvnota">
    <w:name w:val="provv_nota"/>
    <w:basedOn w:val="Normale"/>
    <w:qFormat/>
    <w:pPr>
      <w:spacing w:before="280" w:after="280" w:line="240" w:lineRule="auto"/>
    </w:pPr>
    <w:rPr>
      <w:rFonts w:ascii="Times New Roman" w:hAnsi="Times New Roman"/>
      <w:szCs w:val="24"/>
      <w:lang w:eastAsia="it-IT"/>
    </w:rPr>
  </w:style>
  <w:style w:type="paragraph" w:customStyle="1" w:styleId="provvestremo">
    <w:name w:val="provv_estremo"/>
    <w:basedOn w:val="Normale"/>
    <w:qFormat/>
    <w:pPr>
      <w:spacing w:before="280" w:after="280" w:line="240" w:lineRule="auto"/>
    </w:pPr>
    <w:rPr>
      <w:rFonts w:ascii="Times New Roman" w:hAnsi="Times New Roman"/>
      <w:b/>
      <w:bCs/>
      <w:szCs w:val="24"/>
      <w:lang w:eastAsia="it-IT"/>
    </w:rPr>
  </w:style>
  <w:style w:type="paragraph" w:customStyle="1" w:styleId="Paragrafoelenco11">
    <w:name w:val="Paragrafo elenco11"/>
    <w:basedOn w:val="Normale"/>
    <w:qFormat/>
    <w:pPr>
      <w:spacing w:before="280" w:after="280" w:line="240" w:lineRule="atLeast"/>
      <w:ind w:left="720"/>
      <w:contextualSpacing/>
    </w:pPr>
    <w:rPr>
      <w:rFonts w:eastAsia="Calibri"/>
      <w:lang w:eastAsia="it-IT"/>
    </w:rPr>
  </w:style>
  <w:style w:type="paragraph" w:styleId="Revisione">
    <w:name w:val="Revision"/>
    <w:qFormat/>
    <w:pPr>
      <w:spacing w:line="276" w:lineRule="auto"/>
      <w:jc w:val="both"/>
    </w:pPr>
    <w:rPr>
      <w:rFonts w:eastAsia="Times New Roman"/>
      <w:sz w:val="22"/>
      <w:szCs w:val="22"/>
      <w:lang w:eastAsia="en-US"/>
    </w:rPr>
  </w:style>
  <w:style w:type="paragraph" w:styleId="Rientrocorpodeltesto3">
    <w:name w:val="Body Text Indent 3"/>
    <w:basedOn w:val="Normale"/>
    <w:qFormat/>
    <w:pPr>
      <w:spacing w:after="120"/>
      <w:ind w:left="283"/>
    </w:pPr>
    <w:rPr>
      <w:sz w:val="16"/>
      <w:szCs w:val="16"/>
      <w:lang w:val="x-none"/>
    </w:rPr>
  </w:style>
  <w:style w:type="paragraph" w:customStyle="1" w:styleId="Rub1">
    <w:name w:val="Rub1"/>
    <w:basedOn w:val="Normale"/>
    <w:qFormat/>
    <w:pPr>
      <w:tabs>
        <w:tab w:val="left" w:pos="1276"/>
      </w:tabs>
      <w:spacing w:line="240" w:lineRule="auto"/>
    </w:pPr>
    <w:rPr>
      <w:rFonts w:ascii="Times New Roman" w:hAnsi="Times New Roman"/>
      <w:b/>
      <w:smallCaps/>
      <w:sz w:val="20"/>
      <w:szCs w:val="20"/>
      <w:lang w:eastAsia="it-IT"/>
    </w:rPr>
  </w:style>
  <w:style w:type="paragraph" w:styleId="Corpodeltesto2">
    <w:name w:val="Body Text 2"/>
    <w:basedOn w:val="Normale"/>
    <w:qFormat/>
    <w:pPr>
      <w:spacing w:after="120" w:line="480" w:lineRule="auto"/>
    </w:pPr>
    <w:rPr>
      <w:lang w:val="x-none"/>
    </w:rPr>
  </w:style>
  <w:style w:type="paragraph" w:customStyle="1" w:styleId="Rientrocorpodeltesto21">
    <w:name w:val="Rientro corpo del testo 21"/>
    <w:basedOn w:val="Normale"/>
    <w:qFormat/>
    <w:pPr>
      <w:spacing w:line="240" w:lineRule="auto"/>
      <w:ind w:left="360"/>
    </w:pPr>
    <w:rPr>
      <w:rFonts w:ascii="Times New Roman" w:hAnsi="Times New Roman"/>
      <w:szCs w:val="20"/>
      <w:lang w:eastAsia="it-IT"/>
    </w:rPr>
  </w:style>
  <w:style w:type="paragraph" w:customStyle="1" w:styleId="noteapi">
    <w:name w:val="note a piè"/>
    <w:basedOn w:val="Testonotaapidipagina"/>
    <w:qFormat/>
    <w:rPr>
      <w:rFonts w:ascii="Times New Roman" w:hAnsi="Times New Roman"/>
    </w:rPr>
  </w:style>
  <w:style w:type="paragraph" w:styleId="Mappadocumento">
    <w:name w:val="Document Map"/>
    <w:basedOn w:val="Normale"/>
    <w:qFormat/>
    <w:rPr>
      <w:rFonts w:ascii="Tahoma" w:hAnsi="Tahoma"/>
      <w:sz w:val="16"/>
      <w:szCs w:val="16"/>
      <w:lang w:val="x-none"/>
    </w:rPr>
  </w:style>
  <w:style w:type="paragraph" w:customStyle="1" w:styleId="grassetto1">
    <w:name w:val="grassetto1"/>
    <w:basedOn w:val="Normale"/>
    <w:qFormat/>
    <w:pPr>
      <w:spacing w:after="24" w:line="240" w:lineRule="auto"/>
      <w:jc w:val="left"/>
    </w:pPr>
    <w:rPr>
      <w:rFonts w:ascii="Times New Roman" w:hAnsi="Times New Roman"/>
      <w:b/>
      <w:bCs/>
      <w:szCs w:val="24"/>
      <w:lang w:eastAsia="it-IT"/>
    </w:rPr>
  </w:style>
  <w:style w:type="paragraph" w:styleId="Sottotitolo">
    <w:name w:val="Subtitle"/>
    <w:basedOn w:val="Normale"/>
    <w:next w:val="Normale"/>
    <w:qFormat/>
    <w:pPr>
      <w:spacing w:after="60"/>
      <w:jc w:val="center"/>
      <w:outlineLvl w:val="1"/>
    </w:pPr>
    <w:rPr>
      <w:rFonts w:ascii="Cambria" w:hAnsi="Cambria"/>
      <w:szCs w:val="24"/>
      <w:lang w:val="x-none"/>
    </w:rPr>
  </w:style>
  <w:style w:type="paragraph" w:styleId="Titolosommario">
    <w:name w:val="TOC Heading"/>
    <w:basedOn w:val="Titolo1"/>
    <w:next w:val="Normale"/>
    <w:qFormat/>
    <w:pPr>
      <w:jc w:val="left"/>
    </w:pPr>
    <w:rPr>
      <w:rFonts w:eastAsia="Times New Roman"/>
      <w:lang w:val="it-IT" w:eastAsia="it-IT"/>
    </w:rPr>
  </w:style>
  <w:style w:type="paragraph" w:customStyle="1" w:styleId="provvc">
    <w:name w:val="provv_c"/>
    <w:basedOn w:val="Normale"/>
    <w:qFormat/>
    <w:pPr>
      <w:spacing w:before="280" w:after="280" w:line="240" w:lineRule="auto"/>
      <w:jc w:val="center"/>
    </w:pPr>
    <w:rPr>
      <w:rFonts w:ascii="Times New Roman" w:hAnsi="Times New Roman"/>
      <w:szCs w:val="24"/>
      <w:lang w:eastAsia="it-IT"/>
    </w:rPr>
  </w:style>
  <w:style w:type="paragraph" w:styleId="Sommario3">
    <w:name w:val="toc 3"/>
    <w:basedOn w:val="Normale"/>
    <w:next w:val="Normale"/>
    <w:autoRedefine/>
    <w:uiPriority w:val="39"/>
    <w:rsid w:val="00FF0AA6"/>
    <w:pPr>
      <w:tabs>
        <w:tab w:val="left" w:pos="1100"/>
        <w:tab w:val="right" w:leader="dot" w:pos="9629"/>
      </w:tabs>
      <w:spacing w:line="240" w:lineRule="auto"/>
      <w:ind w:left="896" w:hanging="454"/>
      <w:jc w:val="left"/>
    </w:pPr>
    <w:rPr>
      <w:rFonts w:ascii="Titillium" w:eastAsiaTheme="minorEastAsia" w:hAnsi="Titillium"/>
      <w:iCs/>
      <w:sz w:val="20"/>
      <w:szCs w:val="20"/>
    </w:rPr>
  </w:style>
  <w:style w:type="paragraph" w:customStyle="1" w:styleId="Rientrocorpodeltesto211">
    <w:name w:val="Rientro corpo del testo 211"/>
    <w:basedOn w:val="Normale"/>
    <w:qFormat/>
    <w:pPr>
      <w:spacing w:line="240" w:lineRule="auto"/>
      <w:ind w:left="360"/>
    </w:pPr>
    <w:rPr>
      <w:rFonts w:ascii="Times New Roman" w:hAnsi="Times New Roman"/>
      <w:szCs w:val="20"/>
      <w:lang w:eastAsia="it-IT"/>
    </w:rPr>
  </w:style>
  <w:style w:type="paragraph" w:styleId="Rientrocorpodeltesto2">
    <w:name w:val="Body Text Indent 2"/>
    <w:basedOn w:val="Normale"/>
    <w:qFormat/>
    <w:pPr>
      <w:tabs>
        <w:tab w:val="left" w:pos="1068"/>
      </w:tabs>
      <w:spacing w:line="240" w:lineRule="auto"/>
      <w:ind w:left="720"/>
    </w:pPr>
    <w:rPr>
      <w:rFonts w:ascii="Times New Roman" w:hAnsi="Times New Roman"/>
      <w:szCs w:val="24"/>
      <w:lang w:eastAsia="it-IT"/>
    </w:rPr>
  </w:style>
  <w:style w:type="paragraph" w:customStyle="1" w:styleId="sche3">
    <w:name w:val="sche_3"/>
    <w:qFormat/>
    <w:pPr>
      <w:widowControl w:val="0"/>
      <w:jc w:val="both"/>
      <w:textAlignment w:val="baseline"/>
    </w:pPr>
    <w:rPr>
      <w:rFonts w:ascii="Times New Roman" w:eastAsia="Times New Roman" w:hAnsi="Times New Roman"/>
      <w:sz w:val="24"/>
      <w:lang w:val="en-US"/>
    </w:rPr>
  </w:style>
  <w:style w:type="paragraph" w:customStyle="1" w:styleId="Text2">
    <w:name w:val="Text 2"/>
    <w:basedOn w:val="Normale"/>
    <w:qFormat/>
    <w:pPr>
      <w:tabs>
        <w:tab w:val="left" w:pos="2161"/>
      </w:tabs>
      <w:spacing w:after="240" w:line="240" w:lineRule="auto"/>
      <w:ind w:left="1077"/>
    </w:pPr>
    <w:rPr>
      <w:rFonts w:ascii="Times New Roman" w:hAnsi="Times New Roman"/>
      <w:szCs w:val="20"/>
      <w:lang w:eastAsia="it-IT"/>
    </w:rPr>
  </w:style>
  <w:style w:type="paragraph" w:styleId="Rientrocorpodeltesto">
    <w:name w:val="Body Text Indent"/>
    <w:basedOn w:val="Normale"/>
    <w:pPr>
      <w:tabs>
        <w:tab w:val="left" w:pos="0"/>
        <w:tab w:val="left" w:pos="1725"/>
        <w:tab w:val="left" w:pos="8496"/>
      </w:tabs>
      <w:spacing w:line="240" w:lineRule="auto"/>
      <w:ind w:left="708"/>
    </w:pPr>
    <w:rPr>
      <w:rFonts w:ascii="Times New Roman" w:hAnsi="Times New Roman"/>
      <w:b/>
      <w:bCs/>
      <w:i/>
      <w:iCs/>
      <w:sz w:val="20"/>
      <w:szCs w:val="20"/>
      <w:lang w:eastAsia="it-IT"/>
    </w:rPr>
  </w:style>
  <w:style w:type="paragraph" w:styleId="Corpodeltesto3">
    <w:name w:val="Body Text 3"/>
    <w:basedOn w:val="Normale"/>
    <w:qFormat/>
    <w:pPr>
      <w:tabs>
        <w:tab w:val="left" w:pos="0"/>
        <w:tab w:val="left" w:pos="8496"/>
      </w:tabs>
      <w:spacing w:before="240" w:after="120" w:line="240" w:lineRule="auto"/>
    </w:pPr>
    <w:rPr>
      <w:rFonts w:ascii="Times New Roman" w:hAnsi="Times New Roman"/>
      <w:b/>
      <w:bCs/>
      <w:i/>
      <w:iCs/>
      <w:sz w:val="20"/>
      <w:szCs w:val="24"/>
      <w:lang w:eastAsia="it-IT"/>
    </w:rPr>
  </w:style>
  <w:style w:type="paragraph" w:customStyle="1" w:styleId="Rub3">
    <w:name w:val="Rub3"/>
    <w:basedOn w:val="Normale"/>
    <w:next w:val="Normale"/>
    <w:qFormat/>
    <w:pPr>
      <w:tabs>
        <w:tab w:val="left" w:pos="709"/>
      </w:tabs>
      <w:spacing w:line="240" w:lineRule="auto"/>
    </w:pPr>
    <w:rPr>
      <w:rFonts w:ascii="Times New Roman" w:hAnsi="Times New Roman"/>
      <w:b/>
      <w:i/>
      <w:sz w:val="20"/>
      <w:szCs w:val="20"/>
      <w:lang w:eastAsia="it-IT"/>
    </w:rPr>
  </w:style>
  <w:style w:type="paragraph" w:customStyle="1" w:styleId="Titoloparagrafobandotipo">
    <w:name w:val="Titolo paragrafo bando tipo"/>
    <w:basedOn w:val="Sottotitolo"/>
    <w:autoRedefine/>
    <w:qFormat/>
    <w:pPr>
      <w:keepNext/>
      <w:spacing w:before="300" w:after="120" w:line="240" w:lineRule="auto"/>
      <w:ind w:left="-142"/>
      <w:jc w:val="left"/>
      <w:outlineLvl w:val="0"/>
    </w:pPr>
    <w:rPr>
      <w:rFonts w:ascii="Calibri" w:hAnsi="Calibri"/>
      <w:b/>
      <w:i/>
      <w:szCs w:val="22"/>
      <w:lang w:val="it-IT" w:eastAsia="it-IT"/>
    </w:rPr>
  </w:style>
  <w:style w:type="paragraph" w:customStyle="1" w:styleId="avviso">
    <w:name w:val="avviso"/>
    <w:basedOn w:val="Paragrafoelenco"/>
    <w:qFormat/>
    <w:pPr>
      <w:keepNext/>
      <w:spacing w:before="120" w:after="120" w:line="240" w:lineRule="auto"/>
      <w:ind w:left="0"/>
    </w:pPr>
    <w:rPr>
      <w:rFonts w:eastAsia="Times New Roman"/>
      <w:b/>
      <w:i/>
      <w:szCs w:val="24"/>
      <w:lang w:eastAsia="en-US"/>
    </w:rPr>
  </w:style>
  <w:style w:type="paragraph" w:customStyle="1" w:styleId="CM11">
    <w:name w:val="CM1+1"/>
    <w:basedOn w:val="Default"/>
    <w:next w:val="Default"/>
    <w:qFormat/>
    <w:pPr>
      <w:widowControl/>
      <w:spacing w:line="240" w:lineRule="auto"/>
      <w:jc w:val="left"/>
    </w:pPr>
    <w:rPr>
      <w:rFonts w:ascii="EUAlbertina" w:hAnsi="EUAlbertina" w:cs="Times New Roman"/>
      <w:color w:val="auto"/>
    </w:rPr>
  </w:style>
  <w:style w:type="paragraph" w:customStyle="1" w:styleId="CM31">
    <w:name w:val="CM3+1"/>
    <w:basedOn w:val="Default"/>
    <w:next w:val="Default"/>
    <w:qFormat/>
    <w:pPr>
      <w:widowControl/>
      <w:spacing w:line="240" w:lineRule="auto"/>
      <w:jc w:val="left"/>
    </w:pPr>
    <w:rPr>
      <w:rFonts w:ascii="EUAlbertina" w:hAnsi="EUAlbertina" w:cs="Times New Roman"/>
      <w:color w:val="auto"/>
    </w:rPr>
  </w:style>
  <w:style w:type="paragraph" w:styleId="Nessunaspaziatura">
    <w:name w:val="No Spacing"/>
    <w:qFormat/>
    <w:pPr>
      <w:jc w:val="both"/>
    </w:pPr>
    <w:rPr>
      <w:rFonts w:eastAsia="Times New Roman"/>
      <w:sz w:val="22"/>
      <w:szCs w:val="22"/>
      <w:lang w:eastAsia="en-US"/>
    </w:rPr>
  </w:style>
  <w:style w:type="paragraph" w:customStyle="1" w:styleId="Sommariodisciplinare">
    <w:name w:val="Sommario disciplinare"/>
    <w:basedOn w:val="Sommario1"/>
    <w:next w:val="Titolo2"/>
    <w:autoRedefine/>
    <w:qFormat/>
    <w:rPr>
      <w:rFonts w:cs="Calibri"/>
      <w:szCs w:val="24"/>
      <w:lang w:eastAsia="it-IT"/>
    </w:rPr>
  </w:style>
  <w:style w:type="paragraph" w:styleId="Sommario4">
    <w:name w:val="toc 4"/>
    <w:basedOn w:val="Normale"/>
    <w:next w:val="Normale"/>
    <w:autoRedefine/>
    <w:pPr>
      <w:ind w:left="660"/>
      <w:jc w:val="left"/>
    </w:pPr>
    <w:rPr>
      <w:rFonts w:ascii="Calibri" w:hAnsi="Calibri"/>
      <w:sz w:val="18"/>
      <w:szCs w:val="18"/>
    </w:rPr>
  </w:style>
  <w:style w:type="paragraph" w:styleId="Sommario5">
    <w:name w:val="toc 5"/>
    <w:basedOn w:val="Normale"/>
    <w:next w:val="Normale"/>
    <w:autoRedefine/>
    <w:pPr>
      <w:ind w:left="880"/>
      <w:jc w:val="left"/>
    </w:pPr>
    <w:rPr>
      <w:rFonts w:ascii="Calibri" w:hAnsi="Calibri"/>
      <w:sz w:val="18"/>
      <w:szCs w:val="18"/>
    </w:rPr>
  </w:style>
  <w:style w:type="paragraph" w:styleId="Sommario6">
    <w:name w:val="toc 6"/>
    <w:basedOn w:val="Normale"/>
    <w:next w:val="Normale"/>
    <w:autoRedefine/>
    <w:pPr>
      <w:ind w:left="1100"/>
      <w:jc w:val="left"/>
    </w:pPr>
    <w:rPr>
      <w:rFonts w:ascii="Calibri" w:hAnsi="Calibri"/>
      <w:sz w:val="18"/>
      <w:szCs w:val="18"/>
    </w:rPr>
  </w:style>
  <w:style w:type="paragraph" w:styleId="Sommario7">
    <w:name w:val="toc 7"/>
    <w:basedOn w:val="Normale"/>
    <w:next w:val="Normale"/>
    <w:autoRedefine/>
    <w:pPr>
      <w:ind w:left="1320"/>
      <w:jc w:val="left"/>
    </w:pPr>
    <w:rPr>
      <w:rFonts w:ascii="Calibri" w:hAnsi="Calibri"/>
      <w:sz w:val="18"/>
      <w:szCs w:val="18"/>
    </w:rPr>
  </w:style>
  <w:style w:type="paragraph" w:styleId="Sommario8">
    <w:name w:val="toc 8"/>
    <w:basedOn w:val="Normale"/>
    <w:next w:val="Normale"/>
    <w:autoRedefine/>
    <w:pPr>
      <w:ind w:left="1540"/>
      <w:jc w:val="left"/>
    </w:pPr>
    <w:rPr>
      <w:rFonts w:ascii="Calibri" w:hAnsi="Calibri"/>
      <w:sz w:val="18"/>
      <w:szCs w:val="18"/>
    </w:rPr>
  </w:style>
  <w:style w:type="paragraph" w:styleId="Sommario9">
    <w:name w:val="toc 9"/>
    <w:basedOn w:val="Normale"/>
    <w:next w:val="Normale"/>
    <w:autoRedefine/>
    <w:pPr>
      <w:ind w:left="1760"/>
      <w:jc w:val="left"/>
    </w:pPr>
    <w:rPr>
      <w:rFonts w:ascii="Calibri" w:hAnsi="Calibri"/>
      <w:sz w:val="18"/>
      <w:szCs w:val="18"/>
    </w:rPr>
  </w:style>
  <w:style w:type="paragraph" w:styleId="Testonormale">
    <w:name w:val="Plain Text"/>
    <w:basedOn w:val="Normale"/>
    <w:qFormat/>
    <w:pPr>
      <w:jc w:val="left"/>
    </w:pPr>
    <w:rPr>
      <w:rFonts w:cs="Consolas"/>
      <w:szCs w:val="21"/>
    </w:rPr>
  </w:style>
  <w:style w:type="paragraph" w:customStyle="1" w:styleId="usoboll1">
    <w:name w:val="usoboll1"/>
    <w:basedOn w:val="Normale"/>
    <w:qFormat/>
    <w:pPr>
      <w:widowControl w:val="0"/>
      <w:spacing w:line="482" w:lineRule="atLeast"/>
    </w:pPr>
    <w:rPr>
      <w:rFonts w:ascii="Times New Roman" w:hAnsi="Times New Roman"/>
      <w:szCs w:val="20"/>
      <w:lang w:eastAsia="ar-SA"/>
    </w:rPr>
  </w:style>
  <w:style w:type="paragraph" w:customStyle="1" w:styleId="ANCATABELLATITOLOBIANCO">
    <w:name w:val="ANCA_TABELLA_TITOLO BIANCO"/>
    <w:basedOn w:val="Normale"/>
    <w:qFormat/>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ind w:left="1560" w:right="142"/>
    </w:pPr>
    <w:rPr>
      <w:rFonts w:ascii="Gotham Book" w:hAnsi="Gotham Book" w:cs="Gotham Book"/>
      <w:color w:val="FFFFFF"/>
      <w:sz w:val="20"/>
      <w:szCs w:val="20"/>
    </w:rPr>
  </w:style>
  <w:style w:type="paragraph" w:customStyle="1" w:styleId="ANACTABELLATESTOBIANCO">
    <w:name w:val="ANAC_TABELLA_TESTO_BIANCO"/>
    <w:basedOn w:val="Normale"/>
    <w:qFormat/>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ind w:left="1560" w:right="142"/>
    </w:pPr>
    <w:rPr>
      <w:rFonts w:ascii="Gotham Book" w:hAnsi="Gotham Book" w:cs="Gotham Book"/>
      <w:color w:val="FFFFFF"/>
      <w:sz w:val="20"/>
      <w:szCs w:val="20"/>
    </w:rPr>
  </w:style>
  <w:style w:type="paragraph" w:customStyle="1" w:styleId="ANACDATA">
    <w:name w:val="ANAC_DATA"/>
    <w:qFormat/>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1560" w:right="142"/>
    </w:pPr>
    <w:rPr>
      <w:rFonts w:ascii="Gotham Light" w:eastAsia="0" w:hAnsi="Gotham Light"/>
      <w:iCs/>
      <w:sz w:val="24"/>
      <w:lang w:eastAsia="ar-SA"/>
    </w:rPr>
  </w:style>
  <w:style w:type="paragraph" w:customStyle="1" w:styleId="ANAC-TitoloSottoparagrafo">
    <w:name w:val="ANAC - Titolo Sottoparagrafo"/>
    <w:qFormat/>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284"/>
    </w:pPr>
    <w:rPr>
      <w:rFonts w:ascii="Calibri Light" w:eastAsia="0" w:hAnsi="Calibri Light"/>
      <w:color w:val="2F5496"/>
      <w:sz w:val="24"/>
      <w:szCs w:val="22"/>
      <w:lang w:eastAsia="ar-SA"/>
    </w:rPr>
  </w:style>
  <w:style w:type="paragraph" w:customStyle="1" w:styleId="ANAC-TitoloParagrafo">
    <w:name w:val="ANAC - Titolo Paragrafo"/>
    <w:qFormat/>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1560" w:right="142"/>
    </w:pPr>
    <w:rPr>
      <w:rFonts w:ascii="Gotham Light" w:eastAsia="0" w:hAnsi="Gotham Light"/>
      <w:color w:val="2770B7"/>
      <w:sz w:val="28"/>
      <w:lang w:eastAsia="ar-SA"/>
    </w:rPr>
  </w:style>
  <w:style w:type="paragraph" w:customStyle="1" w:styleId="ANAC-TitoloCapitolo">
    <w:name w:val="ANAC - Titolo Capitolo"/>
    <w:qFormat/>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1560" w:right="142"/>
    </w:pPr>
    <w:rPr>
      <w:rFonts w:ascii="Gotham Light" w:eastAsia="0" w:hAnsi="Gotham Light"/>
      <w:iCs/>
      <w:sz w:val="36"/>
      <w:szCs w:val="40"/>
      <w:lang w:eastAsia="ar-SA"/>
    </w:rPr>
  </w:style>
  <w:style w:type="paragraph" w:customStyle="1" w:styleId="ANAC-Capitolo">
    <w:name w:val="ANAC - Capitolo"/>
    <w:basedOn w:val="Titolo1"/>
    <w:qFormat/>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240" w:line="240" w:lineRule="exact"/>
      <w:ind w:left="1560" w:right="142"/>
    </w:pPr>
    <w:rPr>
      <w:rFonts w:ascii="Calibri Light" w:eastAsia="0" w:hAnsi="Calibri Light"/>
      <w:color w:val="2F5496"/>
      <w:sz w:val="32"/>
      <w:szCs w:val="32"/>
      <w:lang w:eastAsia="ar-SA"/>
    </w:rPr>
  </w:style>
  <w:style w:type="paragraph" w:customStyle="1" w:styleId="TitoloParagrafo">
    <w:name w:val="Titolo Paragrafo"/>
    <w:basedOn w:val="Titolo5"/>
    <w:qFormat/>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after="0" w:line="240" w:lineRule="exact"/>
      <w:ind w:left="1560" w:right="142"/>
    </w:pPr>
    <w:rPr>
      <w:rFonts w:ascii="Calibri Light" w:eastAsia="0" w:hAnsi="Calibri Light"/>
      <w:color w:val="2F5496"/>
      <w:sz w:val="28"/>
      <w:lang w:eastAsia="ar-SA"/>
    </w:rPr>
  </w:style>
  <w:style w:type="paragraph" w:customStyle="1" w:styleId="TitoloCapitolo">
    <w:name w:val="Titolo Capitolo"/>
    <w:basedOn w:val="Titolo4"/>
    <w:qFormat/>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1560" w:right="142"/>
    </w:pPr>
    <w:rPr>
      <w:rFonts w:ascii="Gotham Light" w:eastAsia="0" w:hAnsi="Gotham Light"/>
      <w:i w:val="0"/>
      <w:sz w:val="36"/>
      <w:szCs w:val="40"/>
      <w:lang w:eastAsia="ar-SA"/>
    </w:rPr>
  </w:style>
  <w:style w:type="paragraph" w:customStyle="1" w:styleId="NumeroCapitolo">
    <w:name w:val="Numero Capitolo"/>
    <w:basedOn w:val="Titolo3"/>
    <w:qFormat/>
    <w:pPr>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after="0" w:line="240" w:lineRule="exact"/>
      <w:ind w:left="1560" w:right="142"/>
    </w:pPr>
    <w:rPr>
      <w:rFonts w:ascii="Gotham Light" w:eastAsia="0" w:hAnsi="Gotham Light"/>
      <w:color w:val="2770B7"/>
      <w:sz w:val="48"/>
      <w:szCs w:val="36"/>
      <w:lang w:eastAsia="ar-SA"/>
    </w:rPr>
  </w:style>
  <w:style w:type="paragraph" w:customStyle="1" w:styleId="TitoloParte">
    <w:name w:val="Titolo Parte"/>
    <w:basedOn w:val="Titolo2"/>
    <w:qFormat/>
    <w:pPr>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after="0" w:line="240" w:lineRule="exact"/>
      <w:ind w:left="1560" w:right="142" w:hanging="357"/>
      <w:jc w:val="right"/>
    </w:pPr>
    <w:rPr>
      <w:rFonts w:ascii="Gotham Book" w:eastAsia="Times New Roman (Corpo CS)" w:hAnsi="Gotham Book"/>
      <w:color w:val="FFFFFF"/>
      <w:sz w:val="40"/>
      <w:szCs w:val="40"/>
      <w:lang w:eastAsia="ar-SA"/>
    </w:rPr>
  </w:style>
  <w:style w:type="paragraph" w:customStyle="1" w:styleId="ParteNumero">
    <w:name w:val="Parte Numero"/>
    <w:basedOn w:val="Titolo1"/>
    <w:qFormat/>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240" w:line="240" w:lineRule="exact"/>
      <w:ind w:left="1560" w:right="142"/>
      <w:jc w:val="right"/>
    </w:pPr>
    <w:rPr>
      <w:rFonts w:ascii="Gotham Medium" w:eastAsia="Times New Roman (Corpo CS)" w:hAnsi="Gotham Medium"/>
      <w:caps/>
      <w:color w:val="FFFFFF"/>
      <w:lang w:eastAsia="ar-SA"/>
    </w:rPr>
  </w:style>
  <w:style w:type="paragraph" w:customStyle="1" w:styleId="Paragrafobase">
    <w:name w:val="[Paragrafo base]"/>
    <w:basedOn w:val="Normale"/>
    <w:qFormat/>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line="288" w:lineRule="exact"/>
      <w:ind w:left="1560" w:right="142"/>
      <w:textAlignment w:val="center"/>
    </w:pPr>
    <w:rPr>
      <w:rFonts w:ascii="Minion Pro" w:eastAsia="Minion Pro" w:hAnsi="Minion Pro"/>
      <w:color w:val="000000"/>
      <w:lang w:eastAsia="ar-SA"/>
    </w:rPr>
  </w:style>
  <w:style w:type="paragraph" w:customStyle="1" w:styleId="Contenutocornice">
    <w:name w:val="Contenuto cornice"/>
    <w:basedOn w:val="Normale"/>
    <w:qFormat/>
  </w:style>
  <w:style w:type="paragraph" w:customStyle="1" w:styleId="Contenutotabella">
    <w:name w:val="Contenuto tabella"/>
    <w:basedOn w:val="Normale"/>
    <w:qFormat/>
    <w:pPr>
      <w:suppressLineNumbers/>
    </w:pPr>
  </w:style>
  <w:style w:type="paragraph" w:customStyle="1" w:styleId="Standard">
    <w:name w:val="Standard"/>
    <w:qFormat/>
    <w:pPr>
      <w:spacing w:after="160" w:line="259" w:lineRule="auto"/>
      <w:textAlignment w:val="baseline"/>
    </w:pPr>
    <w:rPr>
      <w:sz w:val="24"/>
      <w:lang w:eastAsia="en-US"/>
    </w:rPr>
  </w:style>
  <w:style w:type="paragraph" w:customStyle="1" w:styleId="Testopreformattato">
    <w:name w:val="Testo preformattato"/>
    <w:basedOn w:val="Normale"/>
    <w:qFormat/>
    <w:rPr>
      <w:rFonts w:ascii="Liberation Mono" w:eastAsia="Liberation Mono" w:hAnsi="Liberation Mono" w:cs="Liberation Mono"/>
      <w:sz w:val="20"/>
      <w:szCs w:val="20"/>
    </w:rPr>
  </w:style>
  <w:style w:type="paragraph" w:customStyle="1" w:styleId="Testocitato">
    <w:name w:val="Testo citato"/>
    <w:basedOn w:val="Normale"/>
    <w:qFormat/>
    <w:pPr>
      <w:spacing w:after="283"/>
      <w:ind w:left="567" w:right="567"/>
    </w:pPr>
  </w:style>
  <w:style w:type="paragraph" w:customStyle="1" w:styleId="DefinitionTerm">
    <w:name w:val="Definition Term"/>
    <w:basedOn w:val="Normale"/>
    <w:qFormat/>
  </w:style>
  <w:style w:type="paragraph" w:customStyle="1" w:styleId="DefinitionList">
    <w:name w:val="Definition List"/>
    <w:basedOn w:val="Normale"/>
    <w:qFormat/>
    <w:pPr>
      <w:ind w:left="360"/>
    </w:pPr>
  </w:style>
  <w:style w:type="paragraph" w:customStyle="1" w:styleId="H1">
    <w:name w:val="H1"/>
    <w:basedOn w:val="Normale"/>
    <w:qFormat/>
    <w:pPr>
      <w:keepNext/>
      <w:spacing w:before="100" w:after="100"/>
      <w:outlineLvl w:val="1"/>
    </w:pPr>
    <w:rPr>
      <w:b/>
      <w:kern w:val="2"/>
      <w:sz w:val="48"/>
    </w:rPr>
  </w:style>
  <w:style w:type="paragraph" w:customStyle="1" w:styleId="H2">
    <w:name w:val="H2"/>
    <w:basedOn w:val="Normale"/>
    <w:qFormat/>
    <w:pPr>
      <w:keepNext/>
      <w:spacing w:before="100" w:after="100"/>
      <w:outlineLvl w:val="2"/>
    </w:pPr>
    <w:rPr>
      <w:b/>
      <w:sz w:val="36"/>
    </w:rPr>
  </w:style>
  <w:style w:type="paragraph" w:customStyle="1" w:styleId="H3">
    <w:name w:val="H3"/>
    <w:basedOn w:val="Normale"/>
    <w:qFormat/>
    <w:pPr>
      <w:keepNext/>
      <w:spacing w:before="100" w:after="100"/>
      <w:outlineLvl w:val="3"/>
    </w:pPr>
    <w:rPr>
      <w:b/>
      <w:sz w:val="28"/>
    </w:rPr>
  </w:style>
  <w:style w:type="paragraph" w:customStyle="1" w:styleId="H4">
    <w:name w:val="H4"/>
    <w:basedOn w:val="Normale"/>
    <w:qFormat/>
    <w:pPr>
      <w:keepNext/>
      <w:spacing w:before="100" w:after="100"/>
      <w:outlineLvl w:val="4"/>
    </w:pPr>
    <w:rPr>
      <w:b/>
    </w:rPr>
  </w:style>
  <w:style w:type="paragraph" w:customStyle="1" w:styleId="H5">
    <w:name w:val="H5"/>
    <w:basedOn w:val="Normale"/>
    <w:qFormat/>
    <w:pPr>
      <w:keepNext/>
      <w:spacing w:before="100" w:after="100"/>
      <w:outlineLvl w:val="5"/>
    </w:pPr>
    <w:rPr>
      <w:b/>
      <w:sz w:val="20"/>
    </w:rPr>
  </w:style>
  <w:style w:type="paragraph" w:customStyle="1" w:styleId="H6">
    <w:name w:val="H6"/>
    <w:basedOn w:val="Normale"/>
    <w:qFormat/>
    <w:pPr>
      <w:keepNext/>
      <w:spacing w:before="100" w:after="100"/>
      <w:outlineLvl w:val="6"/>
    </w:pPr>
    <w:rPr>
      <w:b/>
      <w:sz w:val="16"/>
    </w:rPr>
  </w:style>
  <w:style w:type="paragraph" w:customStyle="1" w:styleId="Address">
    <w:name w:val="Address"/>
    <w:basedOn w:val="Normale"/>
    <w:qFormat/>
    <w:rPr>
      <w:i/>
    </w:rPr>
  </w:style>
  <w:style w:type="paragraph" w:customStyle="1" w:styleId="Blockquote">
    <w:name w:val="Blockquote"/>
    <w:basedOn w:val="Normale"/>
    <w:qFormat/>
    <w:pPr>
      <w:spacing w:before="100" w:after="100"/>
      <w:ind w:left="360" w:right="360"/>
    </w:pPr>
  </w:style>
  <w:style w:type="paragraph" w:customStyle="1" w:styleId="Preformatted">
    <w:name w:val="Preformatted"/>
    <w:basedOn w:val="Normale"/>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z-BottomofForm">
    <w:name w:val="z-Bottom of Form"/>
    <w:qFormat/>
    <w:pPr>
      <w:pBdr>
        <w:top w:val="double" w:sz="2" w:space="0" w:color="000000"/>
      </w:pBdr>
      <w:jc w:val="center"/>
    </w:pPr>
    <w:rPr>
      <w:rFonts w:ascii="Arial" w:eastAsia="Arial" w:hAnsi="Arial" w:cs="Courier New"/>
      <w:vanish/>
      <w:sz w:val="16"/>
      <w:szCs w:val="24"/>
    </w:rPr>
  </w:style>
  <w:style w:type="paragraph" w:customStyle="1" w:styleId="z-TopofForm">
    <w:name w:val="z-Top of Form"/>
    <w:qFormat/>
    <w:pPr>
      <w:pBdr>
        <w:bottom w:val="double" w:sz="2" w:space="0" w:color="000000"/>
      </w:pBdr>
      <w:jc w:val="center"/>
    </w:pPr>
    <w:rPr>
      <w:rFonts w:ascii="Arial" w:eastAsia="Arial" w:hAnsi="Arial" w:cs="Courier New"/>
      <w:vanish/>
      <w:sz w:val="16"/>
      <w:szCs w:val="24"/>
    </w:rPr>
  </w:style>
  <w:style w:type="numbering" w:customStyle="1" w:styleId="Nessunelenco1">
    <w:name w:val="Nessun elenco1"/>
    <w:qFormat/>
  </w:style>
  <w:style w:type="numbering" w:customStyle="1" w:styleId="Stile2">
    <w:name w:val="Stile2"/>
    <w:qFormat/>
  </w:style>
  <w:style w:type="numbering" w:customStyle="1" w:styleId="WW8Num27">
    <w:name w:val="WW8Num27"/>
    <w:qFormat/>
  </w:style>
  <w:style w:type="table" w:styleId="Grigliatabella">
    <w:name w:val="Table Grid"/>
    <w:basedOn w:val="Tabellanormale"/>
    <w:rsid w:val="005115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chiara">
    <w:name w:val="Grid Table Light"/>
    <w:basedOn w:val="Tabellanormale"/>
    <w:uiPriority w:val="40"/>
    <w:rsid w:val="00D80C1E"/>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character" w:styleId="Collegamentoipertestuale">
    <w:name w:val="Hyperlink"/>
    <w:basedOn w:val="Carpredefinitoparagrafo"/>
    <w:uiPriority w:val="99"/>
    <w:unhideWhenUsed/>
    <w:rsid w:val="002C384E"/>
    <w:rPr>
      <w:color w:val="0563C1" w:themeColor="hyperlink"/>
      <w:u w:val="single"/>
    </w:rPr>
  </w:style>
  <w:style w:type="character" w:styleId="Menzionenonrisolta">
    <w:name w:val="Unresolved Mention"/>
    <w:basedOn w:val="Carpredefinitoparagrafo"/>
    <w:uiPriority w:val="99"/>
    <w:semiHidden/>
    <w:unhideWhenUsed/>
    <w:rsid w:val="00FA5315"/>
    <w:rPr>
      <w:color w:val="605E5C"/>
      <w:shd w:val="clear" w:color="auto" w:fill="E1DFDD"/>
    </w:rPr>
  </w:style>
  <w:style w:type="character" w:customStyle="1" w:styleId="cf01">
    <w:name w:val="cf01"/>
    <w:basedOn w:val="Carpredefinitoparagrafo"/>
    <w:rsid w:val="003C0D13"/>
    <w:rPr>
      <w:rFonts w:ascii="Segoe UI" w:hAnsi="Segoe UI" w:cs="Segoe UI" w:hint="default"/>
      <w:sz w:val="18"/>
      <w:szCs w:val="18"/>
    </w:rPr>
  </w:style>
  <w:style w:type="character" w:styleId="Rimandonotaapidipagina">
    <w:name w:val="footnote reference"/>
    <w:basedOn w:val="Carpredefinitoparagrafo"/>
    <w:uiPriority w:val="99"/>
    <w:semiHidden/>
    <w:unhideWhenUsed/>
    <w:rsid w:val="00FE4736"/>
    <w:rPr>
      <w:vertAlign w:val="superscript"/>
    </w:rPr>
  </w:style>
  <w:style w:type="paragraph" w:customStyle="1" w:styleId="firma">
    <w:name w:val="firma"/>
    <w:qFormat/>
    <w:rsid w:val="00F041CA"/>
    <w:pPr>
      <w:suppressAutoHyphens w:val="0"/>
      <w:jc w:val="center"/>
    </w:pPr>
    <w:rPr>
      <w:rFonts w:ascii="Titillium" w:eastAsia="Times New Roman" w:hAnsi="Titillium"/>
      <w:i/>
      <w:noProof/>
      <w:sz w:val="24"/>
      <w:szCs w:val="24"/>
    </w:rPr>
  </w:style>
  <w:style w:type="paragraph" w:customStyle="1" w:styleId="FirmeDel">
    <w:name w:val="Firme_Del"/>
    <w:link w:val="FirmeDelCarattere"/>
    <w:qFormat/>
    <w:rsid w:val="00F041CA"/>
    <w:pPr>
      <w:suppressAutoHyphens w:val="0"/>
      <w:spacing w:before="100" w:line="276" w:lineRule="auto"/>
      <w:jc w:val="both"/>
    </w:pPr>
    <w:rPr>
      <w:rFonts w:ascii="Titillium" w:eastAsia="Times New Roman" w:hAnsi="Titillium"/>
      <w:noProof/>
      <w:sz w:val="18"/>
      <w:szCs w:val="24"/>
    </w:rPr>
  </w:style>
  <w:style w:type="character" w:customStyle="1" w:styleId="FirmeDelCarattere">
    <w:name w:val="Firme_Del Carattere"/>
    <w:basedOn w:val="Carpredefinitoparagrafo"/>
    <w:link w:val="FirmeDel"/>
    <w:rsid w:val="00F041CA"/>
    <w:rPr>
      <w:rFonts w:ascii="Titillium" w:eastAsia="Times New Roman" w:hAnsi="Titillium"/>
      <w:noProof/>
      <w:sz w:val="18"/>
      <w:szCs w:val="24"/>
    </w:rPr>
  </w:style>
  <w:style w:type="paragraph" w:customStyle="1" w:styleId="Intfirma">
    <w:name w:val="Int_firma"/>
    <w:uiPriority w:val="99"/>
    <w:qFormat/>
    <w:rsid w:val="00F041CA"/>
    <w:pPr>
      <w:suppressAutoHyphens w:val="0"/>
      <w:jc w:val="center"/>
    </w:pPr>
    <w:rPr>
      <w:rFonts w:ascii="Titillium" w:eastAsia="Times New Roman" w:hAnsi="Titillium"/>
      <w:i/>
      <w:color w:val="FFFFFF" w:themeColor="background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154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pp.mase.gov.it/CAM-vigenti%20" TargetMode="External"/><Relationship Id="rId18" Type="http://schemas.openxmlformats.org/officeDocument/2006/relationships/hyperlink" Target="https://www.anticorruzione.it/-/gestione-contributi-gar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anticorruzione.it/-/portale-dei-pagamenti-di-anac" TargetMode="External"/><Relationship Id="rId2" Type="http://schemas.openxmlformats.org/officeDocument/2006/relationships/customXml" Target="../customXml/item2.xml"/><Relationship Id="rId16" Type="http://schemas.openxmlformats.org/officeDocument/2006/relationships/hyperlink" Target="https://www.anticorruzione.it/-/gestione-contributi-gara" TargetMode="External"/><Relationship Id="rId20" Type="http://schemas.openxmlformats.org/officeDocument/2006/relationships/hyperlink" Target="http://bd01.leggiditalia.it/cgi-bin/FulShow?TIPO=5&amp;NOTXT=1&amp;KEY=01LX0000107749ART6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anticorruzione.it/-/gestione-contributi-gara" TargetMode="External"/><Relationship Id="rId10" Type="http://schemas.openxmlformats.org/officeDocument/2006/relationships/endnotes" Target="endnotes.xml"/><Relationship Id="rId19" Type="http://schemas.openxmlformats.org/officeDocument/2006/relationships/hyperlink" Target="http://www.indicenormativa.it/norma/urn:nir:presidente.repubblica:decreto:1972-10-26;64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osettiegatti.eu/info/norme/statali/1993_0385.ht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9e8c4e7-0f7b-47b3-ac26-ae80e3e33ac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2958FADFEBFB140A618E4AE141CFA8E" ma:contentTypeVersion="5" ma:contentTypeDescription="Creare un nuovo documento." ma:contentTypeScope="" ma:versionID="6398d8dbb81971683460d42c2e5215ce">
  <xsd:schema xmlns:xsd="http://www.w3.org/2001/XMLSchema" xmlns:xs="http://www.w3.org/2001/XMLSchema" xmlns:p="http://schemas.microsoft.com/office/2006/metadata/properties" xmlns:ns3="89e8c4e7-0f7b-47b3-ac26-ae80e3e33acb" targetNamespace="http://schemas.microsoft.com/office/2006/metadata/properties" ma:root="true" ma:fieldsID="282fe2383ebeb1d2b228fd7957202e63" ns3:_="">
    <xsd:import namespace="89e8c4e7-0f7b-47b3-ac26-ae80e3e33acb"/>
    <xsd:element name="properties">
      <xsd:complexType>
        <xsd:sequence>
          <xsd:element name="documentManagement">
            <xsd:complexType>
              <xsd:all>
                <xsd:element ref="ns3:_activit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8c4e7-0f7b-47b3-ac26-ae80e3e33acb"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5D27A9-E646-417C-A43F-9A82314DF981}">
  <ds:schemaRefs>
    <ds:schemaRef ds:uri="http://schemas.openxmlformats.org/officeDocument/2006/bibliography"/>
  </ds:schemaRefs>
</ds:datastoreItem>
</file>

<file path=customXml/itemProps2.xml><?xml version="1.0" encoding="utf-8"?>
<ds:datastoreItem xmlns:ds="http://schemas.openxmlformats.org/officeDocument/2006/customXml" ds:itemID="{D4557C7E-2DF3-4F8F-A57B-5DF0E64783DF}">
  <ds:schemaRefs>
    <ds:schemaRef ds:uri="http://schemas.microsoft.com/sharepoint/v3/contenttype/forms"/>
  </ds:schemaRefs>
</ds:datastoreItem>
</file>

<file path=customXml/itemProps3.xml><?xml version="1.0" encoding="utf-8"?>
<ds:datastoreItem xmlns:ds="http://schemas.openxmlformats.org/officeDocument/2006/customXml" ds:itemID="{B4AF0812-8A6D-4450-8761-76E99FD70832}">
  <ds:schemaRefs>
    <ds:schemaRef ds:uri="http://schemas.microsoft.com/office/2006/metadata/properties"/>
    <ds:schemaRef ds:uri="http://schemas.microsoft.com/office/infopath/2007/PartnerControls"/>
    <ds:schemaRef ds:uri="89e8c4e7-0f7b-47b3-ac26-ae80e3e33acb"/>
  </ds:schemaRefs>
</ds:datastoreItem>
</file>

<file path=customXml/itemProps4.xml><?xml version="1.0" encoding="utf-8"?>
<ds:datastoreItem xmlns:ds="http://schemas.openxmlformats.org/officeDocument/2006/customXml" ds:itemID="{4773D5CA-8924-4DB8-A155-859C20FE5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8c4e7-0f7b-47b3-ac26-ae80e3e33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33287</Words>
  <Characters>189736</Characters>
  <Application>Microsoft Office Word</Application>
  <DocSecurity>0</DocSecurity>
  <Lines>1581</Lines>
  <Paragraphs>445</Paragraphs>
  <ScaleCrop>false</ScaleCrop>
  <HeadingPairs>
    <vt:vector size="2" baseType="variant">
      <vt:variant>
        <vt:lpstr>Titolo</vt:lpstr>
      </vt:variant>
      <vt:variant>
        <vt:i4>1</vt:i4>
      </vt:variant>
    </vt:vector>
  </HeadingPairs>
  <TitlesOfParts>
    <vt:vector size="1" baseType="lpstr">
      <vt:lpstr>Codice dei contratti pubblici                                    D.lgs. 18 aprile 2016, n. 50, modificato dal d.lgs. 19 aprile 2017, n. 56</vt:lpstr>
    </vt:vector>
  </TitlesOfParts>
  <Company>AVCP</Company>
  <LinksUpToDate>false</LinksUpToDate>
  <CharactersWithSpaces>222578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Codice dei contratti pubblici                                    D.lgs. 18 aprile 2016, n. 50, modificato dal d.lgs. 19 aprile 2017, n. 56</dc:title>
  <dc:subject>---</dc:subject>
  <dc:creator>Laura Savelli</dc:creator>
  <cp:keywords/>
  <dc:description/>
  <cp:lastModifiedBy>ibooks</cp:lastModifiedBy>
  <cp:revision>2</cp:revision>
  <cp:lastPrinted>2026-04-22T13:14:00Z</cp:lastPrinted>
  <dcterms:created xsi:type="dcterms:W3CDTF">2026-05-07T11:29:00Z</dcterms:created>
  <dcterms:modified xsi:type="dcterms:W3CDTF">2026-05-07T11:29:00Z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0x010100C2958FADFEBFB140A618E4AE141CFA8E</vt:lpwstr>
  </property>
</Properties>
</file>