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00" w:right="0" w:firstLine="0"/>
        <w:jc w:val="left"/>
        <w:rPr>
          <w:rFonts w:ascii="Courier New"/>
          <w:sz w:val="20"/>
        </w:rPr>
      </w:pPr>
      <w:r>
        <w:rPr>
          <w:rFonts w:ascii="Courier New"/>
          <w:color w:val="FF0000"/>
          <w:sz w:val="20"/>
        </w:rPr>
        <w:t>inl.INL-DCVIG.REGISTRO UFFICIALE.U.0005486.16-07-2024</w:t>
      </w:r>
    </w:p>
    <w:p>
      <w:pPr>
        <w:pStyle w:val="BodyText"/>
        <w:rPr>
          <w:rFonts w:ascii="Courier New"/>
          <w:sz w:val="20"/>
        </w:rPr>
      </w:pPr>
    </w:p>
    <w:p>
      <w:pPr>
        <w:pStyle w:val="BodyText"/>
        <w:spacing w:before="8"/>
        <w:rPr>
          <w:rFonts w:ascii="Courier New"/>
          <w:sz w:val="19"/>
        </w:rPr>
      </w:pPr>
      <w:r>
        <w:rPr/>
        <w:drawing>
          <wp:anchor distT="0" distB="0" distL="0" distR="0" allowOverlap="1" layoutInCell="1" locked="0" behindDoc="0" simplePos="0" relativeHeight="0">
            <wp:simplePos x="0" y="0"/>
            <wp:positionH relativeFrom="page">
              <wp:posOffset>1009956</wp:posOffset>
            </wp:positionH>
            <wp:positionV relativeFrom="paragraph">
              <wp:posOffset>166595</wp:posOffset>
            </wp:positionV>
            <wp:extent cx="1733099" cy="126187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733099" cy="1261872"/>
                    </a:xfrm>
                    <a:prstGeom prst="rect">
                      <a:avLst/>
                    </a:prstGeom>
                  </pic:spPr>
                </pic:pic>
              </a:graphicData>
            </a:graphic>
          </wp:anchor>
        </w:drawing>
      </w:r>
    </w:p>
    <w:p>
      <w:pPr>
        <w:pStyle w:val="BodyText"/>
        <w:spacing w:before="2"/>
        <w:rPr>
          <w:rFonts w:ascii="Courier New"/>
          <w:sz w:val="11"/>
        </w:rPr>
      </w:pPr>
    </w:p>
    <w:p>
      <w:pPr>
        <w:spacing w:before="64"/>
        <w:ind w:left="1150" w:right="0" w:firstLine="0"/>
        <w:jc w:val="left"/>
        <w:rPr>
          <w:i/>
          <w:sz w:val="18"/>
        </w:rPr>
      </w:pPr>
      <w:r>
        <w:rPr>
          <w:i/>
          <w:color w:val="16365D"/>
          <w:sz w:val="18"/>
        </w:rPr>
        <w:t>Direzione centrale vigilanza e sicurezza del lavoro</w:t>
      </w:r>
    </w:p>
    <w:p>
      <w:pPr>
        <w:pStyle w:val="BodyText"/>
        <w:spacing w:before="6" w:after="1"/>
        <w:rPr>
          <w:i/>
          <w:sz w:val="25"/>
        </w:rPr>
      </w:pPr>
    </w:p>
    <w:tbl>
      <w:tblPr>
        <w:tblW w:w="0" w:type="auto"/>
        <w:jc w:val="left"/>
        <w:tblInd w:w="5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8"/>
        <w:gridCol w:w="4511"/>
      </w:tblGrid>
      <w:tr>
        <w:trPr>
          <w:trHeight w:val="298" w:hRule="atLeast"/>
        </w:trPr>
        <w:tc>
          <w:tcPr>
            <w:tcW w:w="778" w:type="dxa"/>
          </w:tcPr>
          <w:p>
            <w:pPr>
              <w:pStyle w:val="TableParagraph"/>
              <w:spacing w:line="225" w:lineRule="exact"/>
              <w:ind w:right="105"/>
              <w:jc w:val="right"/>
              <w:rPr>
                <w:i/>
                <w:sz w:val="22"/>
              </w:rPr>
            </w:pPr>
            <w:r>
              <w:rPr>
                <w:i/>
                <w:color w:val="234060"/>
                <w:sz w:val="22"/>
              </w:rPr>
              <w:t>Alle</w:t>
            </w:r>
          </w:p>
        </w:tc>
        <w:tc>
          <w:tcPr>
            <w:tcW w:w="4511" w:type="dxa"/>
          </w:tcPr>
          <w:p>
            <w:pPr>
              <w:pStyle w:val="TableParagraph"/>
              <w:spacing w:line="225" w:lineRule="exact"/>
              <w:ind w:left="106"/>
              <w:rPr>
                <w:i/>
                <w:sz w:val="22"/>
              </w:rPr>
            </w:pPr>
            <w:r>
              <w:rPr>
                <w:i/>
                <w:color w:val="234060"/>
                <w:sz w:val="22"/>
              </w:rPr>
              <w:t>Direzioni interregionali del lavoro</w:t>
            </w:r>
          </w:p>
        </w:tc>
      </w:tr>
      <w:tr>
        <w:trPr>
          <w:trHeight w:val="697" w:hRule="atLeast"/>
        </w:trPr>
        <w:tc>
          <w:tcPr>
            <w:tcW w:w="778" w:type="dxa"/>
          </w:tcPr>
          <w:p>
            <w:pPr>
              <w:pStyle w:val="TableParagraph"/>
              <w:spacing w:before="46"/>
              <w:ind w:right="104"/>
              <w:jc w:val="right"/>
              <w:rPr>
                <w:i/>
                <w:sz w:val="22"/>
              </w:rPr>
            </w:pPr>
            <w:r>
              <w:rPr>
                <w:i/>
                <w:color w:val="234060"/>
                <w:sz w:val="22"/>
              </w:rPr>
              <w:t>Agli</w:t>
            </w:r>
          </w:p>
        </w:tc>
        <w:tc>
          <w:tcPr>
            <w:tcW w:w="4511" w:type="dxa"/>
          </w:tcPr>
          <w:p>
            <w:pPr>
              <w:pStyle w:val="TableParagraph"/>
              <w:spacing w:line="276" w:lineRule="auto" w:before="34"/>
              <w:ind w:left="106" w:right="1349"/>
              <w:rPr>
                <w:i/>
                <w:sz w:val="22"/>
              </w:rPr>
            </w:pPr>
            <w:r>
              <w:rPr>
                <w:i/>
                <w:color w:val="234060"/>
                <w:sz w:val="22"/>
              </w:rPr>
              <w:t>Ispettorati d'area metropolitana e </w:t>
            </w:r>
            <w:r>
              <w:rPr>
                <w:i/>
                <w:color w:val="234060"/>
                <w:sz w:val="22"/>
              </w:rPr>
              <w:t>Ispettorati territoriali del lavoro</w:t>
            </w:r>
          </w:p>
        </w:tc>
      </w:tr>
      <w:tr>
        <w:trPr>
          <w:trHeight w:val="373" w:hRule="atLeast"/>
        </w:trPr>
        <w:tc>
          <w:tcPr>
            <w:tcW w:w="778" w:type="dxa"/>
          </w:tcPr>
          <w:p>
            <w:pPr>
              <w:pStyle w:val="TableParagraph"/>
              <w:spacing w:before="45"/>
              <w:ind w:right="105"/>
              <w:jc w:val="right"/>
              <w:rPr>
                <w:i/>
                <w:sz w:val="22"/>
              </w:rPr>
            </w:pPr>
            <w:r>
              <w:rPr>
                <w:i/>
                <w:color w:val="234060"/>
                <w:sz w:val="22"/>
              </w:rPr>
              <w:t>e p.c.</w:t>
            </w:r>
          </w:p>
        </w:tc>
        <w:tc>
          <w:tcPr>
            <w:tcW w:w="4511" w:type="dxa"/>
          </w:tcPr>
          <w:p>
            <w:pPr>
              <w:pStyle w:val="TableParagraph"/>
              <w:rPr>
                <w:rFonts w:ascii="Times New Roman"/>
                <w:sz w:val="20"/>
              </w:rPr>
            </w:pPr>
          </w:p>
        </w:tc>
      </w:tr>
      <w:tr>
        <w:trPr>
          <w:trHeight w:val="329" w:hRule="atLeast"/>
        </w:trPr>
        <w:tc>
          <w:tcPr>
            <w:tcW w:w="778" w:type="dxa"/>
          </w:tcPr>
          <w:p>
            <w:pPr>
              <w:pStyle w:val="TableParagraph"/>
              <w:spacing w:before="20"/>
              <w:ind w:right="104"/>
              <w:jc w:val="right"/>
              <w:rPr>
                <w:i/>
                <w:sz w:val="22"/>
              </w:rPr>
            </w:pPr>
            <w:r>
              <w:rPr>
                <w:i/>
                <w:color w:val="234060"/>
                <w:sz w:val="22"/>
              </w:rPr>
              <w:t>Alla</w:t>
            </w:r>
          </w:p>
        </w:tc>
        <w:tc>
          <w:tcPr>
            <w:tcW w:w="4511" w:type="dxa"/>
          </w:tcPr>
          <w:p>
            <w:pPr>
              <w:pStyle w:val="TableParagraph"/>
              <w:spacing w:before="20"/>
              <w:ind w:left="106"/>
              <w:rPr>
                <w:i/>
                <w:sz w:val="22"/>
              </w:rPr>
            </w:pPr>
            <w:r>
              <w:rPr>
                <w:i/>
                <w:color w:val="234060"/>
                <w:sz w:val="22"/>
              </w:rPr>
              <w:t>Direzione centrale coordinamento giuridico</w:t>
            </w:r>
          </w:p>
        </w:tc>
      </w:tr>
      <w:tr>
        <w:trPr>
          <w:trHeight w:val="309" w:hRule="atLeast"/>
        </w:trPr>
        <w:tc>
          <w:tcPr>
            <w:tcW w:w="778" w:type="dxa"/>
          </w:tcPr>
          <w:p>
            <w:pPr>
              <w:pStyle w:val="TableParagraph"/>
              <w:ind w:right="105"/>
              <w:jc w:val="right"/>
              <w:rPr>
                <w:i/>
                <w:sz w:val="22"/>
              </w:rPr>
            </w:pPr>
            <w:r>
              <w:rPr>
                <w:i/>
                <w:color w:val="234060"/>
                <w:sz w:val="22"/>
              </w:rPr>
              <w:t>All’</w:t>
            </w:r>
          </w:p>
        </w:tc>
        <w:tc>
          <w:tcPr>
            <w:tcW w:w="4511" w:type="dxa"/>
          </w:tcPr>
          <w:p>
            <w:pPr>
              <w:pStyle w:val="TableParagraph"/>
              <w:ind w:left="106"/>
              <w:rPr>
                <w:i/>
                <w:sz w:val="22"/>
              </w:rPr>
            </w:pPr>
            <w:r>
              <w:rPr>
                <w:i/>
                <w:color w:val="234060"/>
                <w:sz w:val="22"/>
              </w:rPr>
              <w:t>INPS - Direzione centrale entrate</w:t>
            </w:r>
          </w:p>
        </w:tc>
      </w:tr>
      <w:tr>
        <w:trPr>
          <w:trHeight w:val="265" w:hRule="atLeast"/>
        </w:trPr>
        <w:tc>
          <w:tcPr>
            <w:tcW w:w="778" w:type="dxa"/>
          </w:tcPr>
          <w:p>
            <w:pPr>
              <w:pStyle w:val="TableParagraph"/>
              <w:spacing w:line="245" w:lineRule="exact"/>
              <w:ind w:right="105"/>
              <w:jc w:val="right"/>
              <w:rPr>
                <w:i/>
                <w:sz w:val="22"/>
              </w:rPr>
            </w:pPr>
            <w:r>
              <w:rPr>
                <w:i/>
                <w:color w:val="234060"/>
                <w:sz w:val="22"/>
              </w:rPr>
              <w:t>All’</w:t>
            </w:r>
          </w:p>
        </w:tc>
        <w:tc>
          <w:tcPr>
            <w:tcW w:w="4511" w:type="dxa"/>
          </w:tcPr>
          <w:p>
            <w:pPr>
              <w:pStyle w:val="TableParagraph"/>
              <w:spacing w:line="245" w:lineRule="exact"/>
              <w:ind w:left="106"/>
              <w:rPr>
                <w:i/>
                <w:sz w:val="22"/>
              </w:rPr>
            </w:pPr>
            <w:r>
              <w:rPr>
                <w:i/>
                <w:color w:val="234060"/>
                <w:sz w:val="22"/>
              </w:rPr>
              <w:t>INAIL - Direzione centrale rapporto assicurativo</w:t>
            </w:r>
          </w:p>
        </w:tc>
      </w:tr>
    </w:tbl>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9"/>
        <w:rPr>
          <w:i/>
          <w:sz w:val="14"/>
        </w:rPr>
      </w:pPr>
    </w:p>
    <w:p>
      <w:pPr>
        <w:pStyle w:val="BodyText"/>
        <w:ind w:left="1803"/>
      </w:pPr>
      <w:r>
        <w:rPr>
          <w:color w:val="234060"/>
        </w:rPr>
        <w:t>Oggetto: vigilanza imprese agrituristiche – corretto inquadramento.</w:t>
      </w:r>
    </w:p>
    <w:p>
      <w:pPr>
        <w:pStyle w:val="BodyText"/>
        <w:spacing w:before="8"/>
        <w:rPr>
          <w:sz w:val="28"/>
        </w:rPr>
      </w:pPr>
    </w:p>
    <w:p>
      <w:pPr>
        <w:pStyle w:val="BodyText"/>
        <w:spacing w:line="276" w:lineRule="auto" w:before="1"/>
        <w:ind w:left="951" w:right="103" w:firstLine="852"/>
        <w:jc w:val="both"/>
      </w:pPr>
      <w:r>
        <w:rPr>
          <w:color w:val="234060"/>
        </w:rPr>
        <w:t>D’intesa con la Direzione centrale coordinamento giuridico, nonché con INPS e INAIL, si pone all’attenzione di codesti Uffici la necessità, nell’ambito degli accertamenti nei confronti delle imprese agrituristiche</w:t>
      </w:r>
      <w:r>
        <w:rPr>
          <w:color w:val="234060"/>
          <w:spacing w:val="-13"/>
        </w:rPr>
        <w:t> </w:t>
      </w:r>
      <w:r>
        <w:rPr>
          <w:color w:val="234060"/>
        </w:rPr>
        <w:t>e</w:t>
      </w:r>
      <w:r>
        <w:rPr>
          <w:color w:val="234060"/>
          <w:spacing w:val="-15"/>
        </w:rPr>
        <w:t> </w:t>
      </w:r>
      <w:r>
        <w:rPr>
          <w:color w:val="234060"/>
        </w:rPr>
        <w:t>del</w:t>
      </w:r>
      <w:r>
        <w:rPr>
          <w:color w:val="234060"/>
          <w:spacing w:val="-13"/>
        </w:rPr>
        <w:t> </w:t>
      </w:r>
      <w:r>
        <w:rPr>
          <w:color w:val="234060"/>
        </w:rPr>
        <w:t>relativo</w:t>
      </w:r>
      <w:r>
        <w:rPr>
          <w:color w:val="234060"/>
          <w:spacing w:val="-12"/>
        </w:rPr>
        <w:t> </w:t>
      </w:r>
      <w:r>
        <w:rPr>
          <w:color w:val="234060"/>
        </w:rPr>
        <w:t>inquadramento,</w:t>
      </w:r>
      <w:r>
        <w:rPr>
          <w:color w:val="234060"/>
          <w:spacing w:val="-13"/>
        </w:rPr>
        <w:t> </w:t>
      </w:r>
      <w:r>
        <w:rPr>
          <w:color w:val="234060"/>
        </w:rPr>
        <w:t>di</w:t>
      </w:r>
      <w:r>
        <w:rPr>
          <w:color w:val="234060"/>
          <w:spacing w:val="-14"/>
        </w:rPr>
        <w:t> </w:t>
      </w:r>
      <w:r>
        <w:rPr>
          <w:color w:val="234060"/>
        </w:rPr>
        <w:t>tenere</w:t>
      </w:r>
      <w:r>
        <w:rPr>
          <w:color w:val="234060"/>
          <w:spacing w:val="-14"/>
        </w:rPr>
        <w:t> </w:t>
      </w:r>
      <w:r>
        <w:rPr>
          <w:color w:val="234060"/>
        </w:rPr>
        <w:t>conto</w:t>
      </w:r>
      <w:r>
        <w:rPr>
          <w:color w:val="234060"/>
          <w:spacing w:val="-13"/>
        </w:rPr>
        <w:t> </w:t>
      </w:r>
      <w:r>
        <w:rPr>
          <w:color w:val="234060"/>
        </w:rPr>
        <w:t>delle</w:t>
      </w:r>
      <w:r>
        <w:rPr>
          <w:color w:val="234060"/>
          <w:spacing w:val="-14"/>
        </w:rPr>
        <w:t> </w:t>
      </w:r>
      <w:r>
        <w:rPr>
          <w:color w:val="234060"/>
        </w:rPr>
        <w:t>diverse</w:t>
      </w:r>
      <w:r>
        <w:rPr>
          <w:color w:val="234060"/>
          <w:spacing w:val="-12"/>
        </w:rPr>
        <w:t> </w:t>
      </w:r>
      <w:r>
        <w:rPr>
          <w:color w:val="234060"/>
        </w:rPr>
        <w:t>fonti</w:t>
      </w:r>
      <w:r>
        <w:rPr>
          <w:color w:val="234060"/>
          <w:spacing w:val="-13"/>
        </w:rPr>
        <w:t> </w:t>
      </w:r>
      <w:r>
        <w:rPr>
          <w:color w:val="234060"/>
        </w:rPr>
        <w:t>normative</w:t>
      </w:r>
      <w:r>
        <w:rPr>
          <w:color w:val="234060"/>
          <w:spacing w:val="-16"/>
        </w:rPr>
        <w:t> </w:t>
      </w:r>
      <w:r>
        <w:rPr>
          <w:color w:val="234060"/>
        </w:rPr>
        <w:t>che</w:t>
      </w:r>
      <w:r>
        <w:rPr>
          <w:color w:val="234060"/>
          <w:spacing w:val="-13"/>
        </w:rPr>
        <w:t> </w:t>
      </w:r>
      <w:r>
        <w:rPr>
          <w:color w:val="234060"/>
        </w:rPr>
        <w:t>insistono</w:t>
      </w:r>
      <w:r>
        <w:rPr>
          <w:color w:val="234060"/>
          <w:spacing w:val="-14"/>
        </w:rPr>
        <w:t> </w:t>
      </w:r>
      <w:r>
        <w:rPr>
          <w:color w:val="234060"/>
        </w:rPr>
        <w:t>in</w:t>
      </w:r>
      <w:r>
        <w:rPr>
          <w:color w:val="234060"/>
          <w:spacing w:val="-15"/>
        </w:rPr>
        <w:t> </w:t>
      </w:r>
      <w:r>
        <w:rPr>
          <w:color w:val="234060"/>
        </w:rPr>
        <w:t>materia, al fine di una maggiore completezza istruttoria e, conseguentemente, al fine di evitare possibili</w:t>
      </w:r>
      <w:r>
        <w:rPr>
          <w:color w:val="234060"/>
          <w:spacing w:val="-23"/>
        </w:rPr>
        <w:t> </w:t>
      </w:r>
      <w:r>
        <w:rPr>
          <w:color w:val="234060"/>
        </w:rPr>
        <w:t>contenziosi.</w:t>
      </w:r>
    </w:p>
    <w:p>
      <w:pPr>
        <w:spacing w:line="276" w:lineRule="auto" w:before="0"/>
        <w:ind w:left="951" w:right="103" w:firstLine="852"/>
        <w:jc w:val="both"/>
        <w:rPr>
          <w:sz w:val="22"/>
        </w:rPr>
      </w:pPr>
      <w:r>
        <w:rPr>
          <w:color w:val="234060"/>
          <w:sz w:val="22"/>
        </w:rPr>
        <w:t>In</w:t>
      </w:r>
      <w:r>
        <w:rPr>
          <w:color w:val="234060"/>
          <w:spacing w:val="-10"/>
          <w:sz w:val="22"/>
        </w:rPr>
        <w:t> </w:t>
      </w:r>
      <w:r>
        <w:rPr>
          <w:color w:val="234060"/>
          <w:sz w:val="22"/>
        </w:rPr>
        <w:t>materia</w:t>
      </w:r>
      <w:r>
        <w:rPr>
          <w:color w:val="234060"/>
          <w:spacing w:val="-11"/>
          <w:sz w:val="22"/>
        </w:rPr>
        <w:t> </w:t>
      </w:r>
      <w:r>
        <w:rPr>
          <w:color w:val="234060"/>
          <w:sz w:val="22"/>
        </w:rPr>
        <w:t>di</w:t>
      </w:r>
      <w:r>
        <w:rPr>
          <w:color w:val="234060"/>
          <w:spacing w:val="-8"/>
          <w:sz w:val="22"/>
        </w:rPr>
        <w:t> </w:t>
      </w:r>
      <w:r>
        <w:rPr>
          <w:color w:val="234060"/>
          <w:sz w:val="22"/>
        </w:rPr>
        <w:t>inquadramento</w:t>
      </w:r>
      <w:r>
        <w:rPr>
          <w:color w:val="234060"/>
          <w:spacing w:val="-7"/>
          <w:sz w:val="22"/>
        </w:rPr>
        <w:t> </w:t>
      </w:r>
      <w:r>
        <w:rPr>
          <w:color w:val="234060"/>
          <w:sz w:val="22"/>
        </w:rPr>
        <w:t>delle</w:t>
      </w:r>
      <w:r>
        <w:rPr>
          <w:color w:val="234060"/>
          <w:spacing w:val="-11"/>
          <w:sz w:val="22"/>
        </w:rPr>
        <w:t> </w:t>
      </w:r>
      <w:r>
        <w:rPr>
          <w:color w:val="234060"/>
          <w:sz w:val="22"/>
        </w:rPr>
        <w:t>imprese</w:t>
      </w:r>
      <w:r>
        <w:rPr>
          <w:color w:val="234060"/>
          <w:spacing w:val="-9"/>
          <w:sz w:val="22"/>
        </w:rPr>
        <w:t> </w:t>
      </w:r>
      <w:r>
        <w:rPr>
          <w:color w:val="234060"/>
          <w:sz w:val="22"/>
        </w:rPr>
        <w:t>agrituristiche</w:t>
      </w:r>
      <w:r>
        <w:rPr>
          <w:color w:val="234060"/>
          <w:spacing w:val="-7"/>
          <w:sz w:val="22"/>
        </w:rPr>
        <w:t> </w:t>
      </w:r>
      <w:r>
        <w:rPr>
          <w:color w:val="234060"/>
          <w:sz w:val="22"/>
        </w:rPr>
        <w:t>questo</w:t>
      </w:r>
      <w:r>
        <w:rPr>
          <w:color w:val="234060"/>
          <w:spacing w:val="-9"/>
          <w:sz w:val="22"/>
        </w:rPr>
        <w:t> </w:t>
      </w:r>
      <w:r>
        <w:rPr>
          <w:color w:val="234060"/>
          <w:sz w:val="22"/>
        </w:rPr>
        <w:t>Ispettorato,</w:t>
      </w:r>
      <w:r>
        <w:rPr>
          <w:color w:val="234060"/>
          <w:spacing w:val="-10"/>
          <w:sz w:val="22"/>
        </w:rPr>
        <w:t> </w:t>
      </w:r>
      <w:r>
        <w:rPr>
          <w:color w:val="234060"/>
          <w:sz w:val="22"/>
        </w:rPr>
        <w:t>con</w:t>
      </w:r>
      <w:r>
        <w:rPr>
          <w:color w:val="234060"/>
          <w:spacing w:val="-14"/>
          <w:sz w:val="22"/>
        </w:rPr>
        <w:t> </w:t>
      </w:r>
      <w:r>
        <w:rPr>
          <w:color w:val="234060"/>
          <w:sz w:val="22"/>
        </w:rPr>
        <w:t>circ.</w:t>
      </w:r>
      <w:r>
        <w:rPr>
          <w:color w:val="234060"/>
          <w:spacing w:val="-10"/>
          <w:sz w:val="22"/>
        </w:rPr>
        <w:t> </w:t>
      </w:r>
      <w:r>
        <w:rPr>
          <w:color w:val="234060"/>
          <w:sz w:val="22"/>
        </w:rPr>
        <w:t>n.</w:t>
      </w:r>
      <w:r>
        <w:rPr>
          <w:color w:val="234060"/>
          <w:spacing w:val="-11"/>
          <w:sz w:val="22"/>
        </w:rPr>
        <w:t> </w:t>
      </w:r>
      <w:r>
        <w:rPr>
          <w:color w:val="234060"/>
          <w:sz w:val="22"/>
        </w:rPr>
        <w:t>1</w:t>
      </w:r>
      <w:r>
        <w:rPr>
          <w:color w:val="234060"/>
          <w:spacing w:val="-9"/>
          <w:sz w:val="22"/>
        </w:rPr>
        <w:t> </w:t>
      </w:r>
      <w:r>
        <w:rPr>
          <w:color w:val="234060"/>
          <w:sz w:val="22"/>
        </w:rPr>
        <w:t>dell’11</w:t>
      </w:r>
      <w:r>
        <w:rPr>
          <w:color w:val="234060"/>
          <w:spacing w:val="-9"/>
          <w:sz w:val="22"/>
        </w:rPr>
        <w:t> </w:t>
      </w:r>
      <w:r>
        <w:rPr>
          <w:color w:val="234060"/>
          <w:sz w:val="22"/>
        </w:rPr>
        <w:t>marzo 2020, ha ricordato gli orientamenti della Corte di Cassazione (tra le altre, Cass. sent. n. 11076/2006, n. 10905/2011 e n. 16685/2015), secondo i quali le attività di coltivazione del fondo, silvicoltura e allevamento di bestiame </w:t>
      </w:r>
      <w:r>
        <w:rPr>
          <w:b/>
          <w:color w:val="234060"/>
          <w:sz w:val="22"/>
        </w:rPr>
        <w:t>devono comunque rimanere principali rispetto a quelle ricettive e di ospitalità </w:t>
      </w:r>
      <w:r>
        <w:rPr>
          <w:color w:val="234060"/>
          <w:sz w:val="22"/>
        </w:rPr>
        <w:t>che si pongono in rapporto di “connessione e complementarietà” con esse. La medesima circolare ha altresì chiarito che “</w:t>
      </w:r>
      <w:r>
        <w:rPr>
          <w:i/>
          <w:color w:val="234060"/>
          <w:sz w:val="22"/>
        </w:rPr>
        <w:t>laddove </w:t>
      </w:r>
      <w:r>
        <w:rPr>
          <w:i/>
          <w:color w:val="234060"/>
          <w:sz w:val="22"/>
        </w:rPr>
        <w:t>si riscontra una notevole consistenza dei redditi ricavati dall’attività di ristorazione, grande sproporzione del tempo</w:t>
      </w:r>
      <w:r>
        <w:rPr>
          <w:i/>
          <w:color w:val="234060"/>
          <w:spacing w:val="-7"/>
          <w:sz w:val="22"/>
        </w:rPr>
        <w:t> </w:t>
      </w:r>
      <w:r>
        <w:rPr>
          <w:i/>
          <w:color w:val="234060"/>
          <w:sz w:val="22"/>
        </w:rPr>
        <w:t>dedicato</w:t>
      </w:r>
      <w:r>
        <w:rPr>
          <w:i/>
          <w:color w:val="234060"/>
          <w:spacing w:val="-7"/>
          <w:sz w:val="22"/>
        </w:rPr>
        <w:t> </w:t>
      </w:r>
      <w:r>
        <w:rPr>
          <w:i/>
          <w:color w:val="234060"/>
          <w:sz w:val="22"/>
        </w:rPr>
        <w:t>all’attività</w:t>
      </w:r>
      <w:r>
        <w:rPr>
          <w:i/>
          <w:color w:val="234060"/>
          <w:spacing w:val="-10"/>
          <w:sz w:val="22"/>
        </w:rPr>
        <w:t> </w:t>
      </w:r>
      <w:r>
        <w:rPr>
          <w:i/>
          <w:color w:val="234060"/>
          <w:sz w:val="22"/>
        </w:rPr>
        <w:t>di</w:t>
      </w:r>
      <w:r>
        <w:rPr>
          <w:i/>
          <w:color w:val="234060"/>
          <w:spacing w:val="-7"/>
          <w:sz w:val="22"/>
        </w:rPr>
        <w:t> </w:t>
      </w:r>
      <w:r>
        <w:rPr>
          <w:i/>
          <w:color w:val="234060"/>
          <w:sz w:val="22"/>
        </w:rPr>
        <w:t>ristorazione</w:t>
      </w:r>
      <w:r>
        <w:rPr>
          <w:i/>
          <w:color w:val="234060"/>
          <w:spacing w:val="-5"/>
          <w:sz w:val="22"/>
        </w:rPr>
        <w:t> </w:t>
      </w:r>
      <w:r>
        <w:rPr>
          <w:i/>
          <w:color w:val="234060"/>
          <w:sz w:val="22"/>
        </w:rPr>
        <w:t>rispetto</w:t>
      </w:r>
      <w:r>
        <w:rPr>
          <w:i/>
          <w:color w:val="234060"/>
          <w:spacing w:val="-9"/>
          <w:sz w:val="22"/>
        </w:rPr>
        <w:t> </w:t>
      </w:r>
      <w:r>
        <w:rPr>
          <w:i/>
          <w:color w:val="234060"/>
          <w:sz w:val="22"/>
        </w:rPr>
        <w:t>a</w:t>
      </w:r>
      <w:r>
        <w:rPr>
          <w:i/>
          <w:color w:val="234060"/>
          <w:spacing w:val="-7"/>
          <w:sz w:val="22"/>
        </w:rPr>
        <w:t> </w:t>
      </w:r>
      <w:r>
        <w:rPr>
          <w:i/>
          <w:color w:val="234060"/>
          <w:sz w:val="22"/>
        </w:rPr>
        <w:t>quello</w:t>
      </w:r>
      <w:r>
        <w:rPr>
          <w:i/>
          <w:color w:val="234060"/>
          <w:spacing w:val="-7"/>
          <w:sz w:val="22"/>
        </w:rPr>
        <w:t> </w:t>
      </w:r>
      <w:r>
        <w:rPr>
          <w:i/>
          <w:color w:val="234060"/>
          <w:sz w:val="22"/>
        </w:rPr>
        <w:t>dedicato</w:t>
      </w:r>
      <w:r>
        <w:rPr>
          <w:i/>
          <w:color w:val="234060"/>
          <w:spacing w:val="-6"/>
          <w:sz w:val="22"/>
        </w:rPr>
        <w:t> </w:t>
      </w:r>
      <w:r>
        <w:rPr>
          <w:i/>
          <w:color w:val="234060"/>
          <w:sz w:val="22"/>
        </w:rPr>
        <w:t>all’attività</w:t>
      </w:r>
      <w:r>
        <w:rPr>
          <w:i/>
          <w:color w:val="234060"/>
          <w:spacing w:val="-7"/>
          <w:sz w:val="22"/>
        </w:rPr>
        <w:t> </w:t>
      </w:r>
      <w:r>
        <w:rPr>
          <w:i/>
          <w:color w:val="234060"/>
          <w:sz w:val="22"/>
        </w:rPr>
        <w:t>agricola,</w:t>
      </w:r>
      <w:r>
        <w:rPr>
          <w:i/>
          <w:color w:val="234060"/>
          <w:spacing w:val="-6"/>
          <w:sz w:val="22"/>
        </w:rPr>
        <w:t> </w:t>
      </w:r>
      <w:r>
        <w:rPr>
          <w:i/>
          <w:color w:val="234060"/>
          <w:sz w:val="22"/>
        </w:rPr>
        <w:t>con</w:t>
      </w:r>
      <w:r>
        <w:rPr>
          <w:i/>
          <w:color w:val="234060"/>
          <w:spacing w:val="-7"/>
          <w:sz w:val="22"/>
        </w:rPr>
        <w:t> </w:t>
      </w:r>
      <w:r>
        <w:rPr>
          <w:i/>
          <w:color w:val="234060"/>
          <w:sz w:val="22"/>
        </w:rPr>
        <w:t>prevalenza</w:t>
      </w:r>
      <w:r>
        <w:rPr>
          <w:i/>
          <w:color w:val="234060"/>
          <w:spacing w:val="-7"/>
          <w:sz w:val="22"/>
        </w:rPr>
        <w:t> </w:t>
      </w:r>
      <w:r>
        <w:rPr>
          <w:i/>
          <w:color w:val="234060"/>
          <w:sz w:val="22"/>
        </w:rPr>
        <w:t>del</w:t>
      </w:r>
      <w:r>
        <w:rPr>
          <w:i/>
          <w:color w:val="234060"/>
          <w:spacing w:val="-6"/>
          <w:sz w:val="22"/>
        </w:rPr>
        <w:t> </w:t>
      </w:r>
      <w:r>
        <w:rPr>
          <w:i/>
          <w:color w:val="234060"/>
          <w:sz w:val="22"/>
        </w:rPr>
        <w:t>primo e utilizzo di prodotti acquistati sul mercato in misura maggiore rispetto a quelli provenienti dall’attività agricola principale, non può legittimamente permanere una classificazione nel settore agricoltura di tali</w:t>
      </w:r>
      <w:r>
        <w:rPr>
          <w:i/>
          <w:color w:val="234060"/>
          <w:spacing w:val="-15"/>
          <w:sz w:val="22"/>
        </w:rPr>
        <w:t> </w:t>
      </w:r>
      <w:r>
        <w:rPr>
          <w:i/>
          <w:color w:val="234060"/>
          <w:sz w:val="22"/>
        </w:rPr>
        <w:t>aziende</w:t>
      </w:r>
      <w:r>
        <w:rPr>
          <w:color w:val="234060"/>
          <w:sz w:val="22"/>
        </w:rPr>
        <w:t>”.</w:t>
      </w:r>
    </w:p>
    <w:p>
      <w:pPr>
        <w:spacing w:line="276" w:lineRule="auto" w:before="0"/>
        <w:ind w:left="951" w:right="104" w:firstLine="852"/>
        <w:jc w:val="both"/>
        <w:rPr>
          <w:sz w:val="22"/>
        </w:rPr>
      </w:pPr>
      <w:r>
        <w:rPr>
          <w:color w:val="234060"/>
          <w:sz w:val="22"/>
        </w:rPr>
        <w:t>Tuttavia, tale indicazione va riponderata tenendo in debita considerazione la </w:t>
      </w:r>
      <w:r>
        <w:rPr>
          <w:b/>
          <w:color w:val="234060"/>
          <w:sz w:val="22"/>
        </w:rPr>
        <w:t>disciplina regionale di riferimento </w:t>
      </w:r>
      <w:r>
        <w:rPr>
          <w:color w:val="234060"/>
          <w:sz w:val="22"/>
        </w:rPr>
        <w:t>che, a sua volta, va applicata in funzione delle </w:t>
      </w:r>
      <w:r>
        <w:rPr>
          <w:b/>
          <w:color w:val="234060"/>
          <w:sz w:val="22"/>
        </w:rPr>
        <w:t>modifiche apportate alla L. n. 96/2006 </w:t>
      </w:r>
      <w:r>
        <w:rPr>
          <w:color w:val="234060"/>
          <w:sz w:val="22"/>
        </w:rPr>
        <w:t>intervenute nel 2021 e quindi successive alla suddetta circolare.</w:t>
      </w:r>
    </w:p>
    <w:p>
      <w:pPr>
        <w:spacing w:line="276" w:lineRule="auto" w:before="1"/>
        <w:ind w:left="951" w:right="103" w:firstLine="852"/>
        <w:jc w:val="both"/>
        <w:rPr>
          <w:sz w:val="22"/>
        </w:rPr>
      </w:pPr>
      <w:r>
        <w:rPr>
          <w:color w:val="234060"/>
          <w:sz w:val="22"/>
        </w:rPr>
        <w:t>Quanto alla disciplina regionale basti ricordare che la L. n. 96/2006 rimette alle Regioni le modalità per il rilascio della autorizzazione alla attività agrituristica (art. 7), le quali sono altresì tenute a dettare “</w:t>
      </w:r>
      <w:r>
        <w:rPr>
          <w:i/>
          <w:color w:val="234060"/>
          <w:sz w:val="22"/>
        </w:rPr>
        <w:t>criteri, limiti </w:t>
      </w:r>
      <w:r>
        <w:rPr>
          <w:i/>
          <w:color w:val="234060"/>
          <w:sz w:val="22"/>
        </w:rPr>
        <w:t>e obblighi amministrativi per lo svolgimento dell'attività agrituristica</w:t>
      </w:r>
      <w:r>
        <w:rPr>
          <w:color w:val="234060"/>
          <w:sz w:val="22"/>
        </w:rPr>
        <w:t>” nonché “</w:t>
      </w:r>
      <w:r>
        <w:rPr>
          <w:i/>
          <w:color w:val="234060"/>
          <w:sz w:val="22"/>
        </w:rPr>
        <w:t>criteri per la valutazione del </w:t>
      </w:r>
      <w:r>
        <w:rPr>
          <w:i/>
          <w:color w:val="234060"/>
          <w:sz w:val="22"/>
        </w:rPr>
        <w:t>rapporto</w:t>
      </w:r>
      <w:r>
        <w:rPr>
          <w:i/>
          <w:color w:val="234060"/>
          <w:spacing w:val="-7"/>
          <w:sz w:val="22"/>
        </w:rPr>
        <w:t> </w:t>
      </w:r>
      <w:r>
        <w:rPr>
          <w:i/>
          <w:color w:val="234060"/>
          <w:sz w:val="22"/>
        </w:rPr>
        <w:t>di</w:t>
      </w:r>
      <w:r>
        <w:rPr>
          <w:i/>
          <w:color w:val="234060"/>
          <w:spacing w:val="-9"/>
          <w:sz w:val="22"/>
        </w:rPr>
        <w:t> </w:t>
      </w:r>
      <w:r>
        <w:rPr>
          <w:i/>
          <w:color w:val="234060"/>
          <w:sz w:val="22"/>
        </w:rPr>
        <w:t>connessione</w:t>
      </w:r>
      <w:r>
        <w:rPr>
          <w:i/>
          <w:color w:val="234060"/>
          <w:spacing w:val="-6"/>
          <w:sz w:val="22"/>
        </w:rPr>
        <w:t> </w:t>
      </w:r>
      <w:r>
        <w:rPr>
          <w:i/>
          <w:color w:val="234060"/>
          <w:sz w:val="22"/>
        </w:rPr>
        <w:t>delle</w:t>
      </w:r>
      <w:r>
        <w:rPr>
          <w:i/>
          <w:color w:val="234060"/>
          <w:spacing w:val="-6"/>
          <w:sz w:val="22"/>
        </w:rPr>
        <w:t> </w:t>
      </w:r>
      <w:r>
        <w:rPr>
          <w:i/>
          <w:color w:val="234060"/>
          <w:sz w:val="22"/>
        </w:rPr>
        <w:t>attività</w:t>
      </w:r>
      <w:r>
        <w:rPr>
          <w:i/>
          <w:color w:val="234060"/>
          <w:spacing w:val="-9"/>
          <w:sz w:val="22"/>
        </w:rPr>
        <w:t> </w:t>
      </w:r>
      <w:r>
        <w:rPr>
          <w:i/>
          <w:color w:val="234060"/>
          <w:sz w:val="22"/>
        </w:rPr>
        <w:t>agrituristiche</w:t>
      </w:r>
      <w:r>
        <w:rPr>
          <w:i/>
          <w:color w:val="234060"/>
          <w:spacing w:val="-9"/>
          <w:sz w:val="22"/>
        </w:rPr>
        <w:t> </w:t>
      </w:r>
      <w:r>
        <w:rPr>
          <w:i/>
          <w:color w:val="234060"/>
          <w:sz w:val="22"/>
        </w:rPr>
        <w:t>rispetto</w:t>
      </w:r>
      <w:r>
        <w:rPr>
          <w:i/>
          <w:color w:val="234060"/>
          <w:spacing w:val="-6"/>
          <w:sz w:val="22"/>
        </w:rPr>
        <w:t> </w:t>
      </w:r>
      <w:r>
        <w:rPr>
          <w:i/>
          <w:color w:val="234060"/>
          <w:sz w:val="22"/>
        </w:rPr>
        <w:t>alle</w:t>
      </w:r>
      <w:r>
        <w:rPr>
          <w:i/>
          <w:color w:val="234060"/>
          <w:spacing w:val="-9"/>
          <w:sz w:val="22"/>
        </w:rPr>
        <w:t> </w:t>
      </w:r>
      <w:r>
        <w:rPr>
          <w:i/>
          <w:color w:val="234060"/>
          <w:sz w:val="22"/>
        </w:rPr>
        <w:t>attività</w:t>
      </w:r>
      <w:r>
        <w:rPr>
          <w:i/>
          <w:color w:val="234060"/>
          <w:spacing w:val="-9"/>
          <w:sz w:val="22"/>
        </w:rPr>
        <w:t> </w:t>
      </w:r>
      <w:r>
        <w:rPr>
          <w:i/>
          <w:color w:val="234060"/>
          <w:sz w:val="22"/>
        </w:rPr>
        <w:t>agricole</w:t>
      </w:r>
      <w:r>
        <w:rPr>
          <w:i/>
          <w:color w:val="234060"/>
          <w:spacing w:val="-5"/>
          <w:sz w:val="22"/>
        </w:rPr>
        <w:t> </w:t>
      </w:r>
      <w:r>
        <w:rPr>
          <w:i/>
          <w:color w:val="234060"/>
          <w:sz w:val="22"/>
        </w:rPr>
        <w:t>che</w:t>
      </w:r>
      <w:r>
        <w:rPr>
          <w:i/>
          <w:color w:val="234060"/>
          <w:spacing w:val="-6"/>
          <w:sz w:val="22"/>
        </w:rPr>
        <w:t> </w:t>
      </w:r>
      <w:r>
        <w:rPr>
          <w:i/>
          <w:color w:val="234060"/>
          <w:sz w:val="22"/>
        </w:rPr>
        <w:t>devono</w:t>
      </w:r>
      <w:r>
        <w:rPr>
          <w:i/>
          <w:color w:val="234060"/>
          <w:spacing w:val="-9"/>
          <w:sz w:val="22"/>
        </w:rPr>
        <w:t> </w:t>
      </w:r>
      <w:r>
        <w:rPr>
          <w:i/>
          <w:color w:val="234060"/>
          <w:sz w:val="22"/>
        </w:rPr>
        <w:t>rimanere</w:t>
      </w:r>
      <w:r>
        <w:rPr>
          <w:i/>
          <w:color w:val="234060"/>
          <w:spacing w:val="-5"/>
          <w:sz w:val="22"/>
        </w:rPr>
        <w:t> </w:t>
      </w:r>
      <w:r>
        <w:rPr>
          <w:i/>
          <w:color w:val="234060"/>
          <w:sz w:val="22"/>
        </w:rPr>
        <w:t>prevalenti</w:t>
      </w:r>
      <w:r>
        <w:rPr>
          <w:color w:val="234060"/>
          <w:sz w:val="22"/>
        </w:rPr>
        <w:t>” (art. 4). La valutazione del rapporto di connessione non può prescindere dunque dai criteri definiti dalla legislazione regionale che, sul punto, integra quella nazionale, sulla base della delega contenuta nella citata L. </w:t>
      </w:r>
      <w:r>
        <w:rPr>
          <w:color w:val="234060"/>
          <w:spacing w:val="-4"/>
          <w:sz w:val="22"/>
        </w:rPr>
        <w:t>n. </w:t>
      </w:r>
      <w:r>
        <w:rPr>
          <w:color w:val="234060"/>
          <w:sz w:val="22"/>
        </w:rPr>
        <w:t>96/2006, nonché della circostanza che l’autorizzazione allo svolgimento dell’attività è rilasciata dalle</w:t>
      </w:r>
      <w:r>
        <w:rPr>
          <w:color w:val="234060"/>
          <w:spacing w:val="-21"/>
          <w:sz w:val="22"/>
        </w:rPr>
        <w:t> </w:t>
      </w:r>
      <w:r>
        <w:rPr>
          <w:color w:val="234060"/>
          <w:sz w:val="22"/>
        </w:rPr>
        <w:t>Regioni.</w:t>
      </w:r>
    </w:p>
    <w:p>
      <w:pPr>
        <w:spacing w:line="267" w:lineRule="exact" w:before="0"/>
        <w:ind w:left="1376" w:right="0" w:firstLine="0"/>
        <w:jc w:val="both"/>
        <w:rPr>
          <w:i/>
          <w:sz w:val="22"/>
        </w:rPr>
      </w:pPr>
      <w:r>
        <w:rPr>
          <w:color w:val="234060"/>
          <w:sz w:val="22"/>
        </w:rPr>
        <w:t>Proprio in relazione ai “</w:t>
      </w:r>
      <w:r>
        <w:rPr>
          <w:i/>
          <w:color w:val="234060"/>
          <w:sz w:val="22"/>
        </w:rPr>
        <w:t>criteri per la valutazione del rapporto di connessione delle attività agrituristiche</w:t>
      </w:r>
    </w:p>
    <w:p>
      <w:pPr>
        <w:spacing w:after="0" w:line="267" w:lineRule="exact"/>
        <w:jc w:val="both"/>
        <w:rPr>
          <w:sz w:val="22"/>
        </w:rPr>
        <w:sectPr>
          <w:footerReference w:type="default" r:id="rId5"/>
          <w:type w:val="continuous"/>
          <w:pgSz w:w="11920" w:h="16850"/>
          <w:pgMar w:footer="965" w:top="220" w:bottom="1160" w:left="40" w:right="800"/>
          <w:pgNumType w:start="1"/>
        </w:sectPr>
      </w:pPr>
    </w:p>
    <w:p>
      <w:pPr>
        <w:spacing w:line="276" w:lineRule="auto" w:before="28"/>
        <w:ind w:left="951" w:right="102" w:firstLine="0"/>
        <w:jc w:val="both"/>
        <w:rPr>
          <w:i/>
          <w:sz w:val="22"/>
        </w:rPr>
      </w:pPr>
      <w:r>
        <w:rPr>
          <w:i/>
          <w:color w:val="234060"/>
          <w:sz w:val="22"/>
        </w:rPr>
        <w:t>rispetto alle attività agricole</w:t>
      </w:r>
      <w:r>
        <w:rPr>
          <w:color w:val="234060"/>
          <w:sz w:val="22"/>
        </w:rPr>
        <w:t>”, inoltre, occorre tenere conto di quanto stabilito dall’art. 68 del D.L. n. 73/2021 (conv. da L. n. 106/2021). Il comma 10 della citata disposizione, infatti, da un lato, ha stabilito che “</w:t>
      </w:r>
      <w:r>
        <w:rPr>
          <w:i/>
          <w:color w:val="234060"/>
          <w:sz w:val="22"/>
        </w:rPr>
        <w:t>al fine di </w:t>
      </w:r>
      <w:r>
        <w:rPr>
          <w:i/>
          <w:color w:val="234060"/>
          <w:sz w:val="22"/>
        </w:rPr>
        <w:t>sostenere l'incremento occupazionale nel settore agricolo e ridurre gli effetti negativi causati dall'emergenza epidemiologica da COVID-19, fatti salvi i criteri di cui all'articolo 2135 del codice civile </w:t>
      </w:r>
      <w:r>
        <w:rPr>
          <w:b/>
          <w:i/>
          <w:color w:val="234060"/>
          <w:sz w:val="22"/>
        </w:rPr>
        <w:t>per il rispetto della </w:t>
      </w:r>
      <w:r>
        <w:rPr>
          <w:b/>
          <w:i/>
          <w:color w:val="234060"/>
          <w:sz w:val="22"/>
        </w:rPr>
        <w:t>prevalenza</w:t>
      </w:r>
      <w:r>
        <w:rPr>
          <w:b/>
          <w:i/>
          <w:color w:val="234060"/>
          <w:spacing w:val="-10"/>
          <w:sz w:val="22"/>
        </w:rPr>
        <w:t> </w:t>
      </w:r>
      <w:r>
        <w:rPr>
          <w:b/>
          <w:i/>
          <w:color w:val="234060"/>
          <w:sz w:val="22"/>
        </w:rPr>
        <w:t>dell'attività</w:t>
      </w:r>
      <w:r>
        <w:rPr>
          <w:b/>
          <w:i/>
          <w:color w:val="234060"/>
          <w:spacing w:val="-8"/>
          <w:sz w:val="22"/>
        </w:rPr>
        <w:t> </w:t>
      </w:r>
      <w:r>
        <w:rPr>
          <w:b/>
          <w:i/>
          <w:color w:val="234060"/>
          <w:sz w:val="22"/>
        </w:rPr>
        <w:t>agricola</w:t>
      </w:r>
      <w:r>
        <w:rPr>
          <w:b/>
          <w:i/>
          <w:color w:val="234060"/>
          <w:spacing w:val="-7"/>
          <w:sz w:val="22"/>
        </w:rPr>
        <w:t> </w:t>
      </w:r>
      <w:r>
        <w:rPr>
          <w:b/>
          <w:i/>
          <w:color w:val="234060"/>
          <w:sz w:val="22"/>
        </w:rPr>
        <w:t>principale</w:t>
      </w:r>
      <w:r>
        <w:rPr>
          <w:i/>
          <w:color w:val="234060"/>
          <w:sz w:val="22"/>
        </w:rPr>
        <w:t>,</w:t>
      </w:r>
      <w:r>
        <w:rPr>
          <w:i/>
          <w:color w:val="234060"/>
          <w:spacing w:val="-9"/>
          <w:sz w:val="22"/>
        </w:rPr>
        <w:t> </w:t>
      </w:r>
      <w:r>
        <w:rPr>
          <w:i/>
          <w:color w:val="234060"/>
          <w:sz w:val="22"/>
        </w:rPr>
        <w:t>gli</w:t>
      </w:r>
      <w:r>
        <w:rPr>
          <w:i/>
          <w:color w:val="234060"/>
          <w:spacing w:val="-8"/>
          <w:sz w:val="22"/>
        </w:rPr>
        <w:t> </w:t>
      </w:r>
      <w:r>
        <w:rPr>
          <w:i/>
          <w:color w:val="234060"/>
          <w:sz w:val="22"/>
        </w:rPr>
        <w:t>addetti</w:t>
      </w:r>
      <w:r>
        <w:rPr>
          <w:i/>
          <w:color w:val="234060"/>
          <w:spacing w:val="-12"/>
          <w:sz w:val="22"/>
        </w:rPr>
        <w:t> </w:t>
      </w:r>
      <w:r>
        <w:rPr>
          <w:i/>
          <w:color w:val="234060"/>
          <w:sz w:val="22"/>
        </w:rPr>
        <w:t>di</w:t>
      </w:r>
      <w:r>
        <w:rPr>
          <w:i/>
          <w:color w:val="234060"/>
          <w:spacing w:val="-8"/>
          <w:sz w:val="22"/>
        </w:rPr>
        <w:t> </w:t>
      </w:r>
      <w:r>
        <w:rPr>
          <w:i/>
          <w:color w:val="234060"/>
          <w:sz w:val="22"/>
        </w:rPr>
        <w:t>cui</w:t>
      </w:r>
      <w:r>
        <w:rPr>
          <w:i/>
          <w:color w:val="234060"/>
          <w:spacing w:val="-9"/>
          <w:sz w:val="22"/>
        </w:rPr>
        <w:t> </w:t>
      </w:r>
      <w:r>
        <w:rPr>
          <w:i/>
          <w:color w:val="234060"/>
          <w:sz w:val="22"/>
        </w:rPr>
        <w:t>all'articolo</w:t>
      </w:r>
      <w:r>
        <w:rPr>
          <w:i/>
          <w:color w:val="234060"/>
          <w:spacing w:val="-9"/>
          <w:sz w:val="22"/>
        </w:rPr>
        <w:t> </w:t>
      </w:r>
      <w:r>
        <w:rPr>
          <w:i/>
          <w:color w:val="234060"/>
          <w:sz w:val="22"/>
        </w:rPr>
        <w:t>2,</w:t>
      </w:r>
      <w:r>
        <w:rPr>
          <w:i/>
          <w:color w:val="234060"/>
          <w:spacing w:val="-9"/>
          <w:sz w:val="22"/>
        </w:rPr>
        <w:t> </w:t>
      </w:r>
      <w:r>
        <w:rPr>
          <w:i/>
          <w:color w:val="234060"/>
          <w:sz w:val="22"/>
        </w:rPr>
        <w:t>comma</w:t>
      </w:r>
      <w:r>
        <w:rPr>
          <w:i/>
          <w:color w:val="234060"/>
          <w:spacing w:val="-10"/>
          <w:sz w:val="22"/>
        </w:rPr>
        <w:t> </w:t>
      </w:r>
      <w:r>
        <w:rPr>
          <w:i/>
          <w:color w:val="234060"/>
          <w:sz w:val="22"/>
        </w:rPr>
        <w:t>2</w:t>
      </w:r>
      <w:r>
        <w:rPr>
          <w:i/>
          <w:color w:val="234060"/>
          <w:spacing w:val="-7"/>
          <w:sz w:val="22"/>
        </w:rPr>
        <w:t> </w:t>
      </w:r>
      <w:r>
        <w:rPr>
          <w:i/>
          <w:color w:val="234060"/>
          <w:sz w:val="22"/>
        </w:rPr>
        <w:t>della</w:t>
      </w:r>
      <w:r>
        <w:rPr>
          <w:i/>
          <w:color w:val="234060"/>
          <w:spacing w:val="-10"/>
          <w:sz w:val="22"/>
        </w:rPr>
        <w:t> </w:t>
      </w:r>
      <w:r>
        <w:rPr>
          <w:i/>
          <w:color w:val="234060"/>
          <w:sz w:val="22"/>
        </w:rPr>
        <w:t>legge</w:t>
      </w:r>
      <w:r>
        <w:rPr>
          <w:i/>
          <w:color w:val="234060"/>
          <w:spacing w:val="-8"/>
          <w:sz w:val="22"/>
        </w:rPr>
        <w:t> </w:t>
      </w:r>
      <w:r>
        <w:rPr>
          <w:i/>
          <w:color w:val="234060"/>
          <w:sz w:val="22"/>
        </w:rPr>
        <w:t>20</w:t>
      </w:r>
      <w:r>
        <w:rPr>
          <w:i/>
          <w:color w:val="234060"/>
          <w:spacing w:val="-8"/>
          <w:sz w:val="22"/>
        </w:rPr>
        <w:t> </w:t>
      </w:r>
      <w:r>
        <w:rPr>
          <w:i/>
          <w:color w:val="234060"/>
          <w:sz w:val="22"/>
        </w:rPr>
        <w:t>febbraio</w:t>
      </w:r>
      <w:r>
        <w:rPr>
          <w:i/>
          <w:color w:val="234060"/>
          <w:spacing w:val="-9"/>
          <w:sz w:val="22"/>
        </w:rPr>
        <w:t> </w:t>
      </w:r>
      <w:r>
        <w:rPr>
          <w:i/>
          <w:color w:val="234060"/>
          <w:sz w:val="22"/>
        </w:rPr>
        <w:t>2006,</w:t>
      </w:r>
    </w:p>
    <w:p>
      <w:pPr>
        <w:spacing w:line="276" w:lineRule="auto" w:before="0"/>
        <w:ind w:left="951" w:right="103" w:firstLine="0"/>
        <w:jc w:val="both"/>
        <w:rPr>
          <w:sz w:val="22"/>
        </w:rPr>
      </w:pPr>
      <w:r>
        <w:rPr>
          <w:i/>
          <w:color w:val="234060"/>
          <w:sz w:val="22"/>
        </w:rPr>
        <w:t>n. 96</w:t>
      </w:r>
      <w:r>
        <w:rPr>
          <w:color w:val="234060"/>
          <w:sz w:val="22"/>
        </w:rPr>
        <w:t>” – e cioè “</w:t>
      </w:r>
      <w:r>
        <w:rPr>
          <w:b/>
          <w:i/>
          <w:color w:val="234060"/>
          <w:sz w:val="22"/>
        </w:rPr>
        <w:t>l'imprenditore agricolo e i suoi familiari </w:t>
      </w:r>
      <w:r>
        <w:rPr>
          <w:i/>
          <w:color w:val="234060"/>
          <w:sz w:val="22"/>
        </w:rPr>
        <w:t>ai sensi dell'articolo 230-bis del codice civile, </w:t>
      </w:r>
      <w:r>
        <w:rPr>
          <w:b/>
          <w:i/>
          <w:color w:val="234060"/>
          <w:sz w:val="22"/>
        </w:rPr>
        <w:t>nonché i </w:t>
      </w:r>
      <w:r>
        <w:rPr>
          <w:b/>
          <w:i/>
          <w:color w:val="234060"/>
          <w:sz w:val="22"/>
        </w:rPr>
        <w:t>lavoratori dipendenti a tempo determinato, indeterminato e parziale</w:t>
      </w:r>
      <w:r>
        <w:rPr>
          <w:color w:val="234060"/>
          <w:sz w:val="22"/>
        </w:rPr>
        <w:t>” – “</w:t>
      </w:r>
      <w:r>
        <w:rPr>
          <w:b/>
          <w:i/>
          <w:color w:val="234060"/>
          <w:sz w:val="22"/>
        </w:rPr>
        <w:t>sono considerati lavoratori agricoli </w:t>
      </w:r>
      <w:r>
        <w:rPr>
          <w:b/>
          <w:i/>
          <w:color w:val="234060"/>
          <w:sz w:val="22"/>
        </w:rPr>
        <w:t>anche ai fini della valutazione del rapporto di connessione tra attività agricola ed attività agrituristica</w:t>
      </w:r>
      <w:r>
        <w:rPr>
          <w:color w:val="234060"/>
          <w:sz w:val="22"/>
        </w:rPr>
        <w:t>”; dall’altro, al comma 11, il D.L. n. 73/2021 ha modificato la stessa L. n. 96/2006 sopprimendo, fra i criteri da utilizzare da parte delle Regioni e Province autonome ai fini della valutazione della prevalenza delle attività agricole rispetto alle attività agrituristiche, quello del “</w:t>
      </w:r>
      <w:r>
        <w:rPr>
          <w:i/>
          <w:color w:val="234060"/>
          <w:sz w:val="22"/>
        </w:rPr>
        <w:t>tempo di lavoro necessario all'esercizio delle stesse </w:t>
      </w:r>
      <w:r>
        <w:rPr>
          <w:i/>
          <w:color w:val="234060"/>
          <w:sz w:val="22"/>
        </w:rPr>
        <w:t>attività</w:t>
      </w:r>
      <w:r>
        <w:rPr>
          <w:color w:val="234060"/>
          <w:sz w:val="22"/>
        </w:rPr>
        <w:t>”. In altre parole, alla luce di tale novità legislativa, </w:t>
      </w:r>
      <w:r>
        <w:rPr>
          <w:b/>
          <w:color w:val="234060"/>
          <w:sz w:val="22"/>
        </w:rPr>
        <w:t>non è più rilevante, ai fini della determinazione della connessione, la valutazione della maggiore consistenza delle risorse umane impegnate nell’agriturismo rispetto a quelle impegnate nell’attività agricola principale </w:t>
      </w:r>
      <w:r>
        <w:rPr>
          <w:color w:val="234060"/>
          <w:sz w:val="22"/>
        </w:rPr>
        <w:t>ed è rimessa alle Regioni la disciplina della connessione ai fini della valutazione della sussistenza della prevalenza dell’attività agricola principale.</w:t>
      </w:r>
    </w:p>
    <w:p>
      <w:pPr>
        <w:pStyle w:val="BodyText"/>
        <w:spacing w:line="276" w:lineRule="auto"/>
        <w:ind w:left="951" w:right="100" w:firstLine="852"/>
        <w:jc w:val="both"/>
      </w:pPr>
      <w:r>
        <w:rPr>
          <w:color w:val="234060"/>
        </w:rPr>
        <w:t>Ciò premesso, nell’ambito dei relativi accertamenti, il personale ispettivo terrà conto di quanto sopra, nonché dei criteri stabiliti dalla legislazione regionale, verificando la rispondenza dell’organismo economico ai requisiti stabiliti dalle norme regionali e dalla disciplina amministrativa dettata dagli enti locali. Solo nelle ipotesi di</w:t>
      </w:r>
      <w:r>
        <w:rPr>
          <w:color w:val="234060"/>
          <w:spacing w:val="-5"/>
        </w:rPr>
        <w:t> </w:t>
      </w:r>
      <w:r>
        <w:rPr>
          <w:color w:val="234060"/>
        </w:rPr>
        <w:t>significativo</w:t>
      </w:r>
      <w:r>
        <w:rPr>
          <w:color w:val="234060"/>
          <w:spacing w:val="-3"/>
        </w:rPr>
        <w:t> </w:t>
      </w:r>
      <w:r>
        <w:rPr>
          <w:color w:val="234060"/>
        </w:rPr>
        <w:t>scostamento</w:t>
      </w:r>
      <w:r>
        <w:rPr>
          <w:color w:val="234060"/>
          <w:spacing w:val="-3"/>
        </w:rPr>
        <w:t> </w:t>
      </w:r>
      <w:r>
        <w:rPr>
          <w:color w:val="234060"/>
        </w:rPr>
        <w:t>dai</w:t>
      </w:r>
      <w:r>
        <w:rPr>
          <w:color w:val="234060"/>
          <w:spacing w:val="-5"/>
        </w:rPr>
        <w:t> </w:t>
      </w:r>
      <w:r>
        <w:rPr>
          <w:color w:val="234060"/>
        </w:rPr>
        <w:t>requisiti</w:t>
      </w:r>
      <w:r>
        <w:rPr>
          <w:color w:val="234060"/>
          <w:spacing w:val="-4"/>
        </w:rPr>
        <w:t> </w:t>
      </w:r>
      <w:r>
        <w:rPr>
          <w:color w:val="234060"/>
        </w:rPr>
        <w:t>normativi,</w:t>
      </w:r>
      <w:r>
        <w:rPr>
          <w:color w:val="234060"/>
          <w:spacing w:val="-4"/>
        </w:rPr>
        <w:t> </w:t>
      </w:r>
      <w:r>
        <w:rPr>
          <w:color w:val="234060"/>
        </w:rPr>
        <w:t>il</w:t>
      </w:r>
      <w:r>
        <w:rPr>
          <w:color w:val="234060"/>
          <w:spacing w:val="-7"/>
        </w:rPr>
        <w:t> </w:t>
      </w:r>
      <w:r>
        <w:rPr>
          <w:color w:val="234060"/>
        </w:rPr>
        <w:t>personale</w:t>
      </w:r>
      <w:r>
        <w:rPr>
          <w:color w:val="234060"/>
          <w:spacing w:val="-4"/>
        </w:rPr>
        <w:t> </w:t>
      </w:r>
      <w:r>
        <w:rPr>
          <w:color w:val="234060"/>
        </w:rPr>
        <w:t>ispettivo,</w:t>
      </w:r>
      <w:r>
        <w:rPr>
          <w:color w:val="234060"/>
          <w:spacing w:val="-4"/>
        </w:rPr>
        <w:t> </w:t>
      </w:r>
      <w:r>
        <w:rPr>
          <w:color w:val="234060"/>
        </w:rPr>
        <w:t>prima</w:t>
      </w:r>
      <w:r>
        <w:rPr>
          <w:color w:val="234060"/>
          <w:spacing w:val="-7"/>
        </w:rPr>
        <w:t> </w:t>
      </w:r>
      <w:r>
        <w:rPr>
          <w:color w:val="234060"/>
        </w:rPr>
        <w:t>di</w:t>
      </w:r>
      <w:r>
        <w:rPr>
          <w:color w:val="234060"/>
          <w:spacing w:val="-4"/>
        </w:rPr>
        <w:t> </w:t>
      </w:r>
      <w:r>
        <w:rPr>
          <w:color w:val="234060"/>
        </w:rPr>
        <w:t>adottare</w:t>
      </w:r>
      <w:r>
        <w:rPr>
          <w:color w:val="234060"/>
          <w:spacing w:val="-4"/>
        </w:rPr>
        <w:t> </w:t>
      </w:r>
      <w:r>
        <w:rPr>
          <w:color w:val="234060"/>
        </w:rPr>
        <w:t>ogni</w:t>
      </w:r>
      <w:r>
        <w:rPr>
          <w:color w:val="234060"/>
          <w:spacing w:val="-4"/>
        </w:rPr>
        <w:t> </w:t>
      </w:r>
      <w:r>
        <w:rPr>
          <w:color w:val="234060"/>
        </w:rPr>
        <w:t>provvedimento, interesserà gli Uffici regionali competenti al rilascio dell’abilitazione al fine di acquisire ogni utile elemento istruttorio volto a comprovare il corretto inquadramento previdenziale delle imprese</w:t>
      </w:r>
      <w:r>
        <w:rPr>
          <w:color w:val="234060"/>
          <w:spacing w:val="-5"/>
        </w:rPr>
        <w:t> </w:t>
      </w:r>
      <w:r>
        <w:rPr>
          <w:color w:val="234060"/>
        </w:rPr>
        <w:t>coinvolte.</w:t>
      </w:r>
    </w:p>
    <w:p>
      <w:pPr>
        <w:pStyle w:val="BodyText"/>
      </w:pPr>
    </w:p>
    <w:p>
      <w:pPr>
        <w:pStyle w:val="BodyText"/>
      </w:pPr>
    </w:p>
    <w:p>
      <w:pPr>
        <w:pStyle w:val="BodyText"/>
        <w:spacing w:before="4"/>
        <w:rPr>
          <w:sz w:val="17"/>
        </w:rPr>
      </w:pPr>
    </w:p>
    <w:p>
      <w:pPr>
        <w:pStyle w:val="BodyText"/>
        <w:spacing w:before="1"/>
        <w:ind w:left="7904" w:right="962"/>
        <w:jc w:val="center"/>
      </w:pPr>
      <w:r>
        <w:rPr>
          <w:color w:val="16365D"/>
        </w:rPr>
        <w:t>IL DIRETTORE CENTRALE</w:t>
      </w:r>
    </w:p>
    <w:p>
      <w:pPr>
        <w:pStyle w:val="BodyText"/>
        <w:ind w:left="7904" w:right="960"/>
        <w:jc w:val="center"/>
      </w:pPr>
      <w:r>
        <w:rPr>
          <w:color w:val="16365D"/>
        </w:rPr>
        <w:t>Aniello Pisanti</w:t>
      </w:r>
    </w:p>
    <w:p>
      <w:pPr>
        <w:pStyle w:val="BodyText"/>
        <w:ind w:left="8251"/>
        <w:rPr>
          <w:sz w:val="20"/>
        </w:rPr>
      </w:pPr>
      <w:r>
        <w:rPr>
          <w:sz w:val="20"/>
        </w:rPr>
        <w:pict>
          <v:group style="width:65.55pt;height:62.95pt;mso-position-horizontal-relative:char;mso-position-vertical-relative:line" coordorigin="0,0" coordsize="1311,1259">
            <v:shape style="position:absolute;left:30;top:30;width:1199;height:1199" coordorigin="30,30" coordsize="1199,1199" path="m614,1228l540,1222,468,1206,400,1182,335,1150,274,1111,218,1065,168,1012,125,954,89,890,61,822,41,750,31,676,30,603,38,530,54,459,79,390,112,325,153,263,202,207,257,157,319,115,385,81,454,55,526,38,599,30,673,31,746,40,818,59,888,87,952,123,1011,167,1064,217,1111,273,1150,334,1182,399,1206,468,1222,539,1228,613e" filled="false" stroked="true" strokeweight="3.0pt" strokecolor="#9cb4f1">
              <v:path arrowok="t"/>
              <v:stroke dashstyle="solid"/>
            </v:shape>
            <v:shape style="position:absolute;left:644;top:643;width:585;height:585" coordorigin="644,644" coordsize="585,585" path="m1229,644l1222,715,1208,784,1185,851,1155,913,1118,972,1075,1026,1027,1075,973,1118,914,1155,851,1185,785,1207,716,1222,644,1228e" filled="false" stroked="true" strokeweight="3pt" strokecolor="#9cb4f1">
              <v:path arrowok="t"/>
              <v:stroke dashstyle="solid"/>
            </v:shape>
            <v:shape style="position:absolute;left:230;top:228;width:799;height:800" coordorigin="230,229" coordsize="799,800" path="m619,1028l544,1019,475,997,412,963,356,919,308,865,271,804,245,737,231,666,230,591,244,518,271,450,309,389,358,337,414,293,477,260,546,238,618,229,692,234,770,254,840,290,902,338,953,396,993,464,1018,539,1029,618e" filled="false" stroked="true" strokeweight="3.0pt" strokecolor="#9cb4f1">
              <v:path arrowok="t"/>
              <v:stroke dashstyle="solid"/>
            </v:shape>
            <v:shape style="position:absolute;left:639;top:638;width:390;height:390" coordorigin="639,639" coordsize="390,390" path="m1029,639l1019,715,995,787,959,853,911,910,853,958,788,995,716,1019,639,1028e" filled="false" stroked="true" strokeweight="3pt" strokecolor="#9cb4f1">
              <v:path arrowok="t"/>
              <v:stroke dashstyle="solid"/>
            </v:shape>
            <v:shape style="position:absolute;left:329;top:330;width:599;height:599" coordorigin="330,330" coordsize="599,599" path="m621,928l553,919,489,894,433,856,387,806,352,746,333,677,330,607,343,538,372,473,416,417,471,373,534,344,601,330,670,332,738,349,800,383,852,429,892,486,918,551,929,621e" filled="false" stroked="true" strokeweight="3pt" strokecolor="#9cb4f1">
              <v:path arrowok="t"/>
              <v:stroke dashstyle="solid"/>
            </v:shape>
            <v:shape style="position:absolute;left:429;top:430;width:529;height:528" type="#_x0000_t75" stroked="false">
              <v:imagedata r:id="rId7" o:title=""/>
            </v:shape>
            <v:shape style="position:absolute;left:129;top:129;width:1000;height:999" coordorigin="129,129" coordsize="1000,999" path="m616,1128l540,1120,466,1101,397,1071,333,1031,276,982,226,924,186,860,155,790,136,714,129,638,134,561,150,487,177,416,215,349,262,289,319,236,386,191,458,159,534,138,613,129,692,133,770,149,845,177,913,217,973,267,1025,325,1068,390,1100,461,1120,537,1129,615e" filled="false" stroked="true" strokeweight="3pt" strokecolor="#9cb4f1">
              <v:path arrowok="t"/>
              <v:stroke dashstyle="solid"/>
            </v:shape>
            <v:shape style="position:absolute;left:641;top:641;width:487;height:488" coordorigin="642,641" coordsize="487,488" path="m1129,641l1120,718,1101,792,1070,861,1030,924,981,981,925,1030,861,1070,793,1100,719,1120,642,1128e" filled="false" stroked="true" strokeweight="3pt" strokecolor="#9cb4f1">
              <v:path arrowok="t"/>
              <v:stroke dashstyle="solid"/>
            </v:shape>
            <v:shape style="position:absolute;left:0;top:0;width:1311;height:1259" type="#_x0000_t202" filled="false" stroked="false">
              <v:textbox inset="0,0,0,0">
                <w:txbxContent>
                  <w:p>
                    <w:pPr>
                      <w:spacing w:before="48"/>
                      <w:ind w:left="8" w:right="0" w:firstLine="0"/>
                      <w:jc w:val="left"/>
                      <w:rPr>
                        <w:rFonts w:ascii="Arial"/>
                        <w:sz w:val="15"/>
                      </w:rPr>
                    </w:pPr>
                    <w:r>
                      <w:rPr>
                        <w:rFonts w:ascii="Arial"/>
                        <w:sz w:val="15"/>
                      </w:rPr>
                      <w:t>PISANTI</w:t>
                    </w:r>
                    <w:r>
                      <w:rPr>
                        <w:rFonts w:ascii="Arial"/>
                        <w:spacing w:val="-18"/>
                        <w:sz w:val="15"/>
                      </w:rPr>
                      <w:t> </w:t>
                    </w:r>
                    <w:r>
                      <w:rPr>
                        <w:rFonts w:ascii="Arial"/>
                        <w:sz w:val="15"/>
                      </w:rPr>
                      <w:t>ANIELLO</w:t>
                    </w:r>
                  </w:p>
                  <w:p>
                    <w:pPr>
                      <w:spacing w:before="3"/>
                      <w:ind w:left="370" w:right="0" w:firstLine="0"/>
                      <w:jc w:val="left"/>
                      <w:rPr>
                        <w:rFonts w:ascii="Arial"/>
                        <w:sz w:val="9"/>
                      </w:rPr>
                    </w:pPr>
                    <w:r>
                      <w:rPr>
                        <w:rFonts w:ascii="Arial"/>
                        <w:w w:val="110"/>
                        <w:sz w:val="9"/>
                      </w:rPr>
                      <w:t>2024.07.16</w:t>
                    </w:r>
                    <w:r>
                      <w:rPr>
                        <w:rFonts w:ascii="Arial"/>
                        <w:spacing w:val="-12"/>
                        <w:w w:val="110"/>
                        <w:sz w:val="9"/>
                      </w:rPr>
                      <w:t> </w:t>
                    </w:r>
                    <w:r>
                      <w:rPr>
                        <w:rFonts w:ascii="Arial"/>
                        <w:w w:val="110"/>
                        <w:sz w:val="9"/>
                      </w:rPr>
                      <w:t>11:43:45</w:t>
                    </w:r>
                  </w:p>
                  <w:p>
                    <w:pPr>
                      <w:spacing w:line="240" w:lineRule="auto" w:before="0"/>
                      <w:rPr>
                        <w:rFonts w:ascii="Arial"/>
                        <w:sz w:val="10"/>
                      </w:rPr>
                    </w:pPr>
                  </w:p>
                  <w:p>
                    <w:pPr>
                      <w:spacing w:line="240" w:lineRule="auto" w:before="7"/>
                      <w:rPr>
                        <w:rFonts w:ascii="Arial"/>
                        <w:sz w:val="10"/>
                      </w:rPr>
                    </w:pPr>
                  </w:p>
                  <w:p>
                    <w:pPr>
                      <w:spacing w:line="249" w:lineRule="auto" w:before="0"/>
                      <w:ind w:left="48" w:right="617" w:firstLine="0"/>
                      <w:jc w:val="left"/>
                      <w:rPr>
                        <w:rFonts w:ascii="Arial"/>
                        <w:sz w:val="6"/>
                      </w:rPr>
                    </w:pPr>
                    <w:r>
                      <w:rPr>
                        <w:rFonts w:ascii="Arial"/>
                        <w:sz w:val="6"/>
                      </w:rPr>
                      <w:t>CN=PISANTI ANIELLO C=IT</w:t>
                    </w:r>
                  </w:p>
                  <w:p>
                    <w:pPr>
                      <w:spacing w:line="249" w:lineRule="auto" w:before="0"/>
                      <w:ind w:left="48" w:right="0" w:firstLine="0"/>
                      <w:jc w:val="left"/>
                      <w:rPr>
                        <w:rFonts w:ascii="Arial"/>
                        <w:sz w:val="6"/>
                      </w:rPr>
                    </w:pPr>
                    <w:r>
                      <w:rPr>
                        <w:rFonts w:ascii="Arial"/>
                        <w:sz w:val="6"/>
                      </w:rPr>
                      <w:t>O=ISPETTORATO NAZIONALE DEL LAVORO 2.5.4.97=VATIT-97900660586</w:t>
                    </w:r>
                  </w:p>
                  <w:p>
                    <w:pPr>
                      <w:spacing w:line="240" w:lineRule="auto" w:before="0"/>
                      <w:rPr>
                        <w:rFonts w:ascii="Arial"/>
                        <w:sz w:val="6"/>
                      </w:rPr>
                    </w:pPr>
                  </w:p>
                  <w:p>
                    <w:pPr>
                      <w:spacing w:line="240" w:lineRule="auto" w:before="0"/>
                      <w:rPr>
                        <w:rFonts w:ascii="Arial"/>
                        <w:sz w:val="6"/>
                      </w:rPr>
                    </w:pPr>
                  </w:p>
                  <w:p>
                    <w:pPr>
                      <w:spacing w:line="240" w:lineRule="auto" w:before="5"/>
                      <w:rPr>
                        <w:rFonts w:ascii="Arial"/>
                        <w:sz w:val="5"/>
                      </w:rPr>
                    </w:pPr>
                  </w:p>
                  <w:p>
                    <w:pPr>
                      <w:spacing w:before="0"/>
                      <w:ind w:left="48" w:right="0" w:firstLine="0"/>
                      <w:jc w:val="left"/>
                      <w:rPr>
                        <w:rFonts w:ascii="Arial"/>
                        <w:sz w:val="6"/>
                      </w:rPr>
                    </w:pPr>
                    <w:r>
                      <w:rPr>
                        <w:rFonts w:ascii="Arial"/>
                        <w:sz w:val="6"/>
                      </w:rPr>
                      <w:t>RSA/2048 bits</w:t>
                    </w:r>
                  </w:p>
                </w:txbxContent>
              </v:textbox>
              <w10:wrap type="none"/>
            </v:shape>
          </v:group>
        </w:pict>
      </w:r>
      <w:r>
        <w:rPr>
          <w:sz w:val="20"/>
        </w:rPr>
      </w:r>
    </w:p>
    <w:sectPr>
      <w:pgSz w:w="11920" w:h="16850"/>
      <w:pgMar w:header="0" w:footer="965" w:top="1360" w:bottom="1160" w:left="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806720" from="45.474998pt,779.699951pt" to="550.019998pt,779.699951pt" stroked="true" strokeweight="1.75pt" strokecolor="#00adee">
          <v:stroke dashstyle="solid"/>
          <w10:wrap type="none"/>
        </v:line>
      </w:pict>
    </w:r>
    <w:r>
      <w:rPr/>
      <w:pict>
        <v:shapetype id="_x0000_t202" o:spt="202" coordsize="21600,21600" path="m,l,21600r21600,l21600,xe">
          <v:stroke joinstyle="miter"/>
          <v:path gradientshapeok="t" o:connecttype="rect"/>
        </v:shapetype>
        <v:shape style="position:absolute;margin-left:223.210007pt;margin-top:781.225952pt;width:98.45pt;height:33pt;mso-position-horizontal-relative:page;mso-position-vertical-relative:page;z-index:-251805696" type="#_x0000_t202" filled="false" stroked="false">
          <v:textbox inset="0,0,0,0">
            <w:txbxContent>
              <w:p>
                <w:pPr>
                  <w:spacing w:line="203" w:lineRule="exact" w:before="0"/>
                  <w:ind w:left="20" w:right="0" w:firstLine="0"/>
                  <w:jc w:val="left"/>
                  <w:rPr>
                    <w:i/>
                    <w:sz w:val="18"/>
                  </w:rPr>
                </w:pPr>
                <w:r>
                  <w:rPr>
                    <w:i/>
                    <w:color w:val="1F487C"/>
                    <w:sz w:val="18"/>
                  </w:rPr>
                  <w:t>Piazza della Repubblica,59</w:t>
                </w:r>
              </w:p>
              <w:p>
                <w:pPr>
                  <w:spacing w:before="0"/>
                  <w:ind w:left="320" w:right="300" w:firstLine="204"/>
                  <w:jc w:val="left"/>
                  <w:rPr>
                    <w:i/>
                    <w:sz w:val="18"/>
                  </w:rPr>
                </w:pPr>
                <w:r>
                  <w:rPr>
                    <w:i/>
                    <w:color w:val="1F487C"/>
                    <w:sz w:val="18"/>
                  </w:rPr>
                  <w:t>00185 Roma </w:t>
                </w:r>
                <w:r>
                  <w:rPr>
                    <w:i/>
                    <w:color w:val="1F487C"/>
                    <w:sz w:val="18"/>
                  </w:rPr>
                  <w:t>Tel. 06/6923.7273</w:t>
                </w:r>
              </w:p>
            </w:txbxContent>
          </v:textbox>
          <w10:wrap type="none"/>
        </v:shape>
      </w:pict>
    </w:r>
    <w:r>
      <w:rPr/>
      <w:pict>
        <v:shape style="position:absolute;margin-left:366.149994pt;margin-top:781.225952pt;width:147.15pt;height:33pt;mso-position-horizontal-relative:page;mso-position-vertical-relative:page;z-index:-251804672" type="#_x0000_t202" filled="false" stroked="false">
          <v:textbox inset="0,0,0,0">
            <w:txbxContent>
              <w:p>
                <w:pPr>
                  <w:spacing w:line="203" w:lineRule="exact" w:before="0"/>
                  <w:ind w:left="20" w:right="0" w:firstLine="0"/>
                  <w:jc w:val="left"/>
                  <w:rPr>
                    <w:i/>
                    <w:sz w:val="18"/>
                  </w:rPr>
                </w:pPr>
                <w:r>
                  <w:rPr>
                    <w:i/>
                    <w:color w:val="1F487C"/>
                    <w:sz w:val="18"/>
                  </w:rPr>
                  <w:t>PEC: </w:t>
                </w:r>
                <w:hyperlink r:id="rId1">
                  <w:r>
                    <w:rPr>
                      <w:i/>
                      <w:color w:val="1F487C"/>
                      <w:sz w:val="18"/>
                    </w:rPr>
                    <w:t>dcvigilanza@pec.ispettorato.gov.it</w:t>
                  </w:r>
                </w:hyperlink>
              </w:p>
              <w:p>
                <w:pPr>
                  <w:spacing w:before="0"/>
                  <w:ind w:left="623" w:right="83" w:hanging="517"/>
                  <w:jc w:val="left"/>
                  <w:rPr>
                    <w:i/>
                    <w:sz w:val="18"/>
                  </w:rPr>
                </w:pPr>
                <w:r>
                  <w:rPr>
                    <w:i/>
                    <w:color w:val="1F487C"/>
                    <w:sz w:val="18"/>
                  </w:rPr>
                  <w:t>email</w:t>
                </w:r>
                <w:hyperlink r:id="rId2">
                  <w:r>
                    <w:rPr>
                      <w:i/>
                      <w:color w:val="1F487C"/>
                      <w:sz w:val="18"/>
                    </w:rPr>
                    <w:t>: dcvigilanza@ispettorato.gov.it</w:t>
                  </w:r>
                </w:hyperlink>
                <w:r>
                  <w:rPr>
                    <w:i/>
                    <w:color w:val="1F487C"/>
                    <w:sz w:val="18"/>
                  </w:rPr>
                  <w:t> </w:t>
                </w:r>
                <w:hyperlink r:id="rId3">
                  <w:r>
                    <w:rPr>
                      <w:i/>
                      <w:color w:val="1F487C"/>
                      <w:sz w:val="18"/>
                    </w:rPr>
                    <w:t>www.ispettorato.gov.it</w:t>
                  </w:r>
                </w:hyperlink>
              </w:p>
            </w:txbxContent>
          </v:textbox>
          <w10:wrap type="none"/>
        </v:shape>
      </w:pict>
    </w:r>
    <w:r>
      <w:rPr/>
      <w:pict>
        <v:shape style="position:absolute;margin-left:81.344002pt;margin-top:786.745972pt;width:102.4pt;height:21.95pt;mso-position-horizontal-relative:page;mso-position-vertical-relative:page;z-index:-251803648" type="#_x0000_t202" filled="false" stroked="false">
          <v:textbox inset="0,0,0,0">
            <w:txbxContent>
              <w:p>
                <w:pPr>
                  <w:spacing w:line="203" w:lineRule="exact" w:before="0"/>
                  <w:ind w:left="1" w:right="1" w:firstLine="0"/>
                  <w:jc w:val="center"/>
                  <w:rPr>
                    <w:i/>
                    <w:sz w:val="18"/>
                  </w:rPr>
                </w:pPr>
                <w:r>
                  <w:rPr>
                    <w:i/>
                    <w:color w:val="16365D"/>
                    <w:sz w:val="18"/>
                  </w:rPr>
                  <w:t>Direzione centrale vigilanza</w:t>
                </w:r>
              </w:p>
              <w:p>
                <w:pPr>
                  <w:spacing w:line="219" w:lineRule="exact" w:before="0"/>
                  <w:ind w:left="1" w:right="1" w:firstLine="0"/>
                  <w:jc w:val="center"/>
                  <w:rPr>
                    <w:i/>
                    <w:sz w:val="18"/>
                  </w:rPr>
                </w:pPr>
                <w:r>
                  <w:rPr>
                    <w:i/>
                    <w:color w:val="16365D"/>
                    <w:sz w:val="18"/>
                  </w:rPr>
                  <w:t>e sicurezza del lavoro</w:t>
                </w:r>
              </w:p>
            </w:txbxContent>
          </v:textbox>
          <w10:wrap type="none"/>
        </v:shape>
      </w:pict>
    </w:r>
    <w:r>
      <w:rPr/>
      <w:pict>
        <v:shape style="position:absolute;margin-left:517.76001pt;margin-top:813.889954pt;width:33.6pt;height:10.050pt;mso-position-horizontal-relative:page;mso-position-vertical-relative:page;z-index:-251802624" type="#_x0000_t202" filled="false" stroked="false">
          <v:textbox inset="0,0,0,0">
            <w:txbxContent>
              <w:p>
                <w:pPr>
                  <w:spacing w:line="184" w:lineRule="exact" w:before="0"/>
                  <w:ind w:left="20" w:right="0" w:firstLine="0"/>
                  <w:jc w:val="left"/>
                  <w:rPr>
                    <w:b/>
                    <w:sz w:val="16"/>
                  </w:rPr>
                </w:pPr>
                <w:r>
                  <w:rPr>
                    <w:b/>
                    <w:color w:val="16365D"/>
                    <w:sz w:val="16"/>
                  </w:rPr>
                  <w:t>Pag</w:t>
                </w:r>
                <w:r>
                  <w:rPr>
                    <w:color w:val="16365D"/>
                    <w:sz w:val="16"/>
                  </w:rPr>
                  <w:t>. </w:t>
                </w:r>
                <w:r>
                  <w:rPr/>
                  <w:fldChar w:fldCharType="begin"/>
                </w:r>
                <w:r>
                  <w:rPr>
                    <w:b/>
                    <w:color w:val="16365D"/>
                    <w:sz w:val="16"/>
                  </w:rPr>
                  <w:instrText> PAGE </w:instrText>
                </w:r>
                <w:r>
                  <w:rPr/>
                  <w:fldChar w:fldCharType="separate"/>
                </w:r>
                <w:r>
                  <w:rPr/>
                  <w:t>2</w:t>
                </w:r>
                <w:r>
                  <w:rPr/>
                  <w:fldChar w:fldCharType="end"/>
                </w:r>
                <w:r>
                  <w:rPr>
                    <w:b/>
                    <w:color w:val="16365D"/>
                    <w:sz w:val="16"/>
                  </w:rPr>
                  <w:t> </w:t>
                </w:r>
                <w:r>
                  <w:rPr>
                    <w:color w:val="16365D"/>
                    <w:sz w:val="16"/>
                  </w:rPr>
                  <w:t>a </w:t>
                </w:r>
                <w:r>
                  <w:rPr>
                    <w:b/>
                    <w:color w:val="16365D"/>
                    <w:sz w:val="16"/>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rPr>
      <w:rFonts w:ascii="Calibri" w:hAnsi="Calibri" w:eastAsia="Calibri" w:cs="Calibri"/>
      <w:sz w:val="22"/>
      <w:szCs w:val="22"/>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rPr>
      <w:rFonts w:ascii="Calibri" w:hAnsi="Calibri" w:eastAsia="Calibri" w:cs="Calibri"/>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dcvigilanza@pec.ispettorato.gov.it" TargetMode="External"/><Relationship Id="rId2" Type="http://schemas.openxmlformats.org/officeDocument/2006/relationships/hyperlink" Target="mailto:dcvigilanza@ispettorato.gov.it" TargetMode="External"/><Relationship Id="rId3" Type="http://schemas.openxmlformats.org/officeDocument/2006/relationships/hyperlink" Target="http://www.ispettorat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 Maurizio</dc:creator>
  <dcterms:created xsi:type="dcterms:W3CDTF">2024-07-18T08:11:34Z</dcterms:created>
  <dcterms:modified xsi:type="dcterms:W3CDTF">2024-07-18T08:11:34Z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per Microsoft 365</vt:lpwstr>
  </property>
  <property fmtid="{D5CDD505-2E9C-101B-9397-08002B2CF9AE}" pid="4" name="LastSaved">
    <vt:filetime>2024-07-18T00:00:00Z</vt:filetime>
  </property>
</Properties>
</file>