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953E" w14:textId="77777777" w:rsidR="00C43C0D" w:rsidRPr="00C43C0D" w:rsidRDefault="00C43C0D" w:rsidP="00C43C0D">
      <w:pPr>
        <w:spacing w:after="120" w:line="240" w:lineRule="auto"/>
        <w:jc w:val="center"/>
        <w:rPr>
          <w:spacing w:val="30"/>
          <w:sz w:val="28"/>
        </w:rPr>
      </w:pPr>
      <w:r w:rsidRPr="00C43C0D">
        <w:rPr>
          <w:spacing w:val="30"/>
          <w:sz w:val="28"/>
        </w:rPr>
        <w:t>DICHIARAZIONE DI NON INTERFERENZA CON ATTIVITÀ MINERARIE</w:t>
      </w:r>
    </w:p>
    <w:p w14:paraId="4C4636E7" w14:textId="77777777" w:rsidR="00C43C0D" w:rsidRDefault="00C43C0D" w:rsidP="00C43C0D">
      <w:pPr>
        <w:spacing w:after="120" w:line="240" w:lineRule="auto"/>
        <w:jc w:val="both"/>
      </w:pPr>
    </w:p>
    <w:p w14:paraId="3CB50B6B" w14:textId="77777777" w:rsidR="00C43C0D" w:rsidRDefault="00C43C0D" w:rsidP="00C43C0D">
      <w:pPr>
        <w:tabs>
          <w:tab w:val="left" w:pos="993"/>
        </w:tabs>
        <w:spacing w:after="0" w:line="240" w:lineRule="auto"/>
        <w:ind w:left="992" w:hanging="993"/>
      </w:pPr>
      <w:proofErr w:type="gramStart"/>
      <w:r>
        <w:t>Oggetto :</w:t>
      </w:r>
      <w:proofErr w:type="gramEnd"/>
      <w:r>
        <w:tab/>
        <w:t>Nulla osta dell’autorità mineraria ai sensi dell’articolo 120 del Regio Decreto 11 dicembre 1933, n. 1775, Testo unico delle disposizioni di legge sulle acque e impianti elettrici.</w:t>
      </w:r>
    </w:p>
    <w:p w14:paraId="0883D700" w14:textId="77777777" w:rsidR="00C43C0D" w:rsidRPr="00583007" w:rsidRDefault="00C43C0D" w:rsidP="00C43C0D">
      <w:pPr>
        <w:tabs>
          <w:tab w:val="left" w:pos="993"/>
        </w:tabs>
        <w:spacing w:after="0" w:line="240" w:lineRule="auto"/>
        <w:ind w:left="992"/>
        <w:rPr>
          <w:i/>
        </w:rPr>
      </w:pPr>
      <w:r>
        <w:t xml:space="preserve">Progetto: </w:t>
      </w:r>
      <w:r w:rsidRPr="00583007">
        <w:rPr>
          <w:i/>
          <w:color w:val="7F7F7F" w:themeColor="text1" w:themeTint="80"/>
        </w:rPr>
        <w:t>[denominazione del progetto]</w:t>
      </w:r>
    </w:p>
    <w:p w14:paraId="44DBC748" w14:textId="77777777" w:rsidR="00C43C0D" w:rsidRPr="00583007" w:rsidRDefault="00C43C0D" w:rsidP="00C43C0D">
      <w:pPr>
        <w:tabs>
          <w:tab w:val="left" w:pos="993"/>
        </w:tabs>
        <w:spacing w:after="0" w:line="240" w:lineRule="auto"/>
        <w:ind w:left="992"/>
        <w:rPr>
          <w:i/>
        </w:rPr>
      </w:pPr>
      <w:r w:rsidRPr="00C43C0D">
        <w:t xml:space="preserve">Titolare: </w:t>
      </w:r>
      <w:r w:rsidRPr="00583007">
        <w:rPr>
          <w:i/>
          <w:color w:val="7F7F7F" w:themeColor="text1" w:themeTint="80"/>
        </w:rPr>
        <w:t>[titolare del progetto]</w:t>
      </w:r>
    </w:p>
    <w:p w14:paraId="3E78FC68" w14:textId="77777777" w:rsidR="00C43C0D" w:rsidRDefault="00C43C0D" w:rsidP="00C43C0D">
      <w:pPr>
        <w:spacing w:after="120" w:line="240" w:lineRule="auto"/>
        <w:jc w:val="both"/>
      </w:pPr>
    </w:p>
    <w:p w14:paraId="42780729" w14:textId="77777777" w:rsidR="00C43C0D" w:rsidRDefault="00C43C0D" w:rsidP="00C43C0D">
      <w:pPr>
        <w:spacing w:after="120" w:line="240" w:lineRule="auto"/>
        <w:ind w:firstLine="567"/>
        <w:jc w:val="both"/>
      </w:pPr>
      <w:r>
        <w:t>Premesso che la Direttiva Direttoriale 11 giugno 2012 del Direttore Generale delle risorse minerarie ed energetiche del Ministero dello sviluppo economico ha previsto la semplificazione delle procedure per il rilascio del Nulla osta dell’autorità mineraria ai sensi dell’articolo 120 del Regio Decreto 11 dicembre 1933, n. 1775.</w:t>
      </w:r>
    </w:p>
    <w:p w14:paraId="11B78085" w14:textId="61BD1C75" w:rsidR="00C43C0D" w:rsidRDefault="00C43C0D" w:rsidP="00C43C0D">
      <w:pPr>
        <w:spacing w:after="120" w:line="240" w:lineRule="auto"/>
        <w:ind w:firstLine="567"/>
        <w:jc w:val="both"/>
      </w:pPr>
      <w:r>
        <w:t xml:space="preserve">Il sottoscritto </w:t>
      </w:r>
      <w:r w:rsidRPr="00583007">
        <w:rPr>
          <w:i/>
          <w:color w:val="7F7F7F" w:themeColor="text1" w:themeTint="80"/>
        </w:rPr>
        <w:t>[nome del progettista]</w:t>
      </w:r>
      <w:r>
        <w:t xml:space="preserve">, progettista dell’impianto indicato in oggetto, dichiara di aver esperito le verifiche di </w:t>
      </w:r>
      <w:r w:rsidR="003E0FA2">
        <w:t xml:space="preserve">non </w:t>
      </w:r>
      <w:r>
        <w:t>interferenza con opere minerarie per ricerca, coltivazione e stoccaggio di idrocarburi, attraverso le informazioni disponibili nel sito internet del Ministero dello sviluppo economico</w:t>
      </w:r>
      <w:r w:rsidR="003E0FA2">
        <w:t xml:space="preserve"> - DGS-UNMIG</w:t>
      </w:r>
      <w:r>
        <w:t xml:space="preserve"> alla data del </w:t>
      </w:r>
      <w:r w:rsidRPr="00583007">
        <w:rPr>
          <w:i/>
          <w:color w:val="7F7F7F" w:themeColor="text1" w:themeTint="80"/>
        </w:rPr>
        <w:t>[data della verifica]</w:t>
      </w:r>
      <w:r>
        <w:t xml:space="preserve"> e di non aver rilevato alcuna interferenza con titoli minerari vigenti.</w:t>
      </w:r>
    </w:p>
    <w:p w14:paraId="47CA32E0" w14:textId="77777777" w:rsidR="00C43C0D" w:rsidRDefault="00C43C0D" w:rsidP="00C43C0D">
      <w:pPr>
        <w:spacing w:after="120" w:line="240" w:lineRule="auto"/>
        <w:ind w:firstLine="567"/>
        <w:jc w:val="both"/>
      </w:pPr>
      <w:r>
        <w:t>La verifica è stata effettuata per i punti di ubicazione delle strutture e delle linee elettriche di collegamento riportati nel seguente elenco di coordinate geografiche in formato WGS84.</w:t>
      </w:r>
    </w:p>
    <w:tbl>
      <w:tblPr>
        <w:tblStyle w:val="Grigliatabella"/>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5"/>
        <w:gridCol w:w="1559"/>
        <w:gridCol w:w="2551"/>
      </w:tblGrid>
      <w:tr w:rsidR="00C43C0D" w:rsidRPr="00C43C0D" w14:paraId="1E126290" w14:textId="77777777" w:rsidTr="00583007">
        <w:tc>
          <w:tcPr>
            <w:tcW w:w="463" w:type="dxa"/>
          </w:tcPr>
          <w:p w14:paraId="330E9CEF" w14:textId="77777777" w:rsidR="00C43C0D" w:rsidRPr="00C43C0D" w:rsidRDefault="00C43C0D" w:rsidP="008B6C80">
            <w:pPr>
              <w:spacing w:after="120"/>
              <w:jc w:val="both"/>
            </w:pPr>
            <w:r w:rsidRPr="00C43C0D">
              <w:t xml:space="preserve">n. </w:t>
            </w:r>
          </w:p>
        </w:tc>
        <w:tc>
          <w:tcPr>
            <w:tcW w:w="1559" w:type="dxa"/>
          </w:tcPr>
          <w:p w14:paraId="52A74355" w14:textId="77777777" w:rsidR="00C43C0D" w:rsidRPr="00C43C0D" w:rsidRDefault="00C43C0D" w:rsidP="008B6C80">
            <w:pPr>
              <w:spacing w:after="120"/>
              <w:jc w:val="both"/>
            </w:pPr>
            <w:r w:rsidRPr="00C43C0D">
              <w:t>Latitudine N</w:t>
            </w:r>
          </w:p>
        </w:tc>
        <w:tc>
          <w:tcPr>
            <w:tcW w:w="2551" w:type="dxa"/>
          </w:tcPr>
          <w:p w14:paraId="75CEEACB" w14:textId="77777777" w:rsidR="00C43C0D" w:rsidRPr="00C43C0D" w:rsidRDefault="00C43C0D" w:rsidP="008B6C80">
            <w:pPr>
              <w:spacing w:after="120"/>
              <w:jc w:val="both"/>
            </w:pPr>
            <w:r w:rsidRPr="00C43C0D">
              <w:t>Longitudine E Greenwich</w:t>
            </w:r>
          </w:p>
        </w:tc>
      </w:tr>
      <w:tr w:rsidR="00C43C0D" w:rsidRPr="00C43C0D" w14:paraId="2B494734" w14:textId="77777777" w:rsidTr="00583007">
        <w:tc>
          <w:tcPr>
            <w:tcW w:w="463" w:type="dxa"/>
          </w:tcPr>
          <w:p w14:paraId="425BE8AF" w14:textId="77777777" w:rsidR="00C43C0D" w:rsidRPr="00583007" w:rsidRDefault="00583007" w:rsidP="00583007">
            <w:pPr>
              <w:spacing w:after="120"/>
              <w:jc w:val="both"/>
              <w:rPr>
                <w:i/>
                <w:color w:val="7F7F7F" w:themeColor="text1" w:themeTint="80"/>
              </w:rPr>
            </w:pPr>
            <w:r w:rsidRPr="00583007">
              <w:rPr>
                <w:i/>
                <w:color w:val="7F7F7F" w:themeColor="text1" w:themeTint="80"/>
              </w:rPr>
              <w:t>[</w:t>
            </w:r>
            <w:r w:rsidR="00C43C0D" w:rsidRPr="00583007">
              <w:rPr>
                <w:i/>
                <w:color w:val="7F7F7F" w:themeColor="text1" w:themeTint="80"/>
              </w:rPr>
              <w:t>1</w:t>
            </w:r>
            <w:r w:rsidRPr="00583007">
              <w:rPr>
                <w:i/>
                <w:color w:val="7F7F7F" w:themeColor="text1" w:themeTint="80"/>
              </w:rPr>
              <w:t>]</w:t>
            </w:r>
            <w:r w:rsidR="00C43C0D" w:rsidRPr="00583007">
              <w:rPr>
                <w:i/>
                <w:color w:val="7F7F7F" w:themeColor="text1" w:themeTint="80"/>
              </w:rPr>
              <w:t xml:space="preserve"> </w:t>
            </w:r>
          </w:p>
        </w:tc>
        <w:tc>
          <w:tcPr>
            <w:tcW w:w="1559" w:type="dxa"/>
          </w:tcPr>
          <w:p w14:paraId="5AFA4828" w14:textId="77777777" w:rsidR="00C43C0D" w:rsidRPr="00583007" w:rsidRDefault="00583007" w:rsidP="008B6C80">
            <w:pPr>
              <w:spacing w:after="120"/>
              <w:jc w:val="both"/>
              <w:rPr>
                <w:i/>
                <w:color w:val="7F7F7F" w:themeColor="text1" w:themeTint="80"/>
              </w:rPr>
            </w:pPr>
            <w:r w:rsidRPr="00583007">
              <w:rPr>
                <w:i/>
                <w:color w:val="7F7F7F" w:themeColor="text1" w:themeTint="80"/>
              </w:rPr>
              <w:t>[</w:t>
            </w:r>
            <w:proofErr w:type="spellStart"/>
            <w:proofErr w:type="gramStart"/>
            <w:r w:rsidR="00C43C0D" w:rsidRPr="00583007">
              <w:rPr>
                <w:i/>
                <w:color w:val="7F7F7F" w:themeColor="text1" w:themeTint="80"/>
              </w:rPr>
              <w:t>gg,ddddd</w:t>
            </w:r>
            <w:proofErr w:type="spellEnd"/>
            <w:proofErr w:type="gramEnd"/>
            <w:r w:rsidRPr="00583007">
              <w:rPr>
                <w:i/>
                <w:color w:val="7F7F7F" w:themeColor="text1" w:themeTint="80"/>
              </w:rPr>
              <w:t>]</w:t>
            </w:r>
          </w:p>
        </w:tc>
        <w:tc>
          <w:tcPr>
            <w:tcW w:w="2551" w:type="dxa"/>
          </w:tcPr>
          <w:p w14:paraId="4EAF046A" w14:textId="77777777" w:rsidR="00C43C0D" w:rsidRPr="00583007" w:rsidRDefault="00583007" w:rsidP="008B6C80">
            <w:pPr>
              <w:spacing w:after="120"/>
              <w:jc w:val="both"/>
              <w:rPr>
                <w:i/>
                <w:color w:val="7F7F7F" w:themeColor="text1" w:themeTint="80"/>
              </w:rPr>
            </w:pPr>
            <w:r w:rsidRPr="00583007">
              <w:rPr>
                <w:i/>
                <w:color w:val="7F7F7F" w:themeColor="text1" w:themeTint="80"/>
              </w:rPr>
              <w:t>[</w:t>
            </w:r>
            <w:proofErr w:type="spellStart"/>
            <w:proofErr w:type="gramStart"/>
            <w:r w:rsidR="00C43C0D" w:rsidRPr="00583007">
              <w:rPr>
                <w:i/>
                <w:color w:val="7F7F7F" w:themeColor="text1" w:themeTint="80"/>
              </w:rPr>
              <w:t>gg,ddddd</w:t>
            </w:r>
            <w:proofErr w:type="spellEnd"/>
            <w:proofErr w:type="gramEnd"/>
            <w:r w:rsidRPr="00583007">
              <w:rPr>
                <w:i/>
                <w:color w:val="7F7F7F" w:themeColor="text1" w:themeTint="80"/>
              </w:rPr>
              <w:t>]</w:t>
            </w:r>
          </w:p>
        </w:tc>
      </w:tr>
      <w:tr w:rsidR="00583007" w:rsidRPr="00C43C0D" w14:paraId="5EC92DE6" w14:textId="77777777" w:rsidTr="00583007">
        <w:tc>
          <w:tcPr>
            <w:tcW w:w="463" w:type="dxa"/>
          </w:tcPr>
          <w:p w14:paraId="353D508F" w14:textId="77777777" w:rsidR="00583007" w:rsidRPr="00583007" w:rsidRDefault="00583007" w:rsidP="00583007">
            <w:pPr>
              <w:spacing w:after="120"/>
              <w:jc w:val="both"/>
              <w:rPr>
                <w:i/>
                <w:color w:val="7F7F7F" w:themeColor="text1" w:themeTint="80"/>
              </w:rPr>
            </w:pPr>
            <w:r w:rsidRPr="00583007">
              <w:rPr>
                <w:i/>
                <w:color w:val="7F7F7F" w:themeColor="text1" w:themeTint="80"/>
              </w:rPr>
              <w:t xml:space="preserve">[2] </w:t>
            </w:r>
          </w:p>
        </w:tc>
        <w:tc>
          <w:tcPr>
            <w:tcW w:w="1559" w:type="dxa"/>
          </w:tcPr>
          <w:p w14:paraId="0C486069" w14:textId="77777777" w:rsidR="00583007" w:rsidRPr="00583007" w:rsidRDefault="00583007" w:rsidP="003234EA">
            <w:pPr>
              <w:spacing w:after="120"/>
              <w:jc w:val="both"/>
              <w:rPr>
                <w:i/>
                <w:color w:val="7F7F7F" w:themeColor="text1" w:themeTint="80"/>
              </w:rPr>
            </w:pPr>
            <w:r w:rsidRPr="00583007">
              <w:rPr>
                <w:i/>
                <w:color w:val="7F7F7F" w:themeColor="text1" w:themeTint="80"/>
              </w:rPr>
              <w:t>[</w:t>
            </w:r>
            <w:proofErr w:type="spellStart"/>
            <w:proofErr w:type="gramStart"/>
            <w:r w:rsidRPr="00583007">
              <w:rPr>
                <w:i/>
                <w:color w:val="7F7F7F" w:themeColor="text1" w:themeTint="80"/>
              </w:rPr>
              <w:t>gg,ddddd</w:t>
            </w:r>
            <w:proofErr w:type="spellEnd"/>
            <w:proofErr w:type="gramEnd"/>
            <w:r w:rsidRPr="00583007">
              <w:rPr>
                <w:i/>
                <w:color w:val="7F7F7F" w:themeColor="text1" w:themeTint="80"/>
              </w:rPr>
              <w:t>]</w:t>
            </w:r>
          </w:p>
        </w:tc>
        <w:tc>
          <w:tcPr>
            <w:tcW w:w="2551" w:type="dxa"/>
          </w:tcPr>
          <w:p w14:paraId="4FA7432E" w14:textId="77777777" w:rsidR="00583007" w:rsidRPr="00583007" w:rsidRDefault="00583007" w:rsidP="003234EA">
            <w:pPr>
              <w:spacing w:after="120"/>
              <w:jc w:val="both"/>
              <w:rPr>
                <w:i/>
                <w:color w:val="7F7F7F" w:themeColor="text1" w:themeTint="80"/>
              </w:rPr>
            </w:pPr>
            <w:r w:rsidRPr="00583007">
              <w:rPr>
                <w:i/>
                <w:color w:val="7F7F7F" w:themeColor="text1" w:themeTint="80"/>
              </w:rPr>
              <w:t>[</w:t>
            </w:r>
            <w:proofErr w:type="spellStart"/>
            <w:proofErr w:type="gramStart"/>
            <w:r w:rsidRPr="00583007">
              <w:rPr>
                <w:i/>
                <w:color w:val="7F7F7F" w:themeColor="text1" w:themeTint="80"/>
              </w:rPr>
              <w:t>gg,ddddd</w:t>
            </w:r>
            <w:proofErr w:type="spellEnd"/>
            <w:proofErr w:type="gramEnd"/>
            <w:r w:rsidRPr="00583007">
              <w:rPr>
                <w:i/>
                <w:color w:val="7F7F7F" w:themeColor="text1" w:themeTint="80"/>
              </w:rPr>
              <w:t>]</w:t>
            </w:r>
          </w:p>
        </w:tc>
      </w:tr>
      <w:tr w:rsidR="00C43C0D" w:rsidRPr="00C43C0D" w14:paraId="047C0CBD" w14:textId="77777777" w:rsidTr="00583007">
        <w:tc>
          <w:tcPr>
            <w:tcW w:w="463" w:type="dxa"/>
          </w:tcPr>
          <w:p w14:paraId="66F2C9DD" w14:textId="77777777" w:rsidR="00C43C0D" w:rsidRPr="00583007" w:rsidRDefault="00C43C0D" w:rsidP="008B6C80">
            <w:pPr>
              <w:spacing w:after="120"/>
              <w:jc w:val="both"/>
              <w:rPr>
                <w:i/>
                <w:color w:val="7F7F7F" w:themeColor="text1" w:themeTint="80"/>
              </w:rPr>
            </w:pPr>
            <w:r w:rsidRPr="00583007">
              <w:rPr>
                <w:i/>
                <w:color w:val="7F7F7F" w:themeColor="text1" w:themeTint="80"/>
              </w:rPr>
              <w:t>…</w:t>
            </w:r>
          </w:p>
        </w:tc>
        <w:tc>
          <w:tcPr>
            <w:tcW w:w="1559" w:type="dxa"/>
          </w:tcPr>
          <w:p w14:paraId="0B37000D" w14:textId="77777777" w:rsidR="00C43C0D" w:rsidRPr="00583007" w:rsidRDefault="00C43C0D" w:rsidP="008B6C80">
            <w:pPr>
              <w:spacing w:after="120"/>
              <w:jc w:val="both"/>
              <w:rPr>
                <w:i/>
                <w:color w:val="7F7F7F" w:themeColor="text1" w:themeTint="80"/>
              </w:rPr>
            </w:pPr>
            <w:r w:rsidRPr="00583007">
              <w:rPr>
                <w:i/>
                <w:color w:val="7F7F7F" w:themeColor="text1" w:themeTint="80"/>
              </w:rPr>
              <w:t>…</w:t>
            </w:r>
          </w:p>
        </w:tc>
        <w:tc>
          <w:tcPr>
            <w:tcW w:w="2551" w:type="dxa"/>
          </w:tcPr>
          <w:p w14:paraId="5809A141" w14:textId="77777777" w:rsidR="00C43C0D" w:rsidRPr="00583007" w:rsidRDefault="00C43C0D" w:rsidP="008B6C80">
            <w:pPr>
              <w:spacing w:after="120"/>
              <w:jc w:val="both"/>
              <w:rPr>
                <w:i/>
                <w:color w:val="7F7F7F" w:themeColor="text1" w:themeTint="80"/>
              </w:rPr>
            </w:pPr>
            <w:r w:rsidRPr="00583007">
              <w:rPr>
                <w:i/>
                <w:color w:val="7F7F7F" w:themeColor="text1" w:themeTint="80"/>
              </w:rPr>
              <w:t>…</w:t>
            </w:r>
          </w:p>
        </w:tc>
      </w:tr>
      <w:tr w:rsidR="00583007" w:rsidRPr="00C43C0D" w14:paraId="33A50665" w14:textId="77777777" w:rsidTr="00583007">
        <w:tc>
          <w:tcPr>
            <w:tcW w:w="463" w:type="dxa"/>
          </w:tcPr>
          <w:p w14:paraId="26016523" w14:textId="77777777" w:rsidR="00583007" w:rsidRPr="00583007" w:rsidRDefault="00583007" w:rsidP="00583007">
            <w:pPr>
              <w:spacing w:after="120"/>
              <w:jc w:val="both"/>
              <w:rPr>
                <w:i/>
                <w:color w:val="7F7F7F" w:themeColor="text1" w:themeTint="80"/>
              </w:rPr>
            </w:pPr>
            <w:r w:rsidRPr="00583007">
              <w:rPr>
                <w:i/>
                <w:color w:val="7F7F7F" w:themeColor="text1" w:themeTint="80"/>
              </w:rPr>
              <w:t xml:space="preserve">[n] </w:t>
            </w:r>
          </w:p>
        </w:tc>
        <w:tc>
          <w:tcPr>
            <w:tcW w:w="1559" w:type="dxa"/>
          </w:tcPr>
          <w:p w14:paraId="1E91A537" w14:textId="77777777" w:rsidR="00583007" w:rsidRPr="00583007" w:rsidRDefault="00583007" w:rsidP="003234EA">
            <w:pPr>
              <w:spacing w:after="120"/>
              <w:jc w:val="both"/>
              <w:rPr>
                <w:i/>
                <w:color w:val="7F7F7F" w:themeColor="text1" w:themeTint="80"/>
              </w:rPr>
            </w:pPr>
            <w:r w:rsidRPr="00583007">
              <w:rPr>
                <w:i/>
                <w:color w:val="7F7F7F" w:themeColor="text1" w:themeTint="80"/>
              </w:rPr>
              <w:t>[</w:t>
            </w:r>
            <w:proofErr w:type="spellStart"/>
            <w:proofErr w:type="gramStart"/>
            <w:r w:rsidRPr="00583007">
              <w:rPr>
                <w:i/>
                <w:color w:val="7F7F7F" w:themeColor="text1" w:themeTint="80"/>
              </w:rPr>
              <w:t>gg,ddddd</w:t>
            </w:r>
            <w:proofErr w:type="spellEnd"/>
            <w:proofErr w:type="gramEnd"/>
            <w:r w:rsidRPr="00583007">
              <w:rPr>
                <w:i/>
                <w:color w:val="7F7F7F" w:themeColor="text1" w:themeTint="80"/>
              </w:rPr>
              <w:t>]</w:t>
            </w:r>
          </w:p>
        </w:tc>
        <w:tc>
          <w:tcPr>
            <w:tcW w:w="2551" w:type="dxa"/>
          </w:tcPr>
          <w:p w14:paraId="547BFCFB" w14:textId="77777777" w:rsidR="00583007" w:rsidRPr="00583007" w:rsidRDefault="00583007" w:rsidP="003234EA">
            <w:pPr>
              <w:spacing w:after="120"/>
              <w:jc w:val="both"/>
              <w:rPr>
                <w:i/>
                <w:color w:val="7F7F7F" w:themeColor="text1" w:themeTint="80"/>
              </w:rPr>
            </w:pPr>
            <w:r w:rsidRPr="00583007">
              <w:rPr>
                <w:i/>
                <w:color w:val="7F7F7F" w:themeColor="text1" w:themeTint="80"/>
              </w:rPr>
              <w:t>[</w:t>
            </w:r>
            <w:proofErr w:type="spellStart"/>
            <w:proofErr w:type="gramStart"/>
            <w:r w:rsidRPr="00583007">
              <w:rPr>
                <w:i/>
                <w:color w:val="7F7F7F" w:themeColor="text1" w:themeTint="80"/>
              </w:rPr>
              <w:t>gg,ddddd</w:t>
            </w:r>
            <w:proofErr w:type="spellEnd"/>
            <w:proofErr w:type="gramEnd"/>
            <w:r w:rsidRPr="00583007">
              <w:rPr>
                <w:i/>
                <w:color w:val="7F7F7F" w:themeColor="text1" w:themeTint="80"/>
              </w:rPr>
              <w:t>]</w:t>
            </w:r>
          </w:p>
        </w:tc>
      </w:tr>
    </w:tbl>
    <w:p w14:paraId="5CF32908" w14:textId="77777777" w:rsidR="00C43C0D" w:rsidRDefault="00C43C0D" w:rsidP="00C43C0D">
      <w:pPr>
        <w:spacing w:after="120" w:line="240" w:lineRule="auto"/>
        <w:jc w:val="both"/>
      </w:pPr>
    </w:p>
    <w:p w14:paraId="7779F7A9" w14:textId="77777777" w:rsidR="00C43C0D" w:rsidRDefault="00C43C0D" w:rsidP="00084CDE">
      <w:pPr>
        <w:spacing w:after="120" w:line="240" w:lineRule="auto"/>
        <w:ind w:firstLine="567"/>
        <w:jc w:val="both"/>
      </w:pPr>
      <w:r>
        <w:t>Secondo quanto previsto dalla Direttiva Direttoriale 11 giugno 2012, la presente dichiarazione di insussistenza di interferenze, equivale a pronuncia positiva da parte dell’amministrazione mineraria prevista dall’articolo 120 del Regio Decreto 1775/1993.</w:t>
      </w:r>
    </w:p>
    <w:p w14:paraId="1D1F13D8" w14:textId="77777777" w:rsidR="00C43C0D" w:rsidRDefault="00C43C0D" w:rsidP="00C43C0D">
      <w:pPr>
        <w:spacing w:after="120" w:line="240" w:lineRule="auto"/>
        <w:jc w:val="both"/>
      </w:pPr>
    </w:p>
    <w:p w14:paraId="4C490C47" w14:textId="77777777" w:rsidR="00C43C0D" w:rsidRPr="00583007" w:rsidRDefault="00C43C0D" w:rsidP="00C43C0D">
      <w:pPr>
        <w:spacing w:after="120" w:line="240" w:lineRule="auto"/>
        <w:jc w:val="both"/>
        <w:rPr>
          <w:i/>
          <w:color w:val="7F7F7F" w:themeColor="text1" w:themeTint="80"/>
        </w:rPr>
      </w:pPr>
      <w:r w:rsidRPr="00583007">
        <w:rPr>
          <w:i/>
          <w:color w:val="7F7F7F" w:themeColor="text1" w:themeTint="80"/>
        </w:rPr>
        <w:t>[luogo e data]</w:t>
      </w:r>
    </w:p>
    <w:p w14:paraId="2968CC39" w14:textId="77777777" w:rsidR="008A6EB3" w:rsidRDefault="00C43C0D" w:rsidP="00583007">
      <w:pPr>
        <w:spacing w:after="0" w:line="240" w:lineRule="auto"/>
        <w:ind w:left="5670"/>
        <w:jc w:val="center"/>
      </w:pPr>
      <w:r>
        <w:t>IL PROGETTISTA</w:t>
      </w:r>
    </w:p>
    <w:p w14:paraId="346F64AC" w14:textId="77777777" w:rsidR="00583007" w:rsidRPr="00583007" w:rsidRDefault="00583007" w:rsidP="00583007">
      <w:pPr>
        <w:spacing w:after="120" w:line="240" w:lineRule="auto"/>
        <w:ind w:left="5670"/>
        <w:jc w:val="center"/>
        <w:rPr>
          <w:i/>
          <w:color w:val="7F7F7F" w:themeColor="text1" w:themeTint="80"/>
        </w:rPr>
      </w:pPr>
      <w:r w:rsidRPr="00583007">
        <w:rPr>
          <w:i/>
          <w:color w:val="7F7F7F" w:themeColor="text1" w:themeTint="80"/>
        </w:rPr>
        <w:t>[titolo e nome del progettista]</w:t>
      </w:r>
    </w:p>
    <w:p w14:paraId="3075FCA4" w14:textId="77777777" w:rsidR="00583007" w:rsidRDefault="00583007" w:rsidP="00C43C0D">
      <w:pPr>
        <w:spacing w:after="120" w:line="240" w:lineRule="auto"/>
        <w:ind w:left="5529"/>
        <w:jc w:val="center"/>
      </w:pPr>
    </w:p>
    <w:sectPr w:rsidR="005830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0D"/>
    <w:rsid w:val="00084CDE"/>
    <w:rsid w:val="003234EA"/>
    <w:rsid w:val="003E0FA2"/>
    <w:rsid w:val="00583007"/>
    <w:rsid w:val="006647F9"/>
    <w:rsid w:val="008A6EB3"/>
    <w:rsid w:val="008B6C80"/>
    <w:rsid w:val="00A97C1B"/>
    <w:rsid w:val="00C43C0D"/>
    <w:rsid w:val="00CA5E4A"/>
    <w:rsid w:val="00DD60B5"/>
    <w:rsid w:val="00FC099D"/>
    <w:rsid w:val="00FE5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4792E8"/>
  <w14:defaultImageDpi w14:val="0"/>
  <w15:docId w15:val="{C9E3D8EE-B542-42EE-811C-6E92C9B1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43C0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3E0FA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Santocchi</dc:creator>
  <cp:keywords/>
  <dc:description/>
  <cp:lastModifiedBy>Marco Maccarelli</cp:lastModifiedBy>
  <cp:revision>2</cp:revision>
  <dcterms:created xsi:type="dcterms:W3CDTF">2022-02-01T09:00:00Z</dcterms:created>
  <dcterms:modified xsi:type="dcterms:W3CDTF">2022-02-01T09:00:00Z</dcterms:modified>
</cp:coreProperties>
</file>